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42026_080842.xml.htm"/>
      <w:bookmarkStart w:id="1" w:name="ksform408242026_0808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Sverha Csaba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FABRINET USA,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3736 FALLON ROAD #428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Fabrinet</w:t>
              </w:r>
            </w:hyperlink>
            <w:r>
              <w:rPr/>
              <w:t xml:space="preserve"> [ </w:t>
            </w:r>
            <w:r>
              <w:rPr>
                <w:rFonts w:ascii="Times;serif" w:hAnsi="Times;serif"/>
                <w:color w:val="0000FF"/>
                <w:sz w:val="24"/>
                <w:shd w:fill="FFFFFF" w:val="clear"/>
              </w:rPr>
              <w:t>FN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2,698</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17,523</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is represented by a Restricted Share Unit ("RSU"). The RSUs will vest in three (3) equal annual installments on each of August 20, 2027, 2028 and 2029, subject to the Reporting Person's continued service with the Issuer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Andrew Chew, Attorney-in-fact for Csaba Sverha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2482" TargetMode="External"/><Relationship Id="rId5" Type="http://schemas.openxmlformats.org/officeDocument/2006/relationships/hyperlink" Target="http://www.sec.gov/cgi-bin/browse-edgar?action=getcompany&amp;CIK=00014087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3304</Characters>
  <CharactersWithSpaces>3847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