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(Mark One)</w:t>
      </w:r>
    </w:p>
    <w:tbl>
      <w:tblPr>
        <w:tblW w:w="9356" w:type="dxa"/>
        <w:jc w:val="center"/>
        <w:tblInd w:w="0" w:type="dxa"/>
        <w:tblLayout w:type="fixed"/>
        <w:tblCellMar>
          <w:top w:w="28" w:type="dxa"/>
          <w:left w:w="28" w:type="dxa"/>
          <w:bottom w:w="28" w:type="dxa"/>
          <w:right w:w="28" w:type="dxa"/>
        </w:tblCellMar>
      </w:tblPr>
      <w:tblGrid>
        <w:gridCol w:w="124"/>
        <w:gridCol w:w="109"/>
        <w:gridCol w:w="109"/>
        <w:gridCol w:w="2637"/>
        <w:gridCol w:w="2637"/>
        <w:gridCol w:w="37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December 26, 2025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9417" w:type="dxa"/>
        <w:jc w:val="center"/>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from__________to__________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001-34775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FABRINET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____________________________</w:t>
      </w:r>
    </w:p>
    <w:tbl>
      <w:tblPr>
        <w:tblW w:w="4424" w:type="dxa"/>
        <w:jc w:val="center"/>
        <w:tblInd w:w="0" w:type="dxa"/>
        <w:tblLayout w:type="fixed"/>
        <w:tblCellMar>
          <w:top w:w="28" w:type="dxa"/>
          <w:left w:w="28" w:type="dxa"/>
          <w:bottom w:w="28" w:type="dxa"/>
          <w:right w:w="28" w:type="dxa"/>
        </w:tblCellMar>
      </w:tblPr>
      <w:tblGrid>
        <w:gridCol w:w="994"/>
        <w:gridCol w:w="874"/>
        <w:gridCol w:w="876"/>
        <w:gridCol w:w="492"/>
        <w:gridCol w:w="492"/>
        <w:gridCol w:w="696"/>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Cayman Islands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 or other jurisdiction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98-1228572</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before="10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 Walkers Corporate Ltd.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 Elgin Avenue, George Town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Grand Cayman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Cayman Islands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before="0" w:after="0"/>
        <w:jc w:val="center"/>
        <w:rPr/>
      </w:pPr>
      <w:r>
        <w:rPr/>
      </w:r>
    </w:p>
    <w:p>
      <w:pPr>
        <w:pStyle w:val="TextBody"/>
        <w:bidi w:val="0"/>
        <w:spacing w:lineRule="auto" w:line="288" w:before="1200" w:after="283"/>
        <w:jc w:val="center"/>
        <w:rPr>
          <w:rFonts w:ascii="Times New Roman;serif" w:hAnsi="Times New Roman;serif"/>
          <w:b/>
          <w:color w:val="000000"/>
          <w:sz w:val="20"/>
        </w:rPr>
      </w:pPr>
      <w:r>
        <w:rPr>
          <w:rFonts w:ascii="Times New Roman;serif" w:hAnsi="Times New Roman;serif"/>
          <w:b/>
          <w:color w:val="000000"/>
          <w:sz w:val="20"/>
        </w:rPr>
        <w:t>KY1-9008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+66 2-524-9600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center"/>
        <w:tblInd w:w="0" w:type="dxa"/>
        <w:tblLayout w:type="fixed"/>
        <w:tblCellMar>
          <w:top w:w="28" w:type="dxa"/>
          <w:left w:w="28" w:type="dxa"/>
          <w:bottom w:w="28" w:type="dxa"/>
          <w:right w:w="28" w:type="dxa"/>
        </w:tblCellMar>
      </w:tblPr>
      <w:tblGrid>
        <w:gridCol w:w="1068"/>
        <w:gridCol w:w="938"/>
        <w:gridCol w:w="949"/>
        <w:gridCol w:w="109"/>
        <w:gridCol w:w="109"/>
        <w:gridCol w:w="109"/>
        <w:gridCol w:w="564"/>
        <w:gridCol w:w="564"/>
        <w:gridCol w:w="566"/>
        <w:gridCol w:w="109"/>
        <w:gridCol w:w="109"/>
        <w:gridCol w:w="109"/>
        <w:gridCol w:w="1118"/>
        <w:gridCol w:w="1118"/>
        <w:gridCol w:w="1589"/>
      </w:tblGrid>
      <w:tr>
        <w:trPr/>
        <w:tc>
          <w:tcPr>
            <w:tcW w:w="10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Ordinary Shares,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(the “Exchange Act”) during the preceding 12 months (or for such shorter period that the </w:t>
      </w:r>
    </w:p>
    <w:p>
      <w:pPr>
        <w:pStyle w:val="TextBody"/>
        <w:bidi w:val="0"/>
        <w:spacing w:lineRule="auto" w:line="288" w:before="240" w:after="283"/>
        <w:jc w:val="left"/>
        <w:rPr/>
      </w:pPr>
      <w:r>
        <w:rPr>
          <w:rFonts w:ascii="Times New Roman;serif" w:hAnsi="Times New Roman;serif"/>
          <w:b w:val="false"/>
          <w:color w:val="000000"/>
          <w:sz w:val="20"/>
        </w:rPr>
        <w:t>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is a shell company (as defined in Rule 12b-2 of the Exchange Act).    ☐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January 23, 2026, the registrant had 35,826,117 ordinary shares, $0.01 par value,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 ENDED DECEMBER 26,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02"/>
        <w:gridCol w:w="2938"/>
        <w:gridCol w:w="2952"/>
        <w:gridCol w:w="237"/>
        <w:gridCol w:w="237"/>
        <w:gridCol w:w="339"/>
      </w:tblGrid>
      <w:tr>
        <w:trPr/>
        <w:tc>
          <w:tcPr>
            <w:tcW w:w="3502"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 No.</w:t>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3">
              <w:r>
                <w:rPr>
                  <w:rStyle w:val="InternetLink"/>
                  <w:rFonts w:ascii="Times New Roman;serif" w:hAnsi="Times New Roman;serif"/>
                  <w:b/>
                  <w:color w:val="0000FF"/>
                  <w:sz w:val="20"/>
                  <w:u w:val="single"/>
                </w:rPr>
                <w:t>RISK FACTORS SUMMARY</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3">
              <w:r>
                <w:rPr>
                  <w:rStyle w:val="InternetLink"/>
                  <w:rFonts w:ascii="Times New Roman;serif" w:hAnsi="Times New Roman;serif"/>
                  <w:b w:val="false"/>
                  <w:strike w:val="false"/>
                  <w:dstrike w:val="false"/>
                  <w:color w:val="000000"/>
                  <w:sz w:val="20"/>
                  <w:u w:val="none"/>
                  <w:effect w:val="none"/>
                </w:rPr>
                <w:t>3</w:t>
              </w:r>
            </w:hyperlink>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6">
              <w:r>
                <w:rPr>
                  <w:rStyle w:val="InternetLink"/>
                  <w:rFonts w:ascii="Times New Roman;serif" w:hAnsi="Times New Roman;serif"/>
                  <w:b/>
                  <w:color w:val="0000FF"/>
                  <w:sz w:val="20"/>
                  <w:u w:val="single"/>
                </w:rPr>
                <w:t>PART I. FINANCIAL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6">
              <w:r>
                <w:rPr>
                  <w:rStyle w:val="InternetLink"/>
                  <w:rFonts w:ascii="Times New Roman;serif" w:hAnsi="Times New Roman;serif"/>
                  <w:b w:val="false"/>
                  <w:strike w:val="false"/>
                  <w:dstrike w:val="false"/>
                  <w:color w:val="000000"/>
                  <w:sz w:val="20"/>
                  <w:u w:val="none"/>
                  <w:effect w:val="none"/>
                </w:rPr>
                <w:t>5</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9">
              <w:r>
                <w:rPr>
                  <w:rStyle w:val="InternetLink"/>
                  <w:rFonts w:ascii="Times New Roman;serif" w:hAnsi="Times New Roman;serif"/>
                  <w:b/>
                  <w:color w:val="0000FF"/>
                  <w:sz w:val="20"/>
                  <w:u w:val="single"/>
                </w:rPr>
                <w:t>Item 1. 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9">
              <w:r>
                <w:rPr>
                  <w:rStyle w:val="InternetLink"/>
                  <w:rFonts w:ascii="Times New Roman;serif" w:hAnsi="Times New Roman;serif"/>
                  <w:b w:val="false"/>
                  <w:strike w:val="false"/>
                  <w:dstrike w:val="false"/>
                  <w:color w:val="000000"/>
                  <w:sz w:val="20"/>
                  <w:u w:val="none"/>
                  <w:effect w:val="none"/>
                </w:rPr>
                <w:t>5</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1049e2e92f9422e829954d1cfd59e34_22">
              <w:r>
                <w:rPr>
                  <w:rStyle w:val="InternetLink"/>
                  <w:rFonts w:ascii="Times New Roman;serif" w:hAnsi="Times New Roman;serif"/>
                  <w:b w:val="false"/>
                  <w:color w:val="000080"/>
                  <w:sz w:val="20"/>
                  <w:u w:val="single"/>
                </w:rPr>
                <w:t xml:space="preserve">Condensed Consolidated Balance Sheets as of </w:t>
              </w:r>
            </w:hyperlink>
            <w:hyperlink w:anchor="i51049e2e92f9422e829954d1cfd59e34_22">
              <w:r>
                <w:rPr>
                  <w:rStyle w:val="InternetLink"/>
                  <w:rFonts w:ascii="Times New Roman;serif" w:hAnsi="Times New Roman;serif"/>
                  <w:b w:val="false"/>
                  <w:color w:val="000080"/>
                  <w:sz w:val="20"/>
                  <w:u w:val="single"/>
                </w:rPr>
                <w:t>Dec</w:t>
              </w:r>
            </w:hyperlink>
            <w:hyperlink w:anchor="i51049e2e92f9422e829954d1cfd59e34_22">
              <w:r>
                <w:rPr>
                  <w:rStyle w:val="InternetLink"/>
                  <w:rFonts w:ascii="Times New Roman;serif" w:hAnsi="Times New Roman;serif"/>
                  <w:b w:val="false"/>
                  <w:color w:val="000080"/>
                  <w:sz w:val="20"/>
                  <w:u w:val="single"/>
                </w:rPr>
                <w:t>ember 26, 2025 and June 27, 2025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22">
              <w:r>
                <w:rPr>
                  <w:rStyle w:val="InternetLink"/>
                  <w:rFonts w:ascii="Times New Roman;serif" w:hAnsi="Times New Roman;serif"/>
                  <w:b w:val="false"/>
                  <w:strike w:val="false"/>
                  <w:dstrike w:val="false"/>
                  <w:color w:val="000000"/>
                  <w:sz w:val="20"/>
                  <w:u w:val="none"/>
                  <w:effect w:val="none"/>
                </w:rPr>
                <w:t>5</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1049e2e92f9422e829954d1cfd59e34_25">
              <w:r>
                <w:rPr>
                  <w:rStyle w:val="InternetLink"/>
                  <w:rFonts w:ascii="Times New Roman;serif" w:hAnsi="Times New Roman;serif"/>
                  <w:b w:val="false"/>
                  <w:color w:val="0000FF"/>
                  <w:sz w:val="20"/>
                  <w:u w:val="single"/>
                </w:rPr>
                <w:t>Condensed Consolidated Statement of Operations and Comprehensive Income for the three and six months ended December 26, 2025 and December 27, 2024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25">
              <w:r>
                <w:rPr>
                  <w:rStyle w:val="InternetLink"/>
                  <w:rFonts w:ascii="Times New Roman;serif" w:hAnsi="Times New Roman;serif"/>
                  <w:b w:val="false"/>
                  <w:strike w:val="false"/>
                  <w:dstrike w:val="false"/>
                  <w:color w:val="000000"/>
                  <w:sz w:val="20"/>
                  <w:u w:val="none"/>
                  <w:effect w:val="none"/>
                </w:rPr>
                <w:t>6</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1049e2e92f9422e829954d1cfd59e34_28">
              <w:r>
                <w:rPr>
                  <w:rStyle w:val="InternetLink"/>
                  <w:rFonts w:ascii="Times New Roman;serif" w:hAnsi="Times New Roman;serif"/>
                  <w:b w:val="false"/>
                  <w:color w:val="000080"/>
                  <w:sz w:val="20"/>
                  <w:u w:val="single"/>
                </w:rPr>
                <w:t xml:space="preserve">Condensed Consolidated Statements of Shareholders’ Equity for the three </w:t>
              </w:r>
            </w:hyperlink>
            <w:hyperlink w:anchor="i51049e2e92f9422e829954d1cfd59e34_28">
              <w:r>
                <w:rPr>
                  <w:rStyle w:val="InternetLink"/>
                  <w:rFonts w:ascii="Times New Roman;serif" w:hAnsi="Times New Roman;serif"/>
                  <w:b w:val="false"/>
                  <w:color w:val="000080"/>
                  <w:sz w:val="20"/>
                  <w:u w:val="single"/>
                </w:rPr>
                <w:t xml:space="preserve">and six </w:t>
              </w:r>
            </w:hyperlink>
            <w:hyperlink w:anchor="i51049e2e92f9422e829954d1cfd59e34_28">
              <w:r>
                <w:rPr>
                  <w:rStyle w:val="InternetLink"/>
                  <w:rFonts w:ascii="Times New Roman;serif" w:hAnsi="Times New Roman;serif"/>
                  <w:b w:val="false"/>
                  <w:color w:val="000080"/>
                  <w:sz w:val="20"/>
                  <w:u w:val="single"/>
                </w:rPr>
                <w:t xml:space="preserve">months ended </w:t>
              </w:r>
            </w:hyperlink>
            <w:hyperlink w:anchor="i51049e2e92f9422e829954d1cfd59e34_22">
              <w:r>
                <w:rPr>
                  <w:rStyle w:val="InternetLink"/>
                  <w:rFonts w:ascii="Times New Roman;serif" w:hAnsi="Times New Roman;serif"/>
                  <w:b w:val="false"/>
                  <w:color w:val="000080"/>
                  <w:sz w:val="20"/>
                  <w:u w:val="single"/>
                </w:rPr>
                <w:t>Dec</w:t>
              </w:r>
            </w:hyperlink>
            <w:hyperlink w:anchor="i51049e2e92f9422e829954d1cfd59e34_22">
              <w:r>
                <w:rPr>
                  <w:rStyle w:val="InternetLink"/>
                  <w:rFonts w:ascii="Times New Roman;serif" w:hAnsi="Times New Roman;serif"/>
                  <w:b w:val="false"/>
                  <w:color w:val="000080"/>
                  <w:sz w:val="20"/>
                  <w:u w:val="single"/>
                </w:rPr>
                <w:t>ember 26, 2025</w:t>
              </w:r>
            </w:hyperlink>
            <w:hyperlink w:anchor="i51049e2e92f9422e829954d1cfd59e34_28">
              <w:r>
                <w:rPr>
                  <w:rStyle w:val="InternetLink"/>
                  <w:rFonts w:ascii="Times New Roman;serif" w:hAnsi="Times New Roman;serif"/>
                  <w:b w:val="false"/>
                  <w:color w:val="000080"/>
                  <w:sz w:val="20"/>
                  <w:u w:val="single"/>
                </w:rPr>
                <w:t xml:space="preserve"> and </w:t>
              </w:r>
            </w:hyperlink>
            <w:hyperlink w:anchor="i51049e2e92f9422e829954d1cfd59e34_22">
              <w:r>
                <w:rPr>
                  <w:rStyle w:val="InternetLink"/>
                  <w:rFonts w:ascii="Times New Roman;serif" w:hAnsi="Times New Roman;serif"/>
                  <w:b w:val="false"/>
                  <w:color w:val="000080"/>
                  <w:sz w:val="20"/>
                  <w:u w:val="single"/>
                </w:rPr>
                <w:t>Dec</w:t>
              </w:r>
            </w:hyperlink>
            <w:hyperlink w:anchor="i51049e2e92f9422e829954d1cfd59e34_22">
              <w:r>
                <w:rPr>
                  <w:rStyle w:val="InternetLink"/>
                  <w:rFonts w:ascii="Times New Roman;serif" w:hAnsi="Times New Roman;serif"/>
                  <w:b w:val="false"/>
                  <w:color w:val="000080"/>
                  <w:sz w:val="20"/>
                  <w:u w:val="single"/>
                </w:rPr>
                <w:t>ember 27, 2024</w:t>
              </w:r>
            </w:hyperlink>
            <w:hyperlink w:anchor="i51049e2e92f9422e829954d1cfd59e34_28">
              <w:r>
                <w:rPr>
                  <w:rStyle w:val="InternetLink"/>
                  <w:rFonts w:ascii="Times New Roman;serif" w:hAnsi="Times New Roman;serif"/>
                  <w:b w:val="false"/>
                  <w:color w:val="000080"/>
                  <w:sz w:val="20"/>
                  <w:u w:val="single"/>
                </w:rPr>
                <w:t xml:space="preserve">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28">
              <w:r>
                <w:rPr>
                  <w:rStyle w:val="InternetLink"/>
                  <w:rFonts w:ascii="Times New Roman;serif" w:hAnsi="Times New Roman;serif"/>
                  <w:b w:val="false"/>
                  <w:strike w:val="false"/>
                  <w:dstrike w:val="false"/>
                  <w:color w:val="000000"/>
                  <w:sz w:val="20"/>
                  <w:u w:val="none"/>
                  <w:effect w:val="none"/>
                </w:rPr>
                <w:t>7</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51049e2e92f9422e829954d1cfd59e34_34">
              <w:r>
                <w:rPr>
                  <w:rStyle w:val="InternetLink"/>
                  <w:rFonts w:ascii="Times New Roman;serif" w:hAnsi="Times New Roman;serif"/>
                  <w:b w:val="false"/>
                  <w:color w:val="000080"/>
                  <w:sz w:val="20"/>
                  <w:u w:val="single"/>
                </w:rPr>
                <w:t xml:space="preserve">Condensed Consolidated Statements of Cash Flows for the </w:t>
              </w:r>
            </w:hyperlink>
            <w:hyperlink w:anchor="i51049e2e92f9422e829954d1cfd59e34_34">
              <w:r>
                <w:rPr>
                  <w:rStyle w:val="InternetLink"/>
                  <w:rFonts w:ascii="Times New Roman;serif" w:hAnsi="Times New Roman;serif"/>
                  <w:b w:val="false"/>
                  <w:color w:val="000080"/>
                  <w:sz w:val="20"/>
                  <w:u w:val="single"/>
                </w:rPr>
                <w:t>six</w:t>
              </w:r>
            </w:hyperlink>
            <w:hyperlink w:anchor="i51049e2e92f9422e829954d1cfd59e34_34">
              <w:r>
                <w:rPr>
                  <w:rStyle w:val="InternetLink"/>
                  <w:rFonts w:ascii="Times New Roman;serif" w:hAnsi="Times New Roman;serif"/>
                  <w:b w:val="false"/>
                  <w:color w:val="000080"/>
                  <w:sz w:val="20"/>
                  <w:u w:val="single"/>
                </w:rPr>
                <w:t xml:space="preserve"> months ended </w:t>
              </w:r>
            </w:hyperlink>
            <w:hyperlink w:anchor="i51049e2e92f9422e829954d1cfd59e34_22">
              <w:r>
                <w:rPr>
                  <w:rStyle w:val="InternetLink"/>
                  <w:rFonts w:ascii="Times New Roman;serif" w:hAnsi="Times New Roman;serif"/>
                  <w:b w:val="false"/>
                  <w:color w:val="000080"/>
                  <w:sz w:val="20"/>
                  <w:u w:val="single"/>
                </w:rPr>
                <w:t>Dec</w:t>
              </w:r>
            </w:hyperlink>
            <w:hyperlink w:anchor="i51049e2e92f9422e829954d1cfd59e34_22">
              <w:r>
                <w:rPr>
                  <w:rStyle w:val="InternetLink"/>
                  <w:rFonts w:ascii="Times New Roman;serif" w:hAnsi="Times New Roman;serif"/>
                  <w:b w:val="false"/>
                  <w:color w:val="000080"/>
                  <w:sz w:val="20"/>
                  <w:u w:val="single"/>
                </w:rPr>
                <w:t>ember 26, 2025</w:t>
              </w:r>
            </w:hyperlink>
            <w:hyperlink w:anchor="i51049e2e92f9422e829954d1cfd59e34_34">
              <w:r>
                <w:rPr>
                  <w:rStyle w:val="InternetLink"/>
                  <w:rFonts w:ascii="Times New Roman;serif" w:hAnsi="Times New Roman;serif"/>
                  <w:b w:val="false"/>
                  <w:color w:val="000080"/>
                  <w:sz w:val="20"/>
                  <w:u w:val="single"/>
                </w:rPr>
                <w:t xml:space="preserve"> and </w:t>
              </w:r>
            </w:hyperlink>
            <w:hyperlink w:anchor="i51049e2e92f9422e829954d1cfd59e34_22">
              <w:r>
                <w:rPr>
                  <w:rStyle w:val="InternetLink"/>
                  <w:rFonts w:ascii="Times New Roman;serif" w:hAnsi="Times New Roman;serif"/>
                  <w:b w:val="false"/>
                  <w:color w:val="000080"/>
                  <w:sz w:val="20"/>
                  <w:u w:val="single"/>
                </w:rPr>
                <w:t>Dec</w:t>
              </w:r>
            </w:hyperlink>
            <w:hyperlink w:anchor="i51049e2e92f9422e829954d1cfd59e34_22">
              <w:r>
                <w:rPr>
                  <w:rStyle w:val="InternetLink"/>
                  <w:rFonts w:ascii="Times New Roman;serif" w:hAnsi="Times New Roman;serif"/>
                  <w:b w:val="false"/>
                  <w:color w:val="000080"/>
                  <w:sz w:val="20"/>
                  <w:u w:val="single"/>
                </w:rPr>
                <w:t>ember 27, 2024</w:t>
              </w:r>
            </w:hyperlink>
            <w:hyperlink w:anchor="i51049e2e92f9422e829954d1cfd59e34_34">
              <w:r>
                <w:rPr>
                  <w:rStyle w:val="InternetLink"/>
                  <w:rFonts w:ascii="Times New Roman;serif" w:hAnsi="Times New Roman;serif"/>
                  <w:b w:val="false"/>
                  <w:color w:val="000080"/>
                  <w:sz w:val="20"/>
                  <w:u w:val="single"/>
                </w:rPr>
                <w:t xml:space="preserve">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34">
              <w:r>
                <w:rPr>
                  <w:rStyle w:val="InternetLink"/>
                  <w:rFonts w:ascii="Times New Roman;serif" w:hAnsi="Times New Roman;serif"/>
                  <w:b w:val="false"/>
                  <w:strike w:val="false"/>
                  <w:dstrike w:val="false"/>
                  <w:color w:val="000000"/>
                  <w:sz w:val="20"/>
                  <w:u w:val="none"/>
                  <w:effect w:val="none"/>
                </w:rPr>
                <w:t>9</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51049e2e92f9422e829954d1cfd59e34_40">
              <w:r>
                <w:rPr>
                  <w:rStyle w:val="InternetLink"/>
                  <w:rFonts w:ascii="Times New Roman;serif" w:hAnsi="Times New Roman;serif"/>
                  <w:b w:val="false"/>
                  <w:color w:val="0000FF"/>
                  <w:sz w:val="20"/>
                  <w:u w:val="single"/>
                </w:rPr>
                <w:t>Notes to Condensed Consolidated Financial Statements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40">
              <w:r>
                <w:rPr>
                  <w:rStyle w:val="InternetLink"/>
                  <w:rFonts w:ascii="Times New Roman;serif" w:hAnsi="Times New Roman;serif"/>
                  <w:b w:val="false"/>
                  <w:strike w:val="false"/>
                  <w:dstrike w:val="false"/>
                  <w:color w:val="000000"/>
                  <w:sz w:val="20"/>
                  <w:u w:val="none"/>
                  <w:effect w:val="none"/>
                </w:rPr>
                <w:t>11</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15">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15">
              <w:r>
                <w:rPr>
                  <w:rStyle w:val="InternetLink"/>
                  <w:rFonts w:ascii="Times New Roman;serif" w:hAnsi="Times New Roman;serif"/>
                  <w:b w:val="false"/>
                  <w:strike w:val="false"/>
                  <w:dstrike w:val="false"/>
                  <w:color w:val="000000"/>
                  <w:sz w:val="20"/>
                  <w:u w:val="none"/>
                  <w:effect w:val="none"/>
                </w:rPr>
                <w:t>30</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54">
              <w:r>
                <w:rPr>
                  <w:rStyle w:val="InternetLink"/>
                  <w:rFonts w:ascii="Times New Roman;serif" w:hAnsi="Times New Roman;serif"/>
                  <w:b/>
                  <w:color w:val="0000FF"/>
                  <w:sz w:val="20"/>
                  <w:u w:val="single"/>
                </w:rPr>
                <w:t>Item 3. 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54">
              <w:r>
                <w:rPr>
                  <w:rStyle w:val="InternetLink"/>
                  <w:rFonts w:ascii="Times New Roman;serif" w:hAnsi="Times New Roman;serif"/>
                  <w:b w:val="false"/>
                  <w:strike w:val="false"/>
                  <w:dstrike w:val="false"/>
                  <w:color w:val="000000"/>
                  <w:sz w:val="20"/>
                  <w:u w:val="none"/>
                  <w:effect w:val="none"/>
                </w:rPr>
                <w:t>41</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57">
              <w:r>
                <w:rPr>
                  <w:rStyle w:val="InternetLink"/>
                  <w:rFonts w:ascii="Times New Roman;serif" w:hAnsi="Times New Roman;serif"/>
                  <w:b/>
                  <w:color w:val="0000FF"/>
                  <w:sz w:val="20"/>
                  <w:u w:val="single"/>
                </w:rPr>
                <w:t>Item 4. 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57">
              <w:r>
                <w:rPr>
                  <w:rStyle w:val="InternetLink"/>
                  <w:rFonts w:ascii="Times New Roman;serif" w:hAnsi="Times New Roman;serif"/>
                  <w:b w:val="false"/>
                  <w:strike w:val="false"/>
                  <w:dstrike w:val="false"/>
                  <w:color w:val="000000"/>
                  <w:sz w:val="20"/>
                  <w:u w:val="none"/>
                  <w:effect w:val="none"/>
                </w:rPr>
                <w:t>42</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60">
              <w:r>
                <w:rPr>
                  <w:rStyle w:val="InternetLink"/>
                  <w:rFonts w:ascii="Times New Roman;serif" w:hAnsi="Times New Roman;serif"/>
                  <w:b/>
                  <w:color w:val="0000FF"/>
                  <w:sz w:val="20"/>
                  <w:u w:val="single"/>
                </w:rPr>
                <w:t>PART II. 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60">
              <w:r>
                <w:rPr>
                  <w:rStyle w:val="InternetLink"/>
                  <w:rFonts w:ascii="Times New Roman;serif" w:hAnsi="Times New Roman;serif"/>
                  <w:b w:val="false"/>
                  <w:strike w:val="false"/>
                  <w:dstrike w:val="false"/>
                  <w:color w:val="000000"/>
                  <w:sz w:val="20"/>
                  <w:u w:val="none"/>
                  <w:effect w:val="none"/>
                </w:rPr>
                <w:t>43</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63">
              <w:r>
                <w:rPr>
                  <w:rStyle w:val="InternetLink"/>
                  <w:rFonts w:ascii="Times New Roman;serif" w:hAnsi="Times New Roman;serif"/>
                  <w:b/>
                  <w:color w:val="0000FF"/>
                  <w:sz w:val="20"/>
                  <w:u w:val="single"/>
                </w:rPr>
                <w:t>Item 1. 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63">
              <w:r>
                <w:rPr>
                  <w:rStyle w:val="InternetLink"/>
                  <w:rFonts w:ascii="Times New Roman;serif" w:hAnsi="Times New Roman;serif"/>
                  <w:b w:val="false"/>
                  <w:strike w:val="false"/>
                  <w:dstrike w:val="false"/>
                  <w:color w:val="000000"/>
                  <w:sz w:val="20"/>
                  <w:u w:val="none"/>
                  <w:effect w:val="none"/>
                </w:rPr>
                <w:t>43</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66">
              <w:r>
                <w:rPr>
                  <w:rStyle w:val="InternetLink"/>
                  <w:rFonts w:ascii="Times New Roman;serif" w:hAnsi="Times New Roman;serif"/>
                  <w:b/>
                  <w:color w:val="0000FF"/>
                  <w:sz w:val="20"/>
                  <w:u w:val="single"/>
                </w:rPr>
                <w:t>Item 1A. 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66">
              <w:r>
                <w:rPr>
                  <w:rStyle w:val="InternetLink"/>
                  <w:rFonts w:ascii="Times New Roman;serif" w:hAnsi="Times New Roman;serif"/>
                  <w:b w:val="false"/>
                  <w:strike w:val="false"/>
                  <w:dstrike w:val="false"/>
                  <w:color w:val="000000"/>
                  <w:sz w:val="20"/>
                  <w:u w:val="none"/>
                  <w:effect w:val="none"/>
                </w:rPr>
                <w:t>43</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69">
              <w:r>
                <w:rPr>
                  <w:rStyle w:val="InternetLink"/>
                  <w:rFonts w:ascii="Times New Roman;serif" w:hAnsi="Times New Roman;serif"/>
                  <w:b/>
                  <w:color w:val="0000FF"/>
                  <w:sz w:val="20"/>
                  <w:u w:val="single"/>
                </w:rPr>
                <w:t>Item 2. 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69">
              <w:r>
                <w:rPr>
                  <w:rStyle w:val="InternetLink"/>
                  <w:rFonts w:ascii="Times New Roman;serif" w:hAnsi="Times New Roman;serif"/>
                  <w:b w:val="false"/>
                  <w:strike w:val="false"/>
                  <w:dstrike w:val="false"/>
                  <w:color w:val="000000"/>
                  <w:sz w:val="20"/>
                  <w:u w:val="none"/>
                  <w:effect w:val="none"/>
                </w:rPr>
                <w:t>61</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75">
              <w:r>
                <w:rPr>
                  <w:rStyle w:val="InternetLink"/>
                  <w:rFonts w:ascii="Times New Roman;serif" w:hAnsi="Times New Roman;serif"/>
                  <w:b/>
                  <w:color w:val="0000FF"/>
                  <w:sz w:val="20"/>
                  <w:u w:val="single"/>
                </w:rPr>
                <w:t>Item 5. 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75">
              <w:r>
                <w:rPr>
                  <w:rStyle w:val="InternetLink"/>
                  <w:rFonts w:ascii="Times New Roman;serif" w:hAnsi="Times New Roman;serif"/>
                  <w:b w:val="false"/>
                  <w:strike w:val="false"/>
                  <w:dstrike w:val="false"/>
                  <w:color w:val="000000"/>
                  <w:sz w:val="20"/>
                  <w:u w:val="none"/>
                  <w:effect w:val="none"/>
                </w:rPr>
                <w:t>62</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78">
              <w:r>
                <w:rPr>
                  <w:rStyle w:val="InternetLink"/>
                  <w:rFonts w:ascii="Times New Roman;serif" w:hAnsi="Times New Roman;serif"/>
                  <w:b/>
                  <w:color w:val="0000FF"/>
                  <w:sz w:val="20"/>
                  <w:u w:val="single"/>
                </w:rPr>
                <w:t>Item 6. 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78">
              <w:r>
                <w:rPr>
                  <w:rStyle w:val="InternetLink"/>
                  <w:rFonts w:ascii="Times New Roman;serif" w:hAnsi="Times New Roman;serif"/>
                  <w:b w:val="false"/>
                  <w:strike w:val="false"/>
                  <w:dstrike w:val="false"/>
                  <w:color w:val="000000"/>
                  <w:sz w:val="20"/>
                  <w:u w:val="none"/>
                  <w:effect w:val="none"/>
                </w:rPr>
                <w:t>62</w:t>
              </w:r>
            </w:hyperlink>
          </w:p>
        </w:tc>
      </w:tr>
      <w:tr>
        <w:trPr/>
        <w:tc>
          <w:tcPr>
            <w:tcW w:w="9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049e2e92f9422e829954d1cfd59e34_181">
              <w:r>
                <w:rPr>
                  <w:rStyle w:val="InternetLink"/>
                  <w:rFonts w:ascii="Times New Roman;serif" w:hAnsi="Times New Roman;serif"/>
                  <w:b/>
                  <w:color w:val="0000FF"/>
                  <w:sz w:val="20"/>
                  <w:u w:val="single"/>
                </w:rPr>
                <w:t>Signature</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049e2e92f9422e829954d1cfd59e34_181">
              <w:r>
                <w:rPr>
                  <w:rStyle w:val="InternetLink"/>
                  <w:rFonts w:ascii="Times New Roman;serif" w:hAnsi="Times New Roman;serif"/>
                  <w:b w:val="false"/>
                  <w:strike w:val="false"/>
                  <w:dstrike w:val="false"/>
                  <w:color w:val="000000"/>
                  <w:sz w:val="20"/>
                  <w:u w:val="none"/>
                  <w:effect w:val="none"/>
                </w:rPr>
                <w:t>63</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before="0" w:after="0"/>
        <w:jc w:val="center"/>
        <w:rPr/>
      </w:pPr>
      <w:r>
        <w:rPr/>
      </w:r>
    </w:p>
    <w:p>
      <w:pPr>
        <w:pStyle w:val="TextBody"/>
        <w:bidi w:val="0"/>
        <w:spacing w:lineRule="auto" w:line="276" w:before="0" w:after="0"/>
        <w:ind w:left="0" w:right="0" w:firstLine="110"/>
        <w:jc w:val="left"/>
        <w:rPr>
          <w:rFonts w:ascii="Times New Roman;serif" w:hAnsi="Times New Roman;serif"/>
          <w:b w:val="false"/>
          <w:i/>
          <w:color w:val="000000"/>
          <w:sz w:val="20"/>
        </w:rPr>
      </w:pPr>
      <w:r>
        <w:rPr>
          <w:rFonts w:ascii="Times New Roman;serif" w:hAnsi="Times New Roman;serif"/>
          <w:b w:val="false"/>
          <w:i/>
          <w:color w:val="000000"/>
          <w:sz w:val="20"/>
        </w:rPr>
        <w:t>You should carefully consider the information set forth below under the heading “Risk Factors” in Part II, Item 1A before deciding whether to invest in our securities. Below is a summary of the principal risks associated with an investment in our securities.</w:t>
      </w:r>
    </w:p>
    <w:p>
      <w:pPr>
        <w:pStyle w:val="TextBody"/>
        <w:bidi w:val="0"/>
        <w:spacing w:lineRule="auto" w:line="240" w:before="120" w:after="283"/>
        <w:ind w:left="0" w:right="0" w:hanging="360"/>
        <w:jc w:val="left"/>
        <w:rPr/>
      </w:pPr>
      <w:r>
        <w:rPr>
          <w:color w:val="000000"/>
        </w:rPr>
        <w:t>•</w:t>
      </w:r>
      <w:r>
        <w:rPr>
          <w:rFonts w:ascii="Times New Roman;serif" w:hAnsi="Times New Roman;serif"/>
          <w:b w:val="false"/>
          <w:color w:val="000000"/>
          <w:sz w:val="20"/>
        </w:rPr>
        <w:t>Our sales depend on a small number of customers. A reduction in orders from any of these customers, the loss of any of these customers, or a customer exerting significant pricing and margin pressures on us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Consolidation in the markets we serve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the optical communications market does not expand as we expect, our business may not grow as fast as we expect, which could adversely impact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quarterly revenues, gross profit margins and operating results have fluctuated significantly and may continue to do so in the future, which may cause the market price of our ordinary shares to decline or be volatile.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we are unable to continue diversifying our precision optical and electro-mechanical manufacturing services across other markets within the optics industry, such as the semiconductor processing, biotechnology, metrology and material processing markets, or if these markets do not grow as fast as we expect, our business may not grow as fast as we expect, which could adversely impact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face significant competition in our business. If we are unable to compete successfully against our current and future competitors, our business, financial condition and operating results could be harmed.</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Cancellations, delays or reductions of customer orders and the relatively short-term nature of the commitments of our customers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exposure to financially troubled customers or suppliers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purchase some of the critical materials used in certain of our products from a single source or a limited number of</w:t>
      </w:r>
      <w:r>
        <w:rPr>
          <w:color w:val="000000"/>
        </w:rPr>
        <w:t xml:space="preserve"> </w:t>
      </w:r>
      <w:r>
        <w:rPr>
          <w:rFonts w:ascii="Times New Roman;serif" w:hAnsi="Times New Roman;serif"/>
          <w:b w:val="false"/>
          <w:color w:val="000000"/>
          <w:sz w:val="20"/>
        </w:rPr>
        <w:t>suppliers.</w:t>
      </w:r>
      <w:r>
        <w:rPr>
          <w:color w:val="000000"/>
        </w:rPr>
        <w:t xml:space="preserve"> </w:t>
      </w:r>
      <w:r>
        <w:rPr>
          <w:rFonts w:ascii="Times New Roman;serif" w:hAnsi="Times New Roman;serif"/>
          <w:b w:val="false"/>
          <w:color w:val="000000"/>
          <w:sz w:val="20"/>
        </w:rPr>
        <w:t>Supply</w:t>
      </w:r>
      <w:r>
        <w:rPr>
          <w:color w:val="000000"/>
        </w:rPr>
        <w:t xml:space="preserve"> </w:t>
      </w:r>
      <w:r>
        <w:rPr>
          <w:rFonts w:ascii="Times New Roman;serif" w:hAnsi="Times New Roman;serif"/>
          <w:b w:val="false"/>
          <w:color w:val="000000"/>
          <w:sz w:val="20"/>
        </w:rPr>
        <w:t>shortages</w:t>
      </w:r>
      <w:r>
        <w:rPr>
          <w:color w:val="000000"/>
        </w:rPr>
        <w:t xml:space="preserve"> </w:t>
      </w:r>
      <w:r>
        <w:rPr>
          <w:rFonts w:ascii="Times New Roman;serif" w:hAnsi="Times New Roman;serif"/>
          <w:b w:val="false"/>
          <w:color w:val="000000"/>
          <w:sz w:val="20"/>
        </w:rPr>
        <w:t>have</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past,</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could</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future,</w:t>
      </w:r>
      <w:r>
        <w:rPr>
          <w:color w:val="000000"/>
        </w:rPr>
        <w:t xml:space="preserve"> </w:t>
      </w:r>
      <w:r>
        <w:rPr>
          <w:rFonts w:ascii="Times New Roman;serif" w:hAnsi="Times New Roman;serif"/>
          <w:b w:val="false"/>
          <w:color w:val="000000"/>
          <w:sz w:val="20"/>
        </w:rPr>
        <w:t>impair</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quality,</w:t>
      </w:r>
      <w:r>
        <w:rPr>
          <w:color w:val="000000"/>
        </w:rPr>
        <w:t xml:space="preserve"> </w:t>
      </w:r>
      <w:r>
        <w:rPr>
          <w:rFonts w:ascii="Times New Roman;serif" w:hAnsi="Times New Roman;serif"/>
          <w:b w:val="false"/>
          <w:color w:val="000000"/>
          <w:sz w:val="20"/>
        </w:rPr>
        <w:t>reduce</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availability</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increase the cost of materials, which could harm our revenues, profitability and customer</w:t>
      </w:r>
      <w:r>
        <w:rPr>
          <w:color w:val="000000"/>
        </w:rPr>
        <w:t xml:space="preserve"> </w:t>
      </w:r>
      <w:r>
        <w:rPr>
          <w:rFonts w:ascii="Times New Roman;serif" w:hAnsi="Times New Roman;serif"/>
          <w:b w:val="false"/>
          <w:color w:val="000000"/>
          <w:sz w:val="20"/>
        </w:rPr>
        <w:t>relations.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Managing our inventory is complex and may require write-downs due to excess or obsolete inventory, which could cause our operating results to decrease significantly in a given fiscal period.</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we fail to adequately expand our manufacturing capacity, we will not be able to grow our business, which would harm our business, financial condition and operating results. Conversely, if we expand too much or too rapidly, we may experience excess capacity, which would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may experience manufacturing yields that are lower than expected, potentially resulting in increased costs, which could harm our business, operating results and customer relations.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If the products that we manufacture contain defects, we could incur significant correction costs, demand for our services may decline and we may be exposed to product liability and product warranty claims, which could harm our business, financial condition, operating results and customer relations.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we fail to attract additional skilled employees or retain key personnel, our business, financial condition and operating results could suffer.</w:t>
      </w:r>
    </w:p>
    <w:p>
      <w:pPr>
        <w:pStyle w:val="TextBody"/>
        <w:bidi w:val="0"/>
        <w:spacing w:before="0" w:after="0"/>
        <w:jc w:val="left"/>
        <w:rPr/>
      </w:pPr>
      <w:r>
        <w:rPr/>
      </w:r>
    </w:p>
    <w:p>
      <w:pPr>
        <w:pStyle w:val="TextBody"/>
        <w:bidi w:val="0"/>
        <w:spacing w:lineRule="auto" w:line="218" w:before="0" w:after="0"/>
        <w:ind w:left="0" w:right="0" w:hanging="360"/>
        <w:jc w:val="left"/>
        <w:rPr/>
      </w:pPr>
      <w:r>
        <w:rPr>
          <w:color w:val="000000"/>
        </w:rPr>
        <w:t>•</w:t>
      </w:r>
      <w:r>
        <w:rPr>
          <w:rFonts w:ascii="Times New Roman;serif" w:hAnsi="Times New Roman;serif"/>
          <w:b w:val="false"/>
          <w:color w:val="000000"/>
          <w:sz w:val="20"/>
        </w:rPr>
        <w:t>Fluctuations</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foreign</w:t>
      </w:r>
      <w:r>
        <w:rPr>
          <w:color w:val="000000"/>
        </w:rPr>
        <w:t xml:space="preserve"> </w:t>
      </w:r>
      <w:r>
        <w:rPr>
          <w:rFonts w:ascii="Times New Roman;serif" w:hAnsi="Times New Roman;serif"/>
          <w:b w:val="false"/>
          <w:color w:val="000000"/>
          <w:sz w:val="20"/>
        </w:rPr>
        <w:t>currency</w:t>
      </w:r>
      <w:r>
        <w:rPr>
          <w:color w:val="000000"/>
        </w:rPr>
        <w:t xml:space="preserve"> </w:t>
      </w:r>
      <w:r>
        <w:rPr>
          <w:rFonts w:ascii="Times New Roman;serif" w:hAnsi="Times New Roman;serif"/>
          <w:b w:val="false"/>
          <w:color w:val="000000"/>
          <w:sz w:val="20"/>
        </w:rPr>
        <w:t>exchange</w:t>
      </w:r>
      <w:r>
        <w:rPr>
          <w:color w:val="000000"/>
        </w:rPr>
        <w:t xml:space="preserve"> </w:t>
      </w:r>
      <w:r>
        <w:rPr>
          <w:rFonts w:ascii="Times New Roman;serif" w:hAnsi="Times New Roman;serif"/>
          <w:b w:val="false"/>
          <w:color w:val="000000"/>
          <w:sz w:val="20"/>
        </w:rPr>
        <w:t>rates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changes</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governmental</w:t>
      </w:r>
      <w:r>
        <w:rPr>
          <w:color w:val="000000"/>
        </w:rPr>
        <w:t xml:space="preserve"> </w:t>
      </w:r>
      <w:r>
        <w:rPr>
          <w:rFonts w:ascii="Times New Roman;serif" w:hAnsi="Times New Roman;serif"/>
          <w:b w:val="false"/>
          <w:color w:val="000000"/>
          <w:sz w:val="20"/>
        </w:rPr>
        <w:t>policies</w:t>
      </w:r>
      <w:r>
        <w:rPr>
          <w:color w:val="000000"/>
        </w:rPr>
        <w:t xml:space="preserve"> </w:t>
      </w:r>
      <w:r>
        <w:rPr>
          <w:rFonts w:ascii="Times New Roman;serif" w:hAnsi="Times New Roman;serif"/>
          <w:b w:val="false"/>
          <w:color w:val="000000"/>
          <w:sz w:val="20"/>
        </w:rPr>
        <w:t>regarding</w:t>
      </w:r>
      <w:r>
        <w:rPr>
          <w:color w:val="000000"/>
        </w:rPr>
        <w:t xml:space="preserve"> </w:t>
      </w:r>
      <w:r>
        <w:rPr>
          <w:rFonts w:ascii="Times New Roman;serif" w:hAnsi="Times New Roman;serif"/>
          <w:b w:val="false"/>
          <w:color w:val="000000"/>
          <w:sz w:val="20"/>
        </w:rPr>
        <w:t>foreign</w:t>
      </w:r>
      <w:r>
        <w:rPr>
          <w:color w:val="000000"/>
        </w:rPr>
        <w:t xml:space="preserve"> </w:t>
      </w:r>
      <w:r>
        <w:rPr>
          <w:rFonts w:ascii="Times New Roman;serif" w:hAnsi="Times New Roman;serif"/>
          <w:b w:val="false"/>
          <w:color w:val="000000"/>
          <w:sz w:val="20"/>
        </w:rPr>
        <w:t>currencies could increase our operating costs, which would adversely affect our operating</w:t>
      </w:r>
      <w:r>
        <w:rPr>
          <w:color w:val="000000"/>
        </w:rPr>
        <w:t xml:space="preserve"> </w:t>
      </w:r>
      <w:r>
        <w:rPr>
          <w:rFonts w:ascii="Times New Roman;serif" w:hAnsi="Times New Roman;serif"/>
          <w:b w:val="false"/>
          <w:color w:val="000000"/>
          <w:sz w:val="20"/>
        </w:rPr>
        <w:t>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conduct operations in a number of countries, which creates logistical and communications challenges for us and exposes us to other risks and challenges that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are subject to governmental export and import controls in several jurisdictions that subject us to a variety of risks, including liability, impairment of our ability to compete in international markets, and decreased sales and customer orders.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are subject to risks related to changes in U.S. and international trade policies, including new or increased tariffs on materials that we use in manufacturing, which could adversely affect our business, financial condition and operating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Political unrest and demonstrations, as well as changes in the political, social, business or economic conditions in Thailand,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expect to continue to invest in our manufacturing operations in the People's Republic of China ("PRC"), which will continue to expose us to risks inherent in doing business in the PRC, any of which risks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Natural disasters, epidemics, acts of terrorism and political and economic developments could harm our business, financial condition and operating results.</w:t>
      </w:r>
    </w:p>
    <w:p>
      <w:pPr>
        <w:pStyle w:val="TextBody"/>
        <w:bidi w:val="0"/>
        <w:spacing w:before="0" w:after="0"/>
        <w:jc w:val="left"/>
        <w:rPr/>
      </w:pPr>
      <w:r>
        <w:rPr/>
      </w:r>
    </w:p>
    <w:p>
      <w:pPr>
        <w:pStyle w:val="TextBody"/>
        <w:bidi w:val="0"/>
        <w:spacing w:lineRule="auto" w:line="218" w:before="0" w:after="0"/>
        <w:ind w:left="0" w:right="0" w:hanging="360"/>
        <w:jc w:val="left"/>
        <w:rPr/>
      </w:pPr>
      <w:r>
        <w:rPr>
          <w:color w:val="000000"/>
        </w:rPr>
        <w:t>•</w:t>
      </w:r>
      <w:r>
        <w:rPr>
          <w:rFonts w:ascii="Times New Roman;serif" w:hAnsi="Times New Roman;serif"/>
          <w:b w:val="false"/>
          <w:color w:val="000000"/>
          <w:sz w:val="20"/>
        </w:rPr>
        <w:t>Unfavorable</w:t>
      </w:r>
      <w:r>
        <w:rPr>
          <w:color w:val="000000"/>
        </w:rPr>
        <w:t xml:space="preserve"> </w:t>
      </w:r>
      <w:r>
        <w:rPr>
          <w:rFonts w:ascii="Times New Roman;serif" w:hAnsi="Times New Roman;serif"/>
          <w:b w:val="false"/>
          <w:color w:val="000000"/>
          <w:sz w:val="20"/>
        </w:rPr>
        <w:t>worldwide</w:t>
      </w:r>
      <w:r>
        <w:rPr>
          <w:color w:val="000000"/>
        </w:rPr>
        <w:t xml:space="preserve"> </w:t>
      </w:r>
      <w:r>
        <w:rPr>
          <w:rFonts w:ascii="Times New Roman;serif" w:hAnsi="Times New Roman;serif"/>
          <w:b w:val="false"/>
          <w:color w:val="000000"/>
          <w:sz w:val="20"/>
        </w:rPr>
        <w:t>economic</w:t>
      </w:r>
      <w:r>
        <w:rPr>
          <w:color w:val="000000"/>
        </w:rPr>
        <w:t xml:space="preserve"> </w:t>
      </w:r>
      <w:r>
        <w:rPr>
          <w:rFonts w:ascii="Times New Roman;serif" w:hAnsi="Times New Roman;serif"/>
          <w:b w:val="false"/>
          <w:color w:val="000000"/>
          <w:sz w:val="20"/>
        </w:rPr>
        <w:t>conditions (including inflation and supply chain disruptions) may</w:t>
      </w:r>
      <w:r>
        <w:rPr>
          <w:color w:val="000000"/>
        </w:rPr>
        <w:t xml:space="preserve"> </w:t>
      </w:r>
      <w:r>
        <w:rPr>
          <w:rFonts w:ascii="Times New Roman;serif" w:hAnsi="Times New Roman;serif"/>
          <w:b w:val="false"/>
          <w:color w:val="000000"/>
          <w:sz w:val="20"/>
        </w:rPr>
        <w:t>negatively</w:t>
      </w:r>
      <w:r>
        <w:rPr>
          <w:color w:val="000000"/>
        </w:rPr>
        <w:t xml:space="preserve"> </w:t>
      </w:r>
      <w:r>
        <w:rPr>
          <w:rFonts w:ascii="Times New Roman;serif" w:hAnsi="Times New Roman;serif"/>
          <w:b w:val="false"/>
          <w:color w:val="000000"/>
          <w:sz w:val="20"/>
        </w:rPr>
        <w:t>affect</w:t>
      </w:r>
      <w:r>
        <w:rPr>
          <w:color w:val="000000"/>
        </w:rPr>
        <w:t xml:space="preserve"> </w:t>
      </w: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business,</w:t>
      </w:r>
      <w:r>
        <w:rPr>
          <w:color w:val="000000"/>
        </w:rPr>
        <w:t xml:space="preserve"> </w:t>
      </w:r>
      <w:r>
        <w:rPr>
          <w:rFonts w:ascii="Times New Roman;serif" w:hAnsi="Times New Roman;serif"/>
          <w:b w:val="false"/>
          <w:color w:val="000000"/>
          <w:sz w:val="20"/>
        </w:rPr>
        <w:t>financial</w:t>
      </w:r>
      <w:r>
        <w:rPr>
          <w:color w:val="000000"/>
        </w:rPr>
        <w:t xml:space="preserve"> </w:t>
      </w:r>
      <w:r>
        <w:rPr>
          <w:rFonts w:ascii="Times New Roman;serif" w:hAnsi="Times New Roman;serif"/>
          <w:b w:val="false"/>
          <w:color w:val="000000"/>
          <w:sz w:val="20"/>
        </w:rPr>
        <w:t>condition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may not be able to obtain capital when desired on favorable terms, if at all, or without dilution to our shareholders.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investment portfolio may become impaired by deterioration of the capital markets.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are not fully insured against all potential losses. Natural disasters or other catastrophes could adversely affect our business, financial condition and operating results.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There are inherent uncertainties involved in estimates, judgments and assumptions used in the preparation of financial statements in accordance with U.S. GAAP. Any changes in estimates, judgments and assumptions could have a material adverse effect on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business and operations would be adversely impacted in the event of a failure of our information technology infrastructure and/or cyber security attacks.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Intellectual property infringement claims against our customers or us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Any failure to protect our customers’ intellectual property that we use in the products we manufacture for them could harm our customer relationships and subject us to liability.</w:t>
      </w:r>
    </w:p>
    <w:p>
      <w:pPr>
        <w:pStyle w:val="TextBody"/>
        <w:bidi w:val="0"/>
        <w:spacing w:before="0" w:after="0"/>
        <w:jc w:val="left"/>
        <w:rPr/>
      </w:pPr>
      <w:r>
        <w:rPr/>
      </w:r>
    </w:p>
    <w:p>
      <w:pPr>
        <w:pStyle w:val="TextBody"/>
        <w:bidi w:val="0"/>
        <w:spacing w:lineRule="auto" w:line="218" w:before="0" w:after="0"/>
        <w:ind w:left="0" w:right="0" w:hanging="360"/>
        <w:jc w:val="left"/>
        <w:rPr/>
      </w:pPr>
      <w:r>
        <w:rPr>
          <w:color w:val="000000"/>
        </w:rPr>
        <w:t>•</w:t>
      </w:r>
      <w:r>
        <w:rPr>
          <w:rFonts w:ascii="Times New Roman;serif" w:hAnsi="Times New Roman;serif"/>
          <w:b w:val="false"/>
          <w:color w:val="000000"/>
          <w:sz w:val="20"/>
        </w:rPr>
        <w:t>We are subject to the risk of increased income taxes, which could harm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have incurred and will continue to incur significant increased costs as a result of operating as a public company, and our management will be required to continue to devote substantial resources to various compliance initiatives.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we are unable to meet regulatory quality standards applicable to our manufacturing and quality processes for the products we manufacture, our business, financial condition and operating results could be harmed.</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Failure to comply with applicable environmental laws and regulations could have a material adverse effect on our business, financial condition and operating results.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share price may be volatile due to fluctuations in our operating results and other factors, including the activities and operating results of our customers or competitors, any of which could cause our share price to decline.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If securities or industry analysts do not publish research or if they publish misleading or unfavorable research about our business, the market price and trading volume of our ordinary shares could decline.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We may become a passive foreign investment company, which could result in adverse U.S. tax consequences to U.S. investors.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business and share price could be negatively affected as a result of activist shareholders.</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Certain provisions in our constitutional documents may discourage our acquisition by a third party, which could limit our shareholders' opportunity to sell shares at a premium.</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Our shareholders may face difficulties in protecting their interests because we are incorporated under Cayman Islands law.</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Certain judgments obtained against us by our shareholders may not be enforceable.</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Energy price volatility may negatively impact our business, financial condition and operating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3050"/>
        <w:gridCol w:w="2211"/>
        <w:gridCol w:w="2219"/>
        <w:gridCol w:w="196"/>
        <w:gridCol w:w="871"/>
        <w:gridCol w:w="109"/>
        <w:gridCol w:w="109"/>
        <w:gridCol w:w="109"/>
        <w:gridCol w:w="109"/>
        <w:gridCol w:w="196"/>
        <w:gridCol w:w="871"/>
        <w:gridCol w:w="155"/>
      </w:tblGrid>
      <w:tr>
        <w:trPr/>
        <w:tc>
          <w:tcPr>
            <w:tcW w:w="305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share data and par value)</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306,425 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Trade accounts receivable, net of allowance for expected credit losses of $1,296 and $1,344,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758,894 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581,015 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2,773,801 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2,428,839 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402,593 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2,831,432 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637,417 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assets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bonus and 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liabilities,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payables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809,842 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 non-current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849,620 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14)</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shares (5,000,000 shares authorized, $0.01 par value; no shares issued and outstanding as of December 26, 2025 and June 27,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Ordinary shares (500,000,000 shares authorized, $0.01 par value; 39,709,931 shares and 39,602,152 shares issued as of December 26, 2025 and June 27, 2025, respectively; and 35,822,444 shares and 35,728,074 shares outstanding as of December 26, 2025 and June 27,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Treasury shares (3,887,487 shares and 3,874,078 shares as of December 26, 2025 and June 27,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1,981,812 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2,831,432 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(unaudited)</w:t>
      </w:r>
    </w:p>
    <w:tbl>
      <w:tblPr>
        <w:tblW w:w="10205" w:type="dxa"/>
        <w:jc w:val="left"/>
        <w:tblInd w:w="0" w:type="dxa"/>
        <w:tblLayout w:type="fixed"/>
        <w:tblCellMar>
          <w:top w:w="28" w:type="dxa"/>
          <w:left w:w="28" w:type="dxa"/>
          <w:bottom w:w="28" w:type="dxa"/>
          <w:right w:w="28" w:type="dxa"/>
        </w:tblCellMar>
      </w:tblPr>
      <w:tblGrid>
        <w:gridCol w:w="1784"/>
        <w:gridCol w:w="1176"/>
        <w:gridCol w:w="1184"/>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78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(1,437,961)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net unrealized gain (loss) on available-for-sale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net unrealized gain (loss) on derivative instruments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 in foreign currency translation adjustment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number of ordinary shares outstanding (in thousands of shares)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 the Three Months Ended December 26, 2025</w:t>
      </w:r>
    </w:p>
    <w:tbl>
      <w:tblPr>
        <w:tblW w:w="11536" w:type="dxa"/>
        <w:jc w:val="left"/>
        <w:tblInd w:w="0" w:type="dxa"/>
        <w:tblLayout w:type="fixed"/>
        <w:tblCellMar>
          <w:top w:w="28" w:type="dxa"/>
          <w:left w:w="28" w:type="dxa"/>
          <w:bottom w:w="28" w:type="dxa"/>
          <w:right w:w="28" w:type="dxa"/>
        </w:tblCellMar>
      </w:tblPr>
      <w:tblGrid>
        <w:gridCol w:w="824"/>
        <w:gridCol w:w="263"/>
        <w:gridCol w:w="264"/>
        <w:gridCol w:w="540"/>
        <w:gridCol w:w="541"/>
        <w:gridCol w:w="196"/>
        <w:gridCol w:w="109"/>
        <w:gridCol w:w="109"/>
        <w:gridCol w:w="109"/>
        <w:gridCol w:w="211"/>
        <w:gridCol w:w="466"/>
        <w:gridCol w:w="109"/>
        <w:gridCol w:w="109"/>
        <w:gridCol w:w="109"/>
        <w:gridCol w:w="109"/>
        <w:gridCol w:w="211"/>
        <w:gridCol w:w="826"/>
        <w:gridCol w:w="109"/>
        <w:gridCol w:w="109"/>
        <w:gridCol w:w="109"/>
        <w:gridCol w:w="109"/>
        <w:gridCol w:w="211"/>
        <w:gridCol w:w="841"/>
        <w:gridCol w:w="109"/>
        <w:gridCol w:w="109"/>
        <w:gridCol w:w="109"/>
        <w:gridCol w:w="109"/>
        <w:gridCol w:w="246"/>
        <w:gridCol w:w="842"/>
        <w:gridCol w:w="128"/>
        <w:gridCol w:w="109"/>
        <w:gridCol w:w="109"/>
        <w:gridCol w:w="109"/>
        <w:gridCol w:w="211"/>
        <w:gridCol w:w="976"/>
        <w:gridCol w:w="109"/>
        <w:gridCol w:w="109"/>
        <w:gridCol w:w="109"/>
        <w:gridCol w:w="109"/>
        <w:gridCol w:w="211"/>
        <w:gridCol w:w="97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share data)</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26,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39,701,363 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warrant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12,439 shares held as treasury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 of restricted share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26,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39,709,931 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2,184,786 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 the Six Months Ended December 26, 2025</w:t>
      </w:r>
    </w:p>
    <w:tbl>
      <w:tblPr>
        <w:tblW w:w="11536" w:type="dxa"/>
        <w:jc w:val="left"/>
        <w:tblInd w:w="0" w:type="dxa"/>
        <w:tblLayout w:type="fixed"/>
        <w:tblCellMar>
          <w:top w:w="28" w:type="dxa"/>
          <w:left w:w="28" w:type="dxa"/>
          <w:bottom w:w="28" w:type="dxa"/>
          <w:right w:w="28" w:type="dxa"/>
        </w:tblCellMar>
      </w:tblPr>
      <w:tblGrid>
        <w:gridCol w:w="824"/>
        <w:gridCol w:w="263"/>
        <w:gridCol w:w="264"/>
        <w:gridCol w:w="540"/>
        <w:gridCol w:w="541"/>
        <w:gridCol w:w="196"/>
        <w:gridCol w:w="109"/>
        <w:gridCol w:w="109"/>
        <w:gridCol w:w="109"/>
        <w:gridCol w:w="211"/>
        <w:gridCol w:w="466"/>
        <w:gridCol w:w="109"/>
        <w:gridCol w:w="109"/>
        <w:gridCol w:w="109"/>
        <w:gridCol w:w="109"/>
        <w:gridCol w:w="211"/>
        <w:gridCol w:w="826"/>
        <w:gridCol w:w="109"/>
        <w:gridCol w:w="109"/>
        <w:gridCol w:w="109"/>
        <w:gridCol w:w="109"/>
        <w:gridCol w:w="211"/>
        <w:gridCol w:w="841"/>
        <w:gridCol w:w="109"/>
        <w:gridCol w:w="109"/>
        <w:gridCol w:w="109"/>
        <w:gridCol w:w="109"/>
        <w:gridCol w:w="246"/>
        <w:gridCol w:w="842"/>
        <w:gridCol w:w="128"/>
        <w:gridCol w:w="109"/>
        <w:gridCol w:w="109"/>
        <w:gridCol w:w="109"/>
        <w:gridCol w:w="211"/>
        <w:gridCol w:w="976"/>
        <w:gridCol w:w="109"/>
        <w:gridCol w:w="109"/>
        <w:gridCol w:w="109"/>
        <w:gridCol w:w="109"/>
        <w:gridCol w:w="211"/>
        <w:gridCol w:w="97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share data)</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27,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39,602,152 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warrant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13,409 shares held as treasury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 of restricted share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December 26,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39,709,931 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2,184,786 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 the Three Months Ended December 27, 2024</w:t>
      </w:r>
    </w:p>
    <w:tbl>
      <w:tblPr>
        <w:tblW w:w="11536" w:type="dxa"/>
        <w:jc w:val="left"/>
        <w:tblInd w:w="0" w:type="dxa"/>
        <w:tblLayout w:type="fixed"/>
        <w:tblCellMar>
          <w:top w:w="28" w:type="dxa"/>
          <w:left w:w="28" w:type="dxa"/>
          <w:bottom w:w="28" w:type="dxa"/>
          <w:right w:w="28" w:type="dxa"/>
        </w:tblCellMar>
      </w:tblPr>
      <w:tblGrid>
        <w:gridCol w:w="824"/>
        <w:gridCol w:w="263"/>
        <w:gridCol w:w="264"/>
        <w:gridCol w:w="540"/>
        <w:gridCol w:w="541"/>
        <w:gridCol w:w="196"/>
        <w:gridCol w:w="109"/>
        <w:gridCol w:w="109"/>
        <w:gridCol w:w="109"/>
        <w:gridCol w:w="211"/>
        <w:gridCol w:w="466"/>
        <w:gridCol w:w="109"/>
        <w:gridCol w:w="109"/>
        <w:gridCol w:w="109"/>
        <w:gridCol w:w="109"/>
        <w:gridCol w:w="211"/>
        <w:gridCol w:w="826"/>
        <w:gridCol w:w="109"/>
        <w:gridCol w:w="109"/>
        <w:gridCol w:w="109"/>
        <w:gridCol w:w="109"/>
        <w:gridCol w:w="211"/>
        <w:gridCol w:w="841"/>
        <w:gridCol w:w="109"/>
        <w:gridCol w:w="109"/>
        <w:gridCol w:w="109"/>
        <w:gridCol w:w="109"/>
        <w:gridCol w:w="246"/>
        <w:gridCol w:w="842"/>
        <w:gridCol w:w="128"/>
        <w:gridCol w:w="109"/>
        <w:gridCol w:w="109"/>
        <w:gridCol w:w="109"/>
        <w:gridCol w:w="211"/>
        <w:gridCol w:w="976"/>
        <w:gridCol w:w="109"/>
        <w:gridCol w:w="109"/>
        <w:gridCol w:w="109"/>
        <w:gridCol w:w="109"/>
        <w:gridCol w:w="211"/>
        <w:gridCol w:w="97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share data)</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September 27,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39,579,859 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291,780 shares held as treasury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 of restricted share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December 27,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39,585,188 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1,842,971 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 the Six Months Ended December 27, 2024</w:t>
      </w:r>
    </w:p>
    <w:tbl>
      <w:tblPr>
        <w:tblW w:w="11536" w:type="dxa"/>
        <w:jc w:val="left"/>
        <w:tblInd w:w="0" w:type="dxa"/>
        <w:tblLayout w:type="fixed"/>
        <w:tblCellMar>
          <w:top w:w="28" w:type="dxa"/>
          <w:left w:w="28" w:type="dxa"/>
          <w:bottom w:w="28" w:type="dxa"/>
          <w:right w:w="28" w:type="dxa"/>
        </w:tblCellMar>
      </w:tblPr>
      <w:tblGrid>
        <w:gridCol w:w="824"/>
        <w:gridCol w:w="263"/>
        <w:gridCol w:w="264"/>
        <w:gridCol w:w="540"/>
        <w:gridCol w:w="541"/>
        <w:gridCol w:w="196"/>
        <w:gridCol w:w="109"/>
        <w:gridCol w:w="109"/>
        <w:gridCol w:w="109"/>
        <w:gridCol w:w="211"/>
        <w:gridCol w:w="466"/>
        <w:gridCol w:w="109"/>
        <w:gridCol w:w="109"/>
        <w:gridCol w:w="109"/>
        <w:gridCol w:w="109"/>
        <w:gridCol w:w="211"/>
        <w:gridCol w:w="826"/>
        <w:gridCol w:w="109"/>
        <w:gridCol w:w="109"/>
        <w:gridCol w:w="109"/>
        <w:gridCol w:w="109"/>
        <w:gridCol w:w="211"/>
        <w:gridCol w:w="841"/>
        <w:gridCol w:w="109"/>
        <w:gridCol w:w="109"/>
        <w:gridCol w:w="109"/>
        <w:gridCol w:w="109"/>
        <w:gridCol w:w="269"/>
        <w:gridCol w:w="806"/>
        <w:gridCol w:w="141"/>
        <w:gridCol w:w="109"/>
        <w:gridCol w:w="109"/>
        <w:gridCol w:w="109"/>
        <w:gridCol w:w="211"/>
        <w:gridCol w:w="976"/>
        <w:gridCol w:w="109"/>
        <w:gridCol w:w="109"/>
        <w:gridCol w:w="109"/>
        <w:gridCol w:w="109"/>
        <w:gridCol w:w="211"/>
        <w:gridCol w:w="97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br/>
              <w:t>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 except share data)</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28,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39,457,462 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291,780 shares held as treasury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 of restricted share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December 27,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39,585,188 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1,924,800 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1,842,971 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    </w:t>
      </w:r>
    </w:p>
    <w:tbl>
      <w:tblPr>
        <w:tblW w:w="10163" w:type="dxa"/>
        <w:jc w:val="center"/>
        <w:tblInd w:w="0" w:type="dxa"/>
        <w:tblLayout w:type="fixed"/>
        <w:tblCellMar>
          <w:top w:w="28" w:type="dxa"/>
          <w:left w:w="28" w:type="dxa"/>
          <w:bottom w:w="28" w:type="dxa"/>
          <w:right w:w="28" w:type="dxa"/>
        </w:tblCellMar>
      </w:tblPr>
      <w:tblGrid>
        <w:gridCol w:w="2715"/>
        <w:gridCol w:w="2386"/>
        <w:gridCol w:w="2398"/>
        <w:gridCol w:w="211"/>
        <w:gridCol w:w="826"/>
        <w:gridCol w:w="109"/>
        <w:gridCol w:w="109"/>
        <w:gridCol w:w="109"/>
        <w:gridCol w:w="109"/>
        <w:gridCol w:w="211"/>
        <w:gridCol w:w="826"/>
        <w:gridCol w:w="154"/>
      </w:tblGrid>
      <w:tr>
        <w:trPr/>
        <w:tc>
          <w:tcPr>
            <w:tcW w:w="2715"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disposal of property, plant and equipment and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(premium)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obsolescence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allowance for expected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exchange rate and fair value of foreign currency forward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warrant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and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and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disposal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ordinary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 related to net share settlement of restricted share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Movement in cash, cash equivalents and restricted cash</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on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the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software and equipment-related payables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 (Continued)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unaudited condensed consolidated balance sheets that sum to the total of the same amounts shown in the unaudited condensed consolidated statements of cash flows:</w:t>
      </w:r>
    </w:p>
    <w:tbl>
      <w:tblPr>
        <w:tblW w:w="6880" w:type="dxa"/>
        <w:jc w:val="left"/>
        <w:tblInd w:w="0" w:type="dxa"/>
        <w:tblLayout w:type="fixed"/>
        <w:tblCellMar>
          <w:top w:w="28" w:type="dxa"/>
          <w:left w:w="28" w:type="dxa"/>
          <w:bottom w:w="28" w:type="dxa"/>
          <w:right w:w="28" w:type="dxa"/>
        </w:tblCellMar>
      </w:tblPr>
      <w:tblGrid>
        <w:gridCol w:w="1271"/>
        <w:gridCol w:w="1117"/>
        <w:gridCol w:w="1122"/>
        <w:gridCol w:w="276"/>
        <w:gridCol w:w="1081"/>
        <w:gridCol w:w="142"/>
        <w:gridCol w:w="109"/>
        <w:gridCol w:w="109"/>
        <w:gridCol w:w="109"/>
        <w:gridCol w:w="273"/>
        <w:gridCol w:w="1072"/>
        <w:gridCol w:w="199"/>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of U.S. dollars)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27, 2024</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403,662 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403,662 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FABRINET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1.    Business and organization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Fabrinet (“Fabrinet” or the “Parent Company”) was incorporated on August 12, 1999, and commenced operations on January 1, 2000. The Parent Company is an exempted company incorporated in the Cayman Islands, British West Indies. The “Company” refers to Fabrinet and its subsidiaries as a group.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provides advanced optical packaging and precision optical, electro-mechanical and electronic manufacturing services to original equipment manufacturers of complex products, such as optical communication components, modules and sub-systems, automotive components, industrial lasers, medical devices and sensors. The Company offers a broad range of advanced optical and electro-mechanical capabilities across the entire manufacturing process, including process design and engineering, supply chain management, manufacturing, complex printed circuit board assembly, advanced packaging, integration, final assembly and testing. The Company is capable of producing a wide variety of high complexity products in any mix and any volume. The principal subsidiaries of Fabrinet include Fabrinet Co., Ltd. (“Fabrinet Thailand”), Casix, Inc. (“Casix”), Fabrinet West, Inc. (“Fabrinet West”) and Fabrinet Israel Ltd. (“Fabrinet Israel”).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360"/>
        <w:jc w:val="left"/>
        <w:rPr/>
      </w:pPr>
      <w:r>
        <w:rPr>
          <w:rFonts w:ascii="Times New Roman;serif" w:hAnsi="Times New Roman;serif"/>
          <w:b/>
          <w:color w:val="000000"/>
          <w:sz w:val="20"/>
        </w:rPr>
        <w:t>2.</w:t>
      </w:r>
      <w:r>
        <w:rPr>
          <w:color w:val="000000"/>
        </w:rPr>
        <w:t>    </w:t>
      </w:r>
      <w:r>
        <w:rPr>
          <w:rFonts w:ascii="Times New Roman;serif" w:hAnsi="Times New Roman;serif"/>
          <w:b/>
          <w:color w:val="000000"/>
          <w:sz w:val="20"/>
        </w:rPr>
        <w:t>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for Fabrinet as of December 26, 2025 and for the three and six months ended December 26, 2025 and December 27, 2024 include normal recurring adjustments necessary for a fair statement of the financial statements set forth herein, in accordance with accounting principles generally accepted in the United States of America (“U.S. GAAP” or "GAAP") for interim financial information and the rules and regulations of the Securities and Exchange Commission (“SEC”). Accordingly, such information does not include all of the information and footnotes required by U.S. GAAP for annual financial statements. For further information, please refer to the consolidated financial statements and footnotes thereto included in Fabrinet’s Annual Report on Form 10-K for the year ended June 27,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balance sheet as of June 27, 2025 has been derived from the audited financial statements at that date but does not include all of the information and footnotes required by U.S. GAAP for complete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results for the three and six months ended December 26, 2025 may not be indicative of results for the year ending June 26, 2026 or any future periods.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the Company’s unaudited condensed consolidated financial statements in conformity with U.S. GAAP requires management to make estimates and assumptions that affect the reported amounts of assets and liabilities and disclosure of contingent liabilities at the date of the financial statements and the reported amount of total revenues and expenses during the year. The Company bases estimates on historical experience and various assumptions about the future that are believed to be reasonable based on available information. The Company’s reported financial position or results of operations may be materially different under different conditions or when using different estimates and assumptions, particularly with respect to significant accounting policies, which are discussed below. Significant assumptions are used in accounting for share-based compensation, the fair value of warrant shares at grant date, allowance for expected credit losses, income taxes, and inventory obsolescence. Due to the inherent uncertainty involved in making estimates, actual results reported in future periods may be different from these estimates. In the event that the Company's estimates or assumptions prove to be different from actual results, adjustments will be made in subsequent periods to reflect more current information.</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Fiscal years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a 52-53 week fiscal year ending on the Friday in June closest to June 30. The three months ended December 26, 2025 and December 27, 2024 consisted of 13 weeks. Fiscal year 2026 will comprise 52 weeks and will end on June 26, 2026.</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New Accounting Standards—not yet adopted by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“Income Taxes (Topic 740), Improvements to Income Tax Disclosures,” which requires more detailed income tax disclosures. This ASU requires entities to disclose disaggregated information about their effective tax rate reconciliation as well as expanded information on income taxes paid by jurisdiction. This ASU is effective for all entities for fiscal years beginning after December 15, 2024, with early adoption permitted for annual financial statements that have not yet been issued or made available for issuance. This ASU will be effective for the Company beginning in fiscal year 2026. The Company is currently assessing the impact to its disclosures.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which requires additional disclosure, in notes to financial statements, of specified information about certain costs and expenses in the same tabular format disclosure as the other disaggregation requirements in the amendments in this ASU. This ASU is effective for all entities for fiscal years beginning after December 15, 2026, and interim reporting periods beginning after December 15, 2027, with early adoption permitted. This ASU is effective for the Company's annual periods beginning June 26, 2027, and interim periods beginning July 1, 2028, and will be applied retrospectively to all prior periods presented in the financial statements. The Company is currently evaluating the ASU to determine its impact on the Company's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rFonts w:ascii="Times New Roman;serif" w:hAnsi="Times New Roman;serif"/>
          <w:b/>
          <w:color w:val="000000"/>
          <w:sz w:val="20"/>
        </w:rPr>
        <w:t>3.</w:t>
      </w:r>
      <w:r>
        <w:rPr>
          <w:color w:val="000000"/>
        </w:rPr>
        <w:t>    </w:t>
      </w:r>
      <w:r>
        <w:rPr>
          <w:rFonts w:ascii="Times New Roman;serif" w:hAnsi="Times New Roman;serif"/>
          <w:b/>
          <w:color w:val="000000"/>
          <w:sz w:val="20"/>
        </w:rPr>
        <w:t>Revenues from contracts with customers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by Geographic Area, End Market and Product Category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Revenues are attributed to a particular geographic area based on the bill-to-location of the Company’s customers. The Company operates in three geographic regions: North America; Asia-Pacific and others; and Europe.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total revenues by geographic region:</w:t>
      </w:r>
    </w:p>
    <w:tbl>
      <w:tblPr>
        <w:tblW w:w="10205" w:type="dxa"/>
        <w:jc w:val="left"/>
        <w:tblInd w:w="0" w:type="dxa"/>
        <w:tblLayout w:type="fixed"/>
        <w:tblCellMar>
          <w:top w:w="28" w:type="dxa"/>
          <w:left w:w="28" w:type="dxa"/>
          <w:bottom w:w="28" w:type="dxa"/>
          <w:right w:w="28" w:type="dxa"/>
        </w:tblCellMar>
      </w:tblPr>
      <w:tblGrid>
        <w:gridCol w:w="1244"/>
        <w:gridCol w:w="1089"/>
        <w:gridCol w:w="1096"/>
        <w:gridCol w:w="259"/>
        <w:gridCol w:w="1201"/>
        <w:gridCol w:w="134"/>
        <w:gridCol w:w="109"/>
        <w:gridCol w:w="109"/>
        <w:gridCol w:w="109"/>
        <w:gridCol w:w="308"/>
        <w:gridCol w:w="308"/>
        <w:gridCol w:w="699"/>
        <w:gridCol w:w="109"/>
        <w:gridCol w:w="109"/>
        <w:gridCol w:w="109"/>
        <w:gridCol w:w="242"/>
        <w:gridCol w:w="1124"/>
        <w:gridCol w:w="125"/>
        <w:gridCol w:w="109"/>
        <w:gridCol w:w="109"/>
        <w:gridCol w:w="109"/>
        <w:gridCol w:w="308"/>
        <w:gridCol w:w="308"/>
        <w:gridCol w:w="779"/>
      </w:tblGrid>
      <w:tr>
        <w:trPr/>
        <w:tc>
          <w:tcPr>
            <w:tcW w:w="124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3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America</w:t>
            </w:r>
          </w:p>
        </w:tc>
        <w:tc>
          <w:tcPr>
            <w:tcW w:w="1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(1)</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in North America</w:t>
            </w:r>
          </w:p>
        </w:tc>
        <w:tc>
          <w:tcPr>
            <w:tcW w:w="14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530,829 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952,846 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Asia-Pacific and others</w:t>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Israel</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231,742 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India</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Hong Kong</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Malaysia</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Thailand</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China</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Singapore</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Japan</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Others</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in Asia-Pacific and others</w:t>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491,861 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953,795 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Europe</w:t>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U.K.</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Finland</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Germany</w:t>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Others</w:t>
            </w:r>
          </w:p>
        </w:tc>
        <w:tc>
          <w:tcPr>
            <w:tcW w:w="1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in Europe</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204,375 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1,132,888 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2,111,016 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6"/>
        <w:gridCol w:w="1091"/>
        <w:gridCol w:w="1098"/>
        <w:gridCol w:w="292"/>
        <w:gridCol w:w="1146"/>
        <w:gridCol w:w="150"/>
        <w:gridCol w:w="109"/>
        <w:gridCol w:w="109"/>
        <w:gridCol w:w="109"/>
        <w:gridCol w:w="308"/>
        <w:gridCol w:w="308"/>
        <w:gridCol w:w="699"/>
        <w:gridCol w:w="109"/>
        <w:gridCol w:w="109"/>
        <w:gridCol w:w="109"/>
        <w:gridCol w:w="242"/>
        <w:gridCol w:w="1125"/>
        <w:gridCol w:w="125"/>
        <w:gridCol w:w="109"/>
        <w:gridCol w:w="109"/>
        <w:gridCol w:w="109"/>
        <w:gridCol w:w="308"/>
        <w:gridCol w:w="308"/>
        <w:gridCol w:w="778"/>
      </w:tblGrid>
      <w:tr>
        <w:trPr/>
        <w:tc>
          <w:tcPr>
            <w:tcW w:w="12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December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December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America</w:t>
            </w:r>
          </w:p>
        </w:tc>
        <w:tc>
          <w:tcPr>
            <w:tcW w:w="15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(1)</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in North America</w:t>
            </w:r>
          </w:p>
        </w:tc>
        <w:tc>
          <w:tcPr>
            <w:tcW w:w="14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372,403 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681,881 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Asia-Pacific and others</w:t>
            </w:r>
          </w:p>
        </w:tc>
        <w:tc>
          <w:tcPr>
            <w:tcW w:w="1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Israel</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India</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152,459 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Hong Kong</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Thailand</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China</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Singapore</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Japan</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Malaysia</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Others</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in Asia-Pacific and others</w:t>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394,182 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830,820 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Europe</w:t>
            </w:r>
          </w:p>
        </w:tc>
        <w:tc>
          <w:tcPr>
            <w:tcW w:w="1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U.K.</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Germany</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Others</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in Europe</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833,608 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1,637,836 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Others includes revenues from external customers based in our country of domicile, the Cayman Islands, which for each period presented is $0.</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revenues by end market and product category:</w:t>
      </w:r>
    </w:p>
    <w:tbl>
      <w:tblPr>
        <w:tblW w:w="10205" w:type="dxa"/>
        <w:jc w:val="left"/>
        <w:tblInd w:w="0" w:type="dxa"/>
        <w:tblLayout w:type="fixed"/>
        <w:tblCellMar>
          <w:top w:w="28" w:type="dxa"/>
          <w:left w:w="28" w:type="dxa"/>
          <w:bottom w:w="28" w:type="dxa"/>
          <w:right w:w="28" w:type="dxa"/>
        </w:tblCellMar>
      </w:tblPr>
      <w:tblGrid>
        <w:gridCol w:w="1333"/>
        <w:gridCol w:w="1079"/>
        <w:gridCol w:w="1086"/>
        <w:gridCol w:w="252"/>
        <w:gridCol w:w="1169"/>
        <w:gridCol w:w="130"/>
        <w:gridCol w:w="109"/>
        <w:gridCol w:w="109"/>
        <w:gridCol w:w="109"/>
        <w:gridCol w:w="308"/>
        <w:gridCol w:w="308"/>
        <w:gridCol w:w="699"/>
        <w:gridCol w:w="109"/>
        <w:gridCol w:w="109"/>
        <w:gridCol w:w="109"/>
        <w:gridCol w:w="238"/>
        <w:gridCol w:w="1104"/>
        <w:gridCol w:w="123"/>
        <w:gridCol w:w="109"/>
        <w:gridCol w:w="109"/>
        <w:gridCol w:w="109"/>
        <w:gridCol w:w="308"/>
        <w:gridCol w:w="308"/>
        <w:gridCol w:w="779"/>
      </w:tblGrid>
      <w:tr>
        <w:trPr/>
        <w:tc>
          <w:tcPr>
            <w:tcW w:w="133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3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Optical communications</w:t>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Telecom</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Datacom</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Datacenter interconnect </w:t>
            </w:r>
            <w:r>
              <w:rPr>
                <w:rFonts w:ascii="Times New Roman;serif" w:hAnsi="Times New Roman;serif"/>
                <w:b w:val="false"/>
                <w:color w:val="000000"/>
                <w:sz w:val="13"/>
              </w:rPr>
              <w:t>(1)</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 Optical communications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832,590 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1,579,486 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Non-optical communications</w:t>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laser</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High-performance computing </w:t>
            </w:r>
            <w:r>
              <w:rPr>
                <w:rFonts w:ascii="Times New Roman;serif" w:hAnsi="Times New Roman;serif"/>
                <w:b w:val="false"/>
                <w:color w:val="000000"/>
                <w:sz w:val="13"/>
              </w:rPr>
              <w:t>(2)</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 Non-optical communications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300,298 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531,530 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1,132,888 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2,111,016 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27"/>
        <w:gridCol w:w="1091"/>
        <w:gridCol w:w="1098"/>
        <w:gridCol w:w="281"/>
        <w:gridCol w:w="1105"/>
        <w:gridCol w:w="145"/>
        <w:gridCol w:w="109"/>
        <w:gridCol w:w="109"/>
        <w:gridCol w:w="109"/>
        <w:gridCol w:w="308"/>
        <w:gridCol w:w="308"/>
        <w:gridCol w:w="699"/>
        <w:gridCol w:w="109"/>
        <w:gridCol w:w="109"/>
        <w:gridCol w:w="109"/>
        <w:gridCol w:w="238"/>
        <w:gridCol w:w="1106"/>
        <w:gridCol w:w="123"/>
        <w:gridCol w:w="109"/>
        <w:gridCol w:w="109"/>
        <w:gridCol w:w="109"/>
        <w:gridCol w:w="308"/>
        <w:gridCol w:w="308"/>
        <w:gridCol w:w="779"/>
      </w:tblGrid>
      <w:tr>
        <w:trPr/>
        <w:tc>
          <w:tcPr>
            <w:tcW w:w="132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December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December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Optical communications</w:t>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Datacom</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Telecom</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Datacenter interconnect</w:t>
            </w:r>
            <w:r>
              <w:rPr>
                <w:color w:val="000000"/>
              </w:rPr>
              <w:t xml:space="preserve"> </w:t>
            </w:r>
            <w:r>
              <w:rPr>
                <w:rFonts w:ascii="Times New Roman;serif" w:hAnsi="Times New Roman;serif"/>
                <w:b w:val="false"/>
                <w:color w:val="000000"/>
                <w:sz w:val="13"/>
              </w:rPr>
              <w:t>(1)</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 Optical communications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647,150 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1,273,465 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Non-optical communications</w:t>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laser</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 Non-optical communications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186,458 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364,371 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833,608 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1,637,836 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Datacenter interconnect (DCI) modules are opto-electronic modules used to connect two or more geographically separated data centers.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High-performance computing (HPC) products are massively parallel computing systems built from interconnected high-performance processors, accelerators, high-speed memory, and low-latency networking to solve complex, compute-intensive problems.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contract asset is recognized when the Company has recognized revenues, but has not yet issued an invoice to its customer for payment. Contract assets are recognized in the unaudited condensed consolidated balance sheets under other current assets and transferred to accounts receivable when rights to payment become unconditional.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and June 27, 2025, the Company's contract assets were de minimis.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contract liability is recognized when the Company has advance payment arrangements with customers. Contract liabilities are recognized in the unaudited condensed consolidated balance sheets under other payables. The contract liabilities balance is normally recognized as revenue within six months.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activity in the Company’s contract liabilities during the six months ended December 26, 2025:</w:t>
      </w:r>
    </w:p>
    <w:tbl>
      <w:tblPr>
        <w:tblW w:w="4941" w:type="dxa"/>
        <w:jc w:val="left"/>
        <w:tblInd w:w="0" w:type="dxa"/>
        <w:tblLayout w:type="fixed"/>
        <w:tblCellMar>
          <w:top w:w="28" w:type="dxa"/>
          <w:left w:w="28" w:type="dxa"/>
          <w:bottom w:w="28" w:type="dxa"/>
          <w:right w:w="28" w:type="dxa"/>
        </w:tblCellMar>
      </w:tblPr>
      <w:tblGrid>
        <w:gridCol w:w="1396"/>
        <w:gridCol w:w="1228"/>
        <w:gridCol w:w="1231"/>
        <w:gridCol w:w="211"/>
        <w:gridCol w:w="721"/>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w:t>
              <w:br/>
              <w:t>Liabilities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June 27,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received during the period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December 26, 2025</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Customer Warrant</w:t>
      </w:r>
    </w:p>
    <w:p>
      <w:pPr>
        <w:pStyle w:val="TextBody"/>
        <w:bidi w:val="0"/>
        <w:spacing w:lineRule="auto" w:line="288" w:before="120" w:after="283"/>
        <w:jc w:val="left"/>
        <w:rPr/>
      </w:pPr>
      <w:r>
        <w:rPr>
          <w:rFonts w:ascii="Times New Roman;serif" w:hAnsi="Times New Roman;serif"/>
          <w:b w:val="false"/>
          <w:color w:val="000000"/>
          <w:sz w:val="20"/>
        </w:rPr>
        <w:t xml:space="preserve">Warrants issued to customers are accounted for as equity instruments and measured in accordance with ASC 718,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 xml:space="preserve">For awards granted to a customer which are not in exchange for distinct goods or services, the fair value of the awards earned based on service or performance conditions is recorded as a reduction of the transaction price, in accordance with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determine the fair value of warrants in accordance with ASC 718, the Company uses the Black-Scholes option pricing model, based in part on assumptions for which management is required to use judgment. Based on the fair value of the awards, the Company determines the amount of warrant expense based on the customer’s achievement of vesting conditions, which is recorded as a reduction of revenues on the unaudited condensed consolidated statement of operations. The dilutive impact of customer warrants is determined using the treasury stock method.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December 26, 2025, the Company recognized $0.8 million as a reduction to revenue on the unaudited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December 26, 2025, the Company recognized $1.1 million as a reduction to revenue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pPr>
      <w:r>
        <w:rPr>
          <w:rFonts w:ascii="Times New Roman;serif" w:hAnsi="Times New Roman;serif"/>
          <w:b/>
          <w:color w:val="000000"/>
          <w:sz w:val="20"/>
        </w:rPr>
        <w:t>4.</w:t>
      </w:r>
      <w:r>
        <w:rPr>
          <w:color w:val="000000"/>
        </w:rPr>
        <w:t>    </w:t>
      </w:r>
      <w:r>
        <w:rPr>
          <w:rFonts w:ascii="Times New Roman;serif" w:hAnsi="Times New Roman;serif"/>
          <w:b/>
          <w:color w:val="000000"/>
          <w:sz w:val="20"/>
        </w:rPr>
        <w:t>Earnings per ordinary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ordinary share is computed by dividing reported net income by the weighted-average number of ordinary shares outstanding during each period. Diluted earnings per ordinary share is computed by calculating the effect of potential dilutive ordinary shares outstanding during the period using the treasury stock method. Dilutive ordinary equivalent shares consist of restricted share units, performance share units and warrant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Earnings per ordinary share was calculated as follows:</w:t>
      </w:r>
    </w:p>
    <w:tbl>
      <w:tblPr>
        <w:tblW w:w="10205" w:type="dxa"/>
        <w:jc w:val="left"/>
        <w:tblInd w:w="0" w:type="dxa"/>
        <w:tblLayout w:type="fixed"/>
        <w:tblCellMar>
          <w:top w:w="28" w:type="dxa"/>
          <w:left w:w="28" w:type="dxa"/>
          <w:bottom w:w="28" w:type="dxa"/>
          <w:right w:w="28" w:type="dxa"/>
        </w:tblCellMar>
      </w:tblPr>
      <w:tblGrid>
        <w:gridCol w:w="1965"/>
        <w:gridCol w:w="1351"/>
        <w:gridCol w:w="1361"/>
        <w:gridCol w:w="211"/>
        <w:gridCol w:w="826"/>
        <w:gridCol w:w="109"/>
        <w:gridCol w:w="109"/>
        <w:gridCol w:w="109"/>
        <w:gridCol w:w="109"/>
        <w:gridCol w:w="215"/>
        <w:gridCol w:w="736"/>
        <w:gridCol w:w="111"/>
        <w:gridCol w:w="109"/>
        <w:gridCol w:w="109"/>
        <w:gridCol w:w="109"/>
        <w:gridCol w:w="211"/>
        <w:gridCol w:w="826"/>
        <w:gridCol w:w="109"/>
        <w:gridCol w:w="109"/>
        <w:gridCol w:w="109"/>
        <w:gridCol w:w="109"/>
        <w:gridCol w:w="211"/>
        <w:gridCol w:w="826"/>
        <w:gridCol w:w="156"/>
      </w:tblGrid>
      <w:tr>
        <w:trPr/>
        <w:tc>
          <w:tcPr>
            <w:tcW w:w="196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ordinary shares outstanding</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36,163 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shares arising from the assumed vesting of restricted share units and performance share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shares arising from the assumed vesting of customer warrant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ordinary shares for diluted earnings per ordinary share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ordinary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Outstanding performance share units excluded from the computation of diluted earnings per ordinary share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These performance share units were not included in the computation of diluted earnings per ordinary share because they are not expected to vest based on the Company’s current assessment of the related performance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rFonts w:ascii="Times New Roman;serif" w:hAnsi="Times New Roman;serif"/>
          <w:b/>
          <w:color w:val="000000"/>
          <w:sz w:val="20"/>
        </w:rPr>
        <w:t>5.</w:t>
      </w:r>
      <w:r>
        <w:rPr>
          <w:color w:val="000000"/>
        </w:rPr>
        <w:t>    </w:t>
      </w:r>
      <w:r>
        <w:rPr>
          <w:rFonts w:ascii="Times New Roman;serif" w:hAnsi="Times New Roman;serif"/>
          <w:b/>
          <w:color w:val="000000"/>
          <w:sz w:val="20"/>
        </w:rPr>
        <w:t>Cash, cash equivalents and short-term investments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cash, cash equivalents, and short-term investments are as follows:</w:t>
      </w:r>
    </w:p>
    <w:tbl>
      <w:tblPr>
        <w:tblW w:w="10205" w:type="dxa"/>
        <w:jc w:val="left"/>
        <w:tblInd w:w="0" w:type="dxa"/>
        <w:tblLayout w:type="fixed"/>
        <w:tblCellMar>
          <w:top w:w="28" w:type="dxa"/>
          <w:left w:w="28" w:type="dxa"/>
          <w:bottom w:w="28" w:type="dxa"/>
          <w:right w:w="28" w:type="dxa"/>
        </w:tblCellMar>
      </w:tblPr>
      <w:tblGrid>
        <w:gridCol w:w="1046"/>
        <w:gridCol w:w="919"/>
        <w:gridCol w:w="928"/>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306"/>
        <w:gridCol w:w="1199"/>
        <w:gridCol w:w="157"/>
        <w:gridCol w:w="109"/>
        <w:gridCol w:w="109"/>
        <w:gridCol w:w="109"/>
        <w:gridCol w:w="275"/>
        <w:gridCol w:w="529"/>
        <w:gridCol w:w="205"/>
      </w:tblGrid>
      <w:tr>
        <w:trPr/>
        <w:tc>
          <w:tcPr>
            <w:tcW w:w="104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Investments</w:t>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26,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27, 2025</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time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627,819 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All highly liquid investments with original maturities of three months or less at the date of purchase are classified as cash equivalents. Management determines the appropriate classification of its investments at the time of purchase. The Company may sell certain of its short-term investments prior to their stated maturities for strategic reasons including, but not limited to, anticipation of credit deterioration and duration management. The maturities of the Company’s short-term investments generally range from three months to three years.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cost and estimated fair value of debt securities classified as available-for-sale securities based on stated effective maturities as of December 26, 2025 and June 27, 2025:</w:t>
      </w:r>
    </w:p>
    <w:tbl>
      <w:tblPr>
        <w:tblW w:w="8160" w:type="dxa"/>
        <w:jc w:val="left"/>
        <w:tblInd w:w="0" w:type="dxa"/>
        <w:tblLayout w:type="fixed"/>
        <w:tblCellMar>
          <w:top w:w="28" w:type="dxa"/>
          <w:left w:w="28" w:type="dxa"/>
          <w:bottom w:w="28" w:type="dxa"/>
          <w:right w:w="28" w:type="dxa"/>
        </w:tblCellMar>
      </w:tblPr>
      <w:tblGrid>
        <w:gridCol w:w="923"/>
        <w:gridCol w:w="813"/>
        <w:gridCol w:w="81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between one to five years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rFonts w:ascii="Times New Roman;serif" w:hAnsi="Times New Roman;serif"/>
          <w:b/>
          <w:color w:val="000000"/>
          <w:sz w:val="20"/>
        </w:rPr>
        <w:t>6.</w:t>
      </w:r>
      <w:r>
        <w:rPr>
          <w:color w:val="000000"/>
        </w:rPr>
        <w:t>    </w:t>
      </w:r>
      <w:r>
        <w:rPr>
          <w:rFonts w:ascii="Times New Roman;serif" w:hAnsi="Times New Roman;serif"/>
          <w:b/>
          <w:color w:val="000000"/>
          <w:sz w:val="20"/>
        </w:rPr>
        <w:t>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is established, which requires an entity to maximize the use of observable inputs and minimize the use of unobservable inputs for the valuation of an asset or liability as of the measurement date. The three levels of inputs that may be used to measure fair value are defined as follows: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1 inputs are quoted prices (unadjusted) in active markets for identical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2 inputs are inputs other than quoted prices included within Level 1 that are observable for assets or liabilities, either directly or indirectly. If the assets or liabilities have a specified (contractual) term, Level 2 inputs must be observable for substantially the full term of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3 inputs are unobservable inputs for assets or liabilities, which require the reporting entity to develop its own valuation techniques and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the market approach to measure fair value for its financial assets and liabilities. The market approach uses prices and other relevant information generated by market transactions involving identical or comparable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the financial instruments measured at fair value on a recurring basis, including:</w:t>
      </w:r>
    </w:p>
    <w:tbl>
      <w:tblPr>
        <w:tblW w:w="8727" w:type="dxa"/>
        <w:jc w:val="left"/>
        <w:tblInd w:w="0" w:type="dxa"/>
        <w:tblLayout w:type="fixed"/>
        <w:tblCellMar>
          <w:top w:w="28" w:type="dxa"/>
          <w:left w:w="28" w:type="dxa"/>
          <w:bottom w:w="28" w:type="dxa"/>
          <w:right w:w="28" w:type="dxa"/>
        </w:tblCellMar>
      </w:tblPr>
      <w:tblGrid>
        <w:gridCol w:w="1312"/>
        <w:gridCol w:w="1153"/>
        <w:gridCol w:w="1165"/>
        <w:gridCol w:w="211"/>
        <w:gridCol w:w="406"/>
        <w:gridCol w:w="109"/>
        <w:gridCol w:w="109"/>
        <w:gridCol w:w="109"/>
        <w:gridCol w:w="109"/>
        <w:gridCol w:w="211"/>
        <w:gridCol w:w="826"/>
        <w:gridCol w:w="109"/>
        <w:gridCol w:w="109"/>
        <w:gridCol w:w="109"/>
        <w:gridCol w:w="109"/>
        <w:gridCol w:w="109"/>
        <w:gridCol w:w="109"/>
        <w:gridCol w:w="109"/>
        <w:gridCol w:w="211"/>
        <w:gridCol w:w="406"/>
        <w:gridCol w:w="109"/>
        <w:gridCol w:w="109"/>
        <w:gridCol w:w="109"/>
        <w:gridCol w:w="109"/>
        <w:gridCol w:w="211"/>
        <w:gridCol w:w="826"/>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Reporting Date Using</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December 26, 2025</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time deposits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U.S. treasury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 current portion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Derivative liabilities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8727" w:type="dxa"/>
        <w:jc w:val="left"/>
        <w:tblInd w:w="0" w:type="dxa"/>
        <w:tblLayout w:type="fixed"/>
        <w:tblCellMar>
          <w:top w:w="28" w:type="dxa"/>
          <w:left w:w="28" w:type="dxa"/>
          <w:bottom w:w="28" w:type="dxa"/>
          <w:right w:w="28" w:type="dxa"/>
        </w:tblCellMar>
      </w:tblPr>
      <w:tblGrid>
        <w:gridCol w:w="1314"/>
        <w:gridCol w:w="1154"/>
        <w:gridCol w:w="1162"/>
        <w:gridCol w:w="211"/>
        <w:gridCol w:w="406"/>
        <w:gridCol w:w="109"/>
        <w:gridCol w:w="109"/>
        <w:gridCol w:w="109"/>
        <w:gridCol w:w="109"/>
        <w:gridCol w:w="211"/>
        <w:gridCol w:w="826"/>
        <w:gridCol w:w="109"/>
        <w:gridCol w:w="109"/>
        <w:gridCol w:w="109"/>
        <w:gridCol w:w="109"/>
        <w:gridCol w:w="109"/>
        <w:gridCol w:w="109"/>
        <w:gridCol w:w="109"/>
        <w:gridCol w:w="211"/>
        <w:gridCol w:w="406"/>
        <w:gridCol w:w="109"/>
        <w:gridCol w:w="109"/>
        <w:gridCol w:w="109"/>
        <w:gridCol w:w="109"/>
        <w:gridCol w:w="211"/>
        <w:gridCol w:w="82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Reporting Date Using</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27, 2025</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time deposits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and U.S. treasury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 current portion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Derivative liabilities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Foreign currency forward contracts with an aggregate notional amount of $189.0 million and 0.4 million Canadian dollars.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Foreign currency forward contracts with an aggregate notional amount of $11.0 million.</w:t>
      </w:r>
    </w:p>
    <w:p>
      <w:pPr>
        <w:pStyle w:val="TextBody"/>
        <w:bidi w:val="0"/>
        <w:spacing w:lineRule="auto" w:line="288" w:before="0" w:after="0"/>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Foreign currency forward contracts with an aggregate notional amount of $130.0 million and 0.5 million Canadian dollars.</w:t>
      </w:r>
    </w:p>
    <w:p>
      <w:pPr>
        <w:pStyle w:val="TextBody"/>
        <w:bidi w:val="0"/>
        <w:spacing w:lineRule="auto" w:line="288" w:before="0" w:after="0"/>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Foreign currency forward contracts with an aggregate notional amount of $35.0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derivative financial instruments to hedge foreign exchange risk associated with certain foreign currency denominated assets and liabilities and other foreign currency transactions.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minimizes the credit risk associated with its derivative instruments by limiting the exposure to any single counterparty and by entering into derivative instruments only with counterparties that meet the Company’s minimum credit quality standard.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Foreign currency forward and option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foreign currency rate fluctuations, the U.S. dollar equivalent values of the Company’s foreign currency denominated assets and liabilities fluctuate. The Company uses foreign currency forward and option contracts to manage the foreign exchange risk associated with a portion of its foreign currency denominated assets and liabilities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transactions. The Company enters into foreign currency forward and option contracts to hedge fluctuations in the U.S. dollar value of forecasted transactions denominated in Thai baht and Canadian dollars with counterparties that meet the Company’s minimum credit quality standard.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may enter into foreign currency forward contracts with maturities of up to 12 months to hedge fluctuations in the U.S. dollar value of forecasted transactions denominated in Thai baht, including inventory purchases, payroll and other operating expenses. The Company considers these forward contracts as dual-purpose hedges, that hedge both the foreign exchange fluctuation (i) from inception through the forecasted expenditure, and (ii) any subsequent revaluation of the account payable or accrual. The Company may designate the forward contracts that hedge the foreign exchange fluctuation from inception through the forecasted expenditure as cash flow hedges. The gain or loss on a derivative instrument designated and qualified as a cash flow hedging instrument is recorded as a component of other comprehensive income and reclassified into earnings in the same period or periods during which the hedged forecasted transaction affects earnings. The reclassified amounts are presented in the same income statement line item as the earnings effect of the hedged item. Once the forecasted transactions are recorded, the Company will discontinue the hedging relationship by de-designating the derivative instrument and recording subsequent changes in fair value through contract maturity to foreign exchange gain (loss), net in the unaudited condensed consolidated statements of operations and comprehensive income as a natural hedge against the Thai baht denominated assets and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may also enter into non-designated foreign currency forward and option contracts to provide an offset to the re-measurement of foreign currency denominated assets and liabilities and to hedge certain forecasted exposures. Changes in the fair value of these non-designated derivatives are recorded as foreign exchange gain (loss), net in the unaudited condensed consolidated statements of operations and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the Company had 200 outstanding U.S. dollar foreign currency forward contracts against Thai baht, with an aggregate notional amount of $200.0 million and maturity dates ranging from December 2025 through July 2026 and one outstanding Canadian dollar foreign currency forward contract with a notional amount of 0.4 million Canadian dollars and a maturity date in March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27, 2025, the Company had 165 outstanding U.S. dollar foreign currency forward contracts against Thai baht with an aggregate notional amount of $165.0 million and maturity dates ranging from July 2025 through December 2025, and one foreign currency contract with a notional amount of 0.5 million Canadian dollars and a maturity date in September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the hedging relationship over foreign currency forward contracts designated for hedge accounting was determined to be highly effective based on the performance of retrospective and prospective regression testing. As of December 26, 2025, the amount in accumulated other comprehensive income (“AOCI”) expected to be reclassified into earnings within 12 months was a gain of $4.3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27, 2025, the hedging relationship over foreign currency forward contracts designated for hedge accounting had been tested to be highly effective based on the performance of retrospective and prospective regression testing. As of June 27, 2025, the amount in AOCI expected to be reclassified into earnings within 12 months as gain was $1.5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December 26, 2025, the Company included an unrealized gain of $1.2 million and unrealized loss of $0.1 million, respectively, from changes in the fair value of a foreign currency forward contract that was not designated for hedge accounting in earnings as foreign exchange gain (loss), net in the unaudited condensed consolidated statements of operations and comprehensive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December 27, 2024, the Company included unrealized loss of $5.1 million and $1.0 million, respectively, from changes in the fair value of a foreign currency forward contract that was not designated for hedge accounting in earnings as foreign exchange gain (loss), net in the unaudited condensed consolidated statements of operations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impact of derivative gain (loss) of the Company’s foreign currency forward contracts and interest rate swaps which were designated as cash flow hedges on the unaudited condensed consolidated statements of operations and other comprehensive income:</w:t>
      </w:r>
    </w:p>
    <w:tbl>
      <w:tblPr>
        <w:tblW w:w="10205" w:type="dxa"/>
        <w:jc w:val="left"/>
        <w:tblInd w:w="0" w:type="dxa"/>
        <w:tblLayout w:type="fixed"/>
        <w:tblCellMar>
          <w:top w:w="28" w:type="dxa"/>
          <w:left w:w="28" w:type="dxa"/>
          <w:bottom w:w="28" w:type="dxa"/>
          <w:right w:w="28" w:type="dxa"/>
        </w:tblCellMar>
      </w:tblPr>
      <w:tblGrid>
        <w:gridCol w:w="1141"/>
        <w:gridCol w:w="1001"/>
        <w:gridCol w:w="1012"/>
        <w:gridCol w:w="553"/>
        <w:gridCol w:w="553"/>
        <w:gridCol w:w="558"/>
        <w:gridCol w:w="109"/>
        <w:gridCol w:w="109"/>
        <w:gridCol w:w="109"/>
        <w:gridCol w:w="221"/>
        <w:gridCol w:w="646"/>
        <w:gridCol w:w="114"/>
        <w:gridCol w:w="109"/>
        <w:gridCol w:w="109"/>
        <w:gridCol w:w="109"/>
        <w:gridCol w:w="211"/>
        <w:gridCol w:w="753"/>
        <w:gridCol w:w="109"/>
        <w:gridCol w:w="109"/>
        <w:gridCol w:w="109"/>
        <w:gridCol w:w="109"/>
        <w:gridCol w:w="221"/>
        <w:gridCol w:w="646"/>
        <w:gridCol w:w="114"/>
        <w:gridCol w:w="109"/>
        <w:gridCol w:w="109"/>
        <w:gridCol w:w="109"/>
        <w:gridCol w:w="216"/>
        <w:gridCol w:w="663"/>
        <w:gridCol w:w="165"/>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w:t>
              <w:br/>
              <w:t>statements</w:t>
              <w:br/>
              <w:t>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2024</w:t>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gain (loss) recognized in other comprehensive income (loss):</w:t>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br/>
              <w:t>comprehensive</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gain (loss) recognized in other comprehensive income (loss)</w:t>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(gain) loss reclassified from accumulated other comprehensive income (loss) into earnings:</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derivatives (gain) loss reclassified from accumulated other comprehensive income (loss) into earnings</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net unrealized gain (loss) on derivatives instruments</w:t>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of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fair values of the Company’s derivative financial instruments for the periods presented:</w:t>
      </w:r>
    </w:p>
    <w:tbl>
      <w:tblPr>
        <w:tblW w:w="9017" w:type="dxa"/>
        <w:jc w:val="left"/>
        <w:tblInd w:w="0" w:type="dxa"/>
        <w:tblLayout w:type="fixed"/>
        <w:tblCellMar>
          <w:top w:w="28" w:type="dxa"/>
          <w:left w:w="28" w:type="dxa"/>
          <w:bottom w:w="28" w:type="dxa"/>
          <w:right w:w="28" w:type="dxa"/>
        </w:tblCellMar>
      </w:tblPr>
      <w:tblGrid>
        <w:gridCol w:w="1569"/>
        <w:gridCol w:w="1377"/>
        <w:gridCol w:w="1389"/>
        <w:gridCol w:w="211"/>
        <w:gridCol w:w="616"/>
        <w:gridCol w:w="109"/>
        <w:gridCol w:w="109"/>
        <w:gridCol w:w="109"/>
        <w:gridCol w:w="109"/>
        <w:gridCol w:w="257"/>
        <w:gridCol w:w="495"/>
        <w:gridCol w:w="134"/>
        <w:gridCol w:w="109"/>
        <w:gridCol w:w="109"/>
        <w:gridCol w:w="109"/>
        <w:gridCol w:w="211"/>
        <w:gridCol w:w="616"/>
        <w:gridCol w:w="109"/>
        <w:gridCol w:w="109"/>
        <w:gridCol w:w="109"/>
        <w:gridCol w:w="109"/>
        <w:gridCol w:w="232"/>
        <w:gridCol w:w="541"/>
        <w:gridCol w:w="170"/>
      </w:tblGrid>
      <w:tr>
        <w:trPr/>
        <w:tc>
          <w:tcPr>
            <w:tcW w:w="15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2025</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w:t>
              <w:b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w:t>
              <w:br/>
              <w:t>Liabilities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and option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gross balances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the fair value of derivative financial instruments in the unaudited condensed consolidated balance sheets as follows:</w:t>
      </w:r>
    </w:p>
    <w:tbl>
      <w:tblPr>
        <w:tblW w:w="5068" w:type="dxa"/>
        <w:jc w:val="left"/>
        <w:tblInd w:w="0" w:type="dxa"/>
        <w:tblLayout w:type="fixed"/>
        <w:tblCellMar>
          <w:top w:w="28" w:type="dxa"/>
          <w:left w:w="28" w:type="dxa"/>
          <w:bottom w:w="28" w:type="dxa"/>
          <w:right w:w="28" w:type="dxa"/>
        </w:tblCellMar>
      </w:tblPr>
      <w:tblGrid>
        <w:gridCol w:w="1071"/>
        <w:gridCol w:w="939"/>
        <w:gridCol w:w="944"/>
        <w:gridCol w:w="618"/>
        <w:gridCol w:w="618"/>
        <w:gridCol w:w="878"/>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Derivative Financial Instruments</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Balance Sheet line item</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Derivative Assets</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Derivative Liabilities</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pPr>
      <w:r>
        <w:rPr>
          <w:rFonts w:ascii="Times New Roman;serif" w:hAnsi="Times New Roman;serif"/>
          <w:b/>
          <w:color w:val="000000"/>
          <w:sz w:val="20"/>
        </w:rPr>
        <w:t>7.</w:t>
      </w:r>
      <w:r>
        <w:rPr>
          <w:color w:val="000000"/>
        </w:rPr>
        <w:t>    </w:t>
      </w:r>
      <w:r>
        <w:rPr>
          <w:rFonts w:ascii="Times New Roman;serif" w:hAnsi="Times New Roman;serif"/>
          <w:b/>
          <w:color w:val="000000"/>
          <w:sz w:val="20"/>
        </w:rPr>
        <w:t>Inventories</w:t>
      </w:r>
    </w:p>
    <w:tbl>
      <w:tblPr>
        <w:tblW w:w="4548" w:type="dxa"/>
        <w:jc w:val="left"/>
        <w:tblInd w:w="0" w:type="dxa"/>
        <w:tblLayout w:type="fixed"/>
        <w:tblCellMar>
          <w:top w:w="28" w:type="dxa"/>
          <w:left w:w="28" w:type="dxa"/>
          <w:bottom w:w="28" w:type="dxa"/>
          <w:right w:w="28" w:type="dxa"/>
        </w:tblCellMar>
      </w:tblPr>
      <w:tblGrid>
        <w:gridCol w:w="548"/>
        <w:gridCol w:w="483"/>
        <w:gridCol w:w="484"/>
        <w:gridCol w:w="279"/>
        <w:gridCol w:w="1092"/>
        <w:gridCol w:w="144"/>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27,</w:t>
              <w:br/>
              <w:t>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229,604 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469,925 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in transit</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798,910 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rFonts w:ascii="Times New Roman;serif" w:hAnsi="Times New Roman;serif"/>
          <w:b/>
          <w:color w:val="000000"/>
          <w:sz w:val="20"/>
        </w:rPr>
        <w:t>8.</w:t>
      </w:r>
      <w:r>
        <w:rPr>
          <w:color w:val="000000"/>
        </w:rPr>
        <w:t>    </w:t>
      </w:r>
      <w:r>
        <w:rPr>
          <w:rFonts w:ascii="Times New Roman;serif" w:hAnsi="Times New Roman;serif"/>
          <w:b/>
          <w:color w:val="000000"/>
          <w:sz w:val="20"/>
        </w:rPr>
        <w:t>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leases facilities under non-cancelable operating lease agreements. The Company leases a portion of its capital equipment and vehicles, certain land and buildings for its facilities in Thailand, the Cayman Islands, the PRC, the U.S., Israel and Singapore under operating lease arrangements that expire at various dates through 2034. Certain of these lease arrangements provide the Company the ability to extend the lease term following the expiration of the current term. However, the Company has excluded all lease extension options from its right of use (“ROU”) assets and lease liabilities as the Company is not reasonably assured that it will exercise these options. None of the lease agreements contain residual value guarantees provided by the lessee.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the maturities of the Company’s operating lease liabilities, by fiscal year, were as follows:</w:t>
      </w:r>
    </w:p>
    <w:tbl>
      <w:tblPr>
        <w:tblW w:w="4472" w:type="dxa"/>
        <w:jc w:val="left"/>
        <w:tblInd w:w="0" w:type="dxa"/>
        <w:tblLayout w:type="fixed"/>
        <w:tblCellMar>
          <w:top w:w="28" w:type="dxa"/>
          <w:left w:w="28" w:type="dxa"/>
          <w:bottom w:w="28" w:type="dxa"/>
          <w:right w:w="28" w:type="dxa"/>
        </w:tblCellMar>
      </w:tblPr>
      <w:tblGrid>
        <w:gridCol w:w="1146"/>
        <w:gridCol w:w="1007"/>
        <w:gridCol w:w="1011"/>
        <w:gridCol w:w="211"/>
        <w:gridCol w:w="616"/>
        <w:gridCol w:w="109"/>
        <w:gridCol w:w="109"/>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Includes current portion of operating lease liabilities of $1.7 million.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Rental expense related to the Company’s operating leases is recognized on a straight-line basis over the lease term.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Rental expense for long-term leases for the three and six months ended December 26, 2025 was $0.6 million and $1.1 million, respectively, and for the three and six months ended December 27, 2024 was $0.4 million and $0.9 million,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Rental expense for short-term leases for the three and six months ended December 26, 2025 and December 27, 2024 was de minimis.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additional information related to the Company’s operating leases:</w:t>
      </w:r>
    </w:p>
    <w:tbl>
      <w:tblPr>
        <w:tblW w:w="7121" w:type="dxa"/>
        <w:jc w:val="left"/>
        <w:tblInd w:w="0" w:type="dxa"/>
        <w:tblLayout w:type="fixed"/>
        <w:tblCellMar>
          <w:top w:w="28" w:type="dxa"/>
          <w:left w:w="28" w:type="dxa"/>
          <w:bottom w:w="28" w:type="dxa"/>
          <w:right w:w="28" w:type="dxa"/>
        </w:tblCellMar>
      </w:tblPr>
      <w:tblGrid>
        <w:gridCol w:w="1495"/>
        <w:gridCol w:w="1312"/>
        <w:gridCol w:w="1317"/>
        <w:gridCol w:w="334"/>
        <w:gridCol w:w="334"/>
        <w:gridCol w:w="832"/>
        <w:gridCol w:w="109"/>
        <w:gridCol w:w="109"/>
        <w:gridCol w:w="109"/>
        <w:gridCol w:w="238"/>
        <w:gridCol w:w="238"/>
        <w:gridCol w:w="694"/>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8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6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disclosure for the unaudited condensed consolidated statements of cash flows related to operating leases for the three and six months ended December 26, 2025 and December 27, 2024:</w:t>
      </w:r>
    </w:p>
    <w:tbl>
      <w:tblPr>
        <w:tblW w:w="10205" w:type="dxa"/>
        <w:jc w:val="left"/>
        <w:tblInd w:w="0" w:type="dxa"/>
        <w:tblLayout w:type="fixed"/>
        <w:tblCellMar>
          <w:top w:w="28" w:type="dxa"/>
          <w:left w:w="28" w:type="dxa"/>
          <w:bottom w:w="28" w:type="dxa"/>
          <w:right w:w="28" w:type="dxa"/>
        </w:tblCellMar>
      </w:tblPr>
      <w:tblGrid>
        <w:gridCol w:w="1786"/>
        <w:gridCol w:w="1569"/>
        <w:gridCol w:w="1582"/>
        <w:gridCol w:w="279"/>
        <w:gridCol w:w="618"/>
        <w:gridCol w:w="146"/>
        <w:gridCol w:w="109"/>
        <w:gridCol w:w="109"/>
        <w:gridCol w:w="109"/>
        <w:gridCol w:w="240"/>
        <w:gridCol w:w="701"/>
        <w:gridCol w:w="123"/>
        <w:gridCol w:w="109"/>
        <w:gridCol w:w="109"/>
        <w:gridCol w:w="109"/>
        <w:gridCol w:w="240"/>
        <w:gridCol w:w="701"/>
        <w:gridCol w:w="123"/>
        <w:gridCol w:w="109"/>
        <w:gridCol w:w="109"/>
        <w:gridCol w:w="109"/>
        <w:gridCol w:w="238"/>
        <w:gridCol w:w="697"/>
        <w:gridCol w:w="181"/>
      </w:tblGrid>
      <w:tr>
        <w:trPr/>
        <w:tc>
          <w:tcPr>
            <w:tcW w:w="178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liabilities</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rFonts w:ascii="Times New Roman;serif" w:hAnsi="Times New Roman;serif"/>
          <w:b/>
          <w:color w:val="000000"/>
          <w:sz w:val="20"/>
        </w:rPr>
        <w:t>9.</w:t>
      </w:r>
      <w:r>
        <w:rPr>
          <w:color w:val="000000"/>
        </w:rPr>
        <w:t>    </w:t>
      </w:r>
      <w:r>
        <w:rPr>
          <w:rFonts w:ascii="Times New Roman;serif" w:hAnsi="Times New Roman;serif"/>
          <w:b/>
          <w:color w:val="000000"/>
          <w:sz w:val="20"/>
        </w:rPr>
        <w:t>Intangibles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details of the Company’s intangibles:</w:t>
      </w:r>
    </w:p>
    <w:tbl>
      <w:tblPr>
        <w:tblW w:w="5493" w:type="dxa"/>
        <w:jc w:val="left"/>
        <w:tblInd w:w="0" w:type="dxa"/>
        <w:tblLayout w:type="fixed"/>
        <w:tblCellMar>
          <w:top w:w="28" w:type="dxa"/>
          <w:left w:w="28" w:type="dxa"/>
          <w:bottom w:w="28" w:type="dxa"/>
          <w:right w:w="28" w:type="dxa"/>
        </w:tblCellMar>
      </w:tblPr>
      <w:tblGrid>
        <w:gridCol w:w="825"/>
        <w:gridCol w:w="726"/>
        <w:gridCol w:w="728"/>
        <w:gridCol w:w="304"/>
        <w:gridCol w:w="1039"/>
        <w:gridCol w:w="157"/>
        <w:gridCol w:w="109"/>
        <w:gridCol w:w="109"/>
        <w:gridCol w:w="109"/>
        <w:gridCol w:w="228"/>
        <w:gridCol w:w="779"/>
        <w:gridCol w:w="117"/>
        <w:gridCol w:w="109"/>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27,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Software</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amortization expense relating to intangibles of $0.2 million for the three months ended December 26, 2025 and December 27, 2024 for both periods, and $0.4 million and $0.5 million for the six months ended December 26, 2025 and December 27, 2024, respectively.</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remaining life of software was:</w:t>
      </w:r>
    </w:p>
    <w:tbl>
      <w:tblPr>
        <w:tblW w:w="3822" w:type="dxa"/>
        <w:jc w:val="left"/>
        <w:tblInd w:w="0" w:type="dxa"/>
        <w:tblLayout w:type="fixed"/>
        <w:tblCellMar>
          <w:top w:w="28" w:type="dxa"/>
          <w:left w:w="28" w:type="dxa"/>
          <w:bottom w:w="28" w:type="dxa"/>
          <w:right w:w="28" w:type="dxa"/>
        </w:tblCellMar>
      </w:tblPr>
      <w:tblGrid>
        <w:gridCol w:w="299"/>
        <w:gridCol w:w="262"/>
        <w:gridCol w:w="265"/>
        <w:gridCol w:w="499"/>
        <w:gridCol w:w="499"/>
        <w:gridCol w:w="501"/>
        <w:gridCol w:w="109"/>
        <w:gridCol w:w="109"/>
        <w:gridCol w:w="109"/>
        <w:gridCol w:w="342"/>
        <w:gridCol w:w="342"/>
        <w:gridCol w:w="486"/>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(years)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27, 2025</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Based on the carrying amount of intangibles as of December 26, 2025, and assuming no future impairment of the underlying assets, the estimated future amortization during each fiscal year was as follows:</w:t>
      </w:r>
    </w:p>
    <w:tbl>
      <w:tblPr>
        <w:tblW w:w="3441" w:type="dxa"/>
        <w:jc w:val="left"/>
        <w:tblInd w:w="0" w:type="dxa"/>
        <w:tblLayout w:type="fixed"/>
        <w:tblCellMar>
          <w:top w:w="28" w:type="dxa"/>
          <w:left w:w="28" w:type="dxa"/>
          <w:bottom w:w="28" w:type="dxa"/>
          <w:right w:w="28" w:type="dxa"/>
        </w:tblCellMar>
      </w:tblPr>
      <w:tblGrid>
        <w:gridCol w:w="891"/>
        <w:gridCol w:w="783"/>
        <w:gridCol w:w="786"/>
        <w:gridCol w:w="211"/>
        <w:gridCol w:w="61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six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pPr>
      <w:r>
        <w:rPr>
          <w:rFonts w:ascii="Times New Roman;serif" w:hAnsi="Times New Roman;serif"/>
          <w:b/>
          <w:color w:val="000000"/>
          <w:sz w:val="20"/>
        </w:rPr>
        <w:t>10.</w:t>
      </w:r>
      <w:r>
        <w:rPr>
          <w:color w:val="000000"/>
        </w:rPr>
        <w:t>    </w:t>
      </w:r>
      <w:r>
        <w:rPr>
          <w:rFonts w:ascii="Times New Roman;serif" w:hAnsi="Times New Roman;serif"/>
          <w:b/>
          <w:color w:val="000000"/>
          <w:sz w:val="20"/>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and June 27, 2025, the liability for uncertain tax positions including accrued interest and penalties was $4.0 million and $2.2 million, respectively.</w:t>
      </w:r>
    </w:p>
    <w:p>
      <w:pPr>
        <w:pStyle w:val="TextBody"/>
        <w:bidi w:val="0"/>
        <w:spacing w:lineRule="auto" w:line="288" w:before="120" w:after="2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United States and foreign tax jurisdictions. The tax years from 2018 to 2024 remain open to examination by U.S. federal and state, and foreign tax authorities. The Company is currently under examination by the U.S. Internal Revenue Service for fiscal year 2022 and the IRS completed the examination of the US subsidiaries for fiscal year 2022 and fiscal year 2023 in the fiscal year 2025. The Company’s income tax is recognized based on the best estimate of the expected annual effective tax rate for the full financial year of each entity in the Company, adjusted for discrete items arising in that quarter. If the Company’s estimated annual effective tax rate changes, the Company makes a cumulative adjustment in that quarter.</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Company for the three months ended December 26, 2025 and December 27, 2024 was 5.9% and 8.7%, respectively, of net income. The decrease was due to an increase in income not subject to tax.</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Company for the six months ended December 26, 2025 and December 27, 2024 was 5.7% and 6.6%, respectively, of net income. The decrease was due to an increase in income not subject to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rFonts w:ascii="Times New Roman;serif" w:hAnsi="Times New Roman;serif"/>
          <w:b/>
          <w:color w:val="000000"/>
          <w:sz w:val="20"/>
        </w:rPr>
        <w:t>11.</w:t>
      </w:r>
      <w:r>
        <w:rPr>
          <w:color w:val="000000"/>
        </w:rPr>
        <w:t>    </w:t>
      </w:r>
      <w:r>
        <w:rPr>
          <w:rFonts w:ascii="Times New Roman;serif" w:hAnsi="Times New Roman;serif"/>
          <w:b/>
          <w:color w:val="000000"/>
          <w:sz w:val="20"/>
        </w:rPr>
        <w:t>Share-based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grant date fair value of restricted share units and performance share units is based on the market value of Fabrinet's ordinary shares on the date of grant.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 of recording share-based compensation expense for the three and six months ended December 26, 2025 and December 27, 2024 was as follows:</w:t>
      </w:r>
    </w:p>
    <w:tbl>
      <w:tblPr>
        <w:tblW w:w="9844" w:type="dxa"/>
        <w:jc w:val="left"/>
        <w:tblInd w:w="0" w:type="dxa"/>
        <w:tblLayout w:type="fixed"/>
        <w:tblCellMar>
          <w:top w:w="28" w:type="dxa"/>
          <w:left w:w="28" w:type="dxa"/>
          <w:bottom w:w="28" w:type="dxa"/>
          <w:right w:w="28" w:type="dxa"/>
        </w:tblCellMar>
      </w:tblPr>
      <w:tblGrid>
        <w:gridCol w:w="1605"/>
        <w:gridCol w:w="1412"/>
        <w:gridCol w:w="1422"/>
        <w:gridCol w:w="247"/>
        <w:gridCol w:w="721"/>
        <w:gridCol w:w="127"/>
        <w:gridCol w:w="109"/>
        <w:gridCol w:w="109"/>
        <w:gridCol w:w="109"/>
        <w:gridCol w:w="247"/>
        <w:gridCol w:w="721"/>
        <w:gridCol w:w="127"/>
        <w:gridCol w:w="109"/>
        <w:gridCol w:w="109"/>
        <w:gridCol w:w="109"/>
        <w:gridCol w:w="222"/>
        <w:gridCol w:w="759"/>
        <w:gridCol w:w="114"/>
        <w:gridCol w:w="109"/>
        <w:gridCol w:w="109"/>
        <w:gridCol w:w="109"/>
        <w:gridCol w:w="221"/>
        <w:gridCol w:w="757"/>
        <w:gridCol w:w="161"/>
      </w:tblGrid>
      <w:tr>
        <w:trPr/>
        <w:tc>
          <w:tcPr>
            <w:tcW w:w="16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by type of award:</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units</w:t>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17,120 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on share-based compensation expense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 on share-based compensation expense</w:t>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17,120 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was recorded in the unaudited condensed consolidated statements of operations and comprehensive income as follows:</w:t>
      </w:r>
    </w:p>
    <w:tbl>
      <w:tblPr>
        <w:tblW w:w="9065" w:type="dxa"/>
        <w:jc w:val="left"/>
        <w:tblInd w:w="0" w:type="dxa"/>
        <w:tblLayout w:type="fixed"/>
        <w:tblCellMar>
          <w:top w:w="28" w:type="dxa"/>
          <w:left w:w="28" w:type="dxa"/>
          <w:bottom w:w="28" w:type="dxa"/>
          <w:right w:w="28" w:type="dxa"/>
        </w:tblCellMar>
      </w:tblPr>
      <w:tblGrid>
        <w:gridCol w:w="1326"/>
        <w:gridCol w:w="1166"/>
        <w:gridCol w:w="1168"/>
        <w:gridCol w:w="247"/>
        <w:gridCol w:w="721"/>
        <w:gridCol w:w="127"/>
        <w:gridCol w:w="109"/>
        <w:gridCol w:w="109"/>
        <w:gridCol w:w="109"/>
        <w:gridCol w:w="247"/>
        <w:gridCol w:w="721"/>
        <w:gridCol w:w="127"/>
        <w:gridCol w:w="109"/>
        <w:gridCol w:w="109"/>
        <w:gridCol w:w="109"/>
        <w:gridCol w:w="222"/>
        <w:gridCol w:w="759"/>
        <w:gridCol w:w="114"/>
        <w:gridCol w:w="109"/>
        <w:gridCol w:w="109"/>
        <w:gridCol w:w="109"/>
        <w:gridCol w:w="221"/>
        <w:gridCol w:w="757"/>
        <w:gridCol w:w="161"/>
      </w:tblGrid>
      <w:tr>
        <w:trPr/>
        <w:tc>
          <w:tcPr>
            <w:tcW w:w="13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did not capitalize any share-based compensation expense as part of any asset costs during the three and six months ended December 26, 2025 and December 27,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Share-based award activity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12, 2019, the Company’s shareholders approved Fabrinet’s 2020 Equity Incentive Plan (the “2020 Plan”). Upon the approval of the 2020 Plan, Fabrinet’s Amended and Restated 2010 Performance Incentive Plan (the “2010 Plan”) was simultaneously terminated. The 2020 Plan provides for the grant of equity awards thereunder with respect to (i) 1,700,000 ordinary shares, plus (ii) up to 1,300,000 ordinary shares that, as of immediately prior to the termination of the 2010 Plan, had been reserved but not issued pursuant to any awards granted under the 2010 Plan and are not subject to any awards thereunder. Upon termination of the 2010 Plan, 1,281,619 ordinary shares were reserved for issuance under the 2020 Plan pursuant to clause (ii) of the preceding sentence.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November 2, 2017, the Company adopted the 2017 Inducement Equity Incentive Plan (the “2017 Inducement Plan”) with a reserve of 160,000 ordinary shares authorized for future issuance solely for the granting of inducement share options and equity awards to new employees. The 2017 Inducement Plan was adopted without shareholder approval in reliance on the “employment inducement exemption” provided under the New York Stock Exchange Listed Company Manual.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2020 Plan and 2017 Inducement Plan are collectively referred to as the “Equity Incentive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number of equity awards outstanding and ordinary shares available for grant under each of the Equity Incentive Plans as of December 26, 2025:</w:t>
      </w:r>
    </w:p>
    <w:tbl>
      <w:tblPr>
        <w:tblW w:w="10205" w:type="dxa"/>
        <w:jc w:val="left"/>
        <w:tblInd w:w="0" w:type="dxa"/>
        <w:tblLayout w:type="fixed"/>
        <w:tblCellMar>
          <w:top w:w="28" w:type="dxa"/>
          <w:left w:w="28" w:type="dxa"/>
          <w:bottom w:w="28" w:type="dxa"/>
          <w:right w:w="28" w:type="dxa"/>
        </w:tblCellMar>
      </w:tblPr>
      <w:tblGrid>
        <w:gridCol w:w="644"/>
        <w:gridCol w:w="568"/>
        <w:gridCol w:w="573"/>
        <w:gridCol w:w="804"/>
        <w:gridCol w:w="769"/>
        <w:gridCol w:w="772"/>
        <w:gridCol w:w="109"/>
        <w:gridCol w:w="109"/>
        <w:gridCol w:w="109"/>
        <w:gridCol w:w="836"/>
        <w:gridCol w:w="832"/>
        <w:gridCol w:w="834"/>
        <w:gridCol w:w="109"/>
        <w:gridCol w:w="109"/>
        <w:gridCol w:w="109"/>
        <w:gridCol w:w="917"/>
        <w:gridCol w:w="826"/>
        <w:gridCol w:w="1176"/>
      </w:tblGrid>
      <w:tr>
        <w:trPr/>
        <w:tc>
          <w:tcPr>
            <w:tcW w:w="64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(share units)</w:t>
            </w:r>
          </w:p>
        </w:tc>
        <w:tc>
          <w:tcPr>
            <w:tcW w:w="2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Share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 Share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 available for future grant</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Plan</w:t>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225,573 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94,391 </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1,460,797 </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 Inducement Plan</w:t>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111,347 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225,573 </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94,391 </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1,572,144 </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share units and performance share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units and performance share units have been granted under the Equity Incentive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units granted to employees generally vest in equal installments over three or four years on each anniversary of the vesting commencement date. Restricted share units granted to non-employee directors generally cliff vest 100% on the first of January, approximately one year from the grant date, provided the director continues to serve through such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 granted to executives will vest, if at all, at the end of a two-year performance period based on the Company’s achievement of pre-defined performance criteria, which consist of revenue and non-GAAP operating margin targets. The actual number of performance share units that may vest at the end of the performance period ranges from 0% to 100% of the award grant.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share unit activity under the Equity Incentive Plans:</w:t>
      </w:r>
    </w:p>
    <w:tbl>
      <w:tblPr>
        <w:tblW w:w="5598" w:type="dxa"/>
        <w:jc w:val="left"/>
        <w:tblInd w:w="0" w:type="dxa"/>
        <w:tblLayout w:type="fixed"/>
        <w:tblCellMar>
          <w:top w:w="28" w:type="dxa"/>
          <w:left w:w="28" w:type="dxa"/>
          <w:bottom w:w="28" w:type="dxa"/>
          <w:right w:w="28" w:type="dxa"/>
        </w:tblCellMar>
      </w:tblPr>
      <w:tblGrid>
        <w:gridCol w:w="1020"/>
        <w:gridCol w:w="896"/>
        <w:gridCol w:w="903"/>
        <w:gridCol w:w="449"/>
        <w:gridCol w:w="451"/>
        <w:gridCol w:w="231"/>
        <w:gridCol w:w="109"/>
        <w:gridCol w:w="109"/>
        <w:gridCol w:w="109"/>
        <w:gridCol w:w="256"/>
        <w:gridCol w:w="877"/>
        <w:gridCol w:w="188"/>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Per Share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263,014 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26,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225,573 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1022"/>
        <w:gridCol w:w="895"/>
        <w:gridCol w:w="902"/>
        <w:gridCol w:w="449"/>
        <w:gridCol w:w="451"/>
        <w:gridCol w:w="231"/>
        <w:gridCol w:w="109"/>
        <w:gridCol w:w="109"/>
        <w:gridCol w:w="109"/>
        <w:gridCol w:w="256"/>
        <w:gridCol w:w="877"/>
        <w:gridCol w:w="188"/>
      </w:tblGrid>
      <w:tr>
        <w:trPr/>
        <w:tc>
          <w:tcPr>
            <w:tcW w:w="10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Per Share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306,660 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107,026 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(120,452)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27, 2024</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285,740 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share unit activity under the Equity Incentive Plans:</w:t>
      </w:r>
    </w:p>
    <w:tbl>
      <w:tblPr>
        <w:tblW w:w="5524" w:type="dxa"/>
        <w:jc w:val="left"/>
        <w:tblInd w:w="0" w:type="dxa"/>
        <w:tblLayout w:type="fixed"/>
        <w:tblCellMar>
          <w:top w:w="28" w:type="dxa"/>
          <w:left w:w="28" w:type="dxa"/>
          <w:bottom w:w="28" w:type="dxa"/>
          <w:right w:w="28" w:type="dxa"/>
        </w:tblCellMar>
      </w:tblPr>
      <w:tblGrid>
        <w:gridCol w:w="1020"/>
        <w:gridCol w:w="896"/>
        <w:gridCol w:w="903"/>
        <w:gridCol w:w="413"/>
        <w:gridCol w:w="413"/>
        <w:gridCol w:w="231"/>
        <w:gridCol w:w="109"/>
        <w:gridCol w:w="109"/>
        <w:gridCol w:w="109"/>
        <w:gridCol w:w="256"/>
        <w:gridCol w:w="877"/>
        <w:gridCol w:w="188"/>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Per Share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120,916 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48,806 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26,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94,391 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24" w:type="dxa"/>
        <w:jc w:val="left"/>
        <w:tblInd w:w="0" w:type="dxa"/>
        <w:tblLayout w:type="fixed"/>
        <w:tblCellMar>
          <w:top w:w="28" w:type="dxa"/>
          <w:left w:w="28" w:type="dxa"/>
          <w:bottom w:w="28" w:type="dxa"/>
          <w:right w:w="28" w:type="dxa"/>
        </w:tblCellMar>
      </w:tblPr>
      <w:tblGrid>
        <w:gridCol w:w="1022"/>
        <w:gridCol w:w="895"/>
        <w:gridCol w:w="902"/>
        <w:gridCol w:w="413"/>
        <w:gridCol w:w="413"/>
        <w:gridCol w:w="231"/>
        <w:gridCol w:w="109"/>
        <w:gridCol w:w="109"/>
        <w:gridCol w:w="109"/>
        <w:gridCol w:w="256"/>
        <w:gridCol w:w="877"/>
        <w:gridCol w:w="188"/>
      </w:tblGrid>
      <w:tr>
        <w:trPr/>
        <w:tc>
          <w:tcPr>
            <w:tcW w:w="10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Per Share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171,078 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261.84 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(97,142)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27, 2024</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120,916 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there was $25.8 million and $14.2 million of unrecognized share-based compensation expense related to restricted share units and performance share units, respectively, under the Equity Incentive Plans that is expected to be recorded over a weighted-average period of 2.8 and 1.4 years,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December 26, 2025 and December 27, 2024, the Company withheld an aggregate of 71,352 shares and 89,868 shares, respectively, upon the vesting of restricted share units and performance shares units, based upon the closing share price on the vesting date to settle employee tax withholding obligations. For the six months ended December 26, 2025 and December 27, 2024, the Company then remitted cash of $23.6 million and $20.7 million, respectively, to the appropriate taxing authorities and presented it as a financing activity within the unaudited condensed consolidated statements of cash flows. The payment was recorded as a reduction of additional paid-in capital.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Customer Warrant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12, 2025, the Company issued a warrant (the “Warrant”) to Amazon.com NV Investment Holdings LLC to acquire up to 381,922 ordinary shares (the “Warrant Shares”) of the Company at an exercise price of $208.48 per share. The Warrant allows for cashless exercise and expires on March 12, 2032.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Upon issuance of the Warrant, 38,192 of the Warrant Shares vested. The remainder of the Warrant Shares are subject to vesting in multiple tranches over the term of the Warrant based on payments to the Company from or on behalf of Amazon.com, Inc. ("Amazon") or its affiliates under a commercial agreement or otherwise. Upon the consummation of an acquisition transaction or the termination of the commercial agreement by Amazon for cause, the unvested portion of the Warrant will vest in full. The exercise price and the number of Warrant Shares are subject to customary antidilution adjustments.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Using the Black-Scholes option pricing model, the grant date fair value of the Warrant was determined to be $102.88 per share, for a total fair value of $39.3 million. The grant date fair value of the Warrant was estimated as of the issuance date using the following assumptions:</w:t>
      </w:r>
    </w:p>
    <w:tbl>
      <w:tblPr>
        <w:tblW w:w="2957" w:type="dxa"/>
        <w:jc w:val="left"/>
        <w:tblInd w:w="0" w:type="dxa"/>
        <w:tblLayout w:type="fixed"/>
        <w:tblCellMar>
          <w:top w:w="28" w:type="dxa"/>
          <w:left w:w="28" w:type="dxa"/>
          <w:bottom w:w="28" w:type="dxa"/>
          <w:right w:w="28" w:type="dxa"/>
        </w:tblCellMar>
      </w:tblPr>
      <w:tblGrid>
        <w:gridCol w:w="772"/>
        <w:gridCol w:w="678"/>
        <w:gridCol w:w="680"/>
        <w:gridCol w:w="255"/>
        <w:gridCol w:w="256"/>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and June 27, 2025, 49,652 and 38,192 Warrant Shares, respectively, were vested and remained unexercised.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pPr>
      <w:r>
        <w:rPr>
          <w:rFonts w:ascii="Times New Roman;serif" w:hAnsi="Times New Roman;serif"/>
          <w:b/>
          <w:color w:val="000000"/>
          <w:sz w:val="20"/>
        </w:rPr>
        <w:t>12.</w:t>
      </w:r>
      <w:r>
        <w:rPr>
          <w:color w:val="000000"/>
        </w:rPr>
        <w:t>    </w:t>
      </w:r>
      <w:r>
        <w:rPr>
          <w:rFonts w:ascii="Times New Roman;serif" w:hAnsi="Times New Roman;serif"/>
          <w:b/>
          <w:color w:val="000000"/>
          <w:sz w:val="20"/>
        </w:rPr>
        <w:t>Shareholders’ equity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Share capital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Fabrinet’s authorized share capital is 500,000,000 ordinary shares, par value of $0.01 per ordinary share, and 5,000,000 preferred shares, par value of $0.01 per preferred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December 26, 2025, Fabrinet issued 8,568 and 107,779 ordinary shares, respectively, upon the vesting of restricted share units and performance share units under the Equity Incentive Plans, net of shares withheld.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December 27, 2024, Fabrinet issued 5,329 and 127,726 ordinary shares, respectively, upon the vesting of restricted share units and performance share units under the Equity Incentive Plans, net of shares withheld.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such issued shares are fully paid.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Treasury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August 2017, the Company’s board of directors approved a share repurchase program to permit the Company to repurchase up to $30.0 million worth of its issued and outstanding ordinary shares in the open market in accordance with applicable rules and regulations. In February 2018, May 2019, August 2020, August 2022, August 2023, August 2024, and January 2025, the Company’s board of directors approved an increase of $30.0 million, $50.0 million, $58.5 million, $78.7 million, $47.6 million, $139.5 million, and $100.0 million, respectively, to the original share repurchase authorization, bringing the aggregate authorization to $534.3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December 26, 2025, 13,409 shares were repurchased under the program, at an average price per share (excluding other direct costs) of $378.87, for an aggregate purchase price of $5.1 million. As of December 26, 2025, the Company had a remaining authorization to repurchase up to $169.2 million worth of its ordinary shares under the share repurchase program. Shares repurchased under the share repurchase program are held as treasury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pPr>
      <w:r>
        <w:rPr>
          <w:rFonts w:ascii="Times New Roman;serif" w:hAnsi="Times New Roman;serif"/>
          <w:b/>
          <w:color w:val="000000"/>
          <w:sz w:val="20"/>
        </w:rPr>
        <w:t>13.</w:t>
      </w:r>
      <w:r>
        <w:rPr>
          <w:color w:val="000000"/>
        </w:rPr>
        <w:t>    </w:t>
      </w:r>
      <w:r>
        <w:rPr>
          <w:rFonts w:ascii="Times New Roman;serif" w:hAnsi="Times New Roman;serif"/>
          <w:b/>
          <w:color w:val="000000"/>
          <w:sz w:val="20"/>
        </w:rPr>
        <w:t>Accumulated other comprehensive income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changes in AOCI for the six months ended December 26, 2025 and December 27, 2024 were as follows:</w:t>
      </w:r>
    </w:p>
    <w:tbl>
      <w:tblPr>
        <w:tblW w:w="10205" w:type="dxa"/>
        <w:jc w:val="left"/>
        <w:tblInd w:w="0" w:type="dxa"/>
        <w:tblLayout w:type="fixed"/>
        <w:tblCellMar>
          <w:top w:w="28" w:type="dxa"/>
          <w:left w:w="28" w:type="dxa"/>
          <w:bottom w:w="28" w:type="dxa"/>
          <w:right w:w="28" w:type="dxa"/>
        </w:tblCellMar>
      </w:tblPr>
      <w:tblGrid>
        <w:gridCol w:w="1818"/>
        <w:gridCol w:w="1291"/>
        <w:gridCol w:w="1296"/>
        <w:gridCol w:w="285"/>
        <w:gridCol w:w="977"/>
        <w:gridCol w:w="149"/>
        <w:gridCol w:w="109"/>
        <w:gridCol w:w="109"/>
        <w:gridCol w:w="109"/>
        <w:gridCol w:w="260"/>
        <w:gridCol w:w="760"/>
        <w:gridCol w:w="136"/>
        <w:gridCol w:w="109"/>
        <w:gridCol w:w="109"/>
        <w:gridCol w:w="109"/>
        <w:gridCol w:w="109"/>
        <w:gridCol w:w="109"/>
        <w:gridCol w:w="253"/>
        <w:gridCol w:w="560"/>
        <w:gridCol w:w="133"/>
        <w:gridCol w:w="109"/>
        <w:gridCol w:w="109"/>
        <w:gridCol w:w="109"/>
        <w:gridCol w:w="211"/>
        <w:gridCol w:w="721"/>
        <w:gridCol w:w="156"/>
      </w:tblGrid>
      <w:tr>
        <w:trPr/>
        <w:tc>
          <w:tcPr>
            <w:tcW w:w="181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net</w:t>
              <w:br/>
              <w:t>(Losses)/Gains on</w:t>
              <w:br/>
              <w:t>Available-for-sale</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net</w:t>
              <w:br/>
              <w:t>(Losses)/Gains</w:t>
              <w:br/>
              <w:t>on Derivative</w:t>
              <w:br/>
              <w:t>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27, 2025</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out of AOCI to the unaudited condensed consolidated statements of operations and comprehensive income</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effects</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26, 2025</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881"/>
        <w:gridCol w:w="1357"/>
        <w:gridCol w:w="1362"/>
        <w:gridCol w:w="313"/>
        <w:gridCol w:w="936"/>
        <w:gridCol w:w="162"/>
        <w:gridCol w:w="109"/>
        <w:gridCol w:w="109"/>
        <w:gridCol w:w="109"/>
        <w:gridCol w:w="221"/>
        <w:gridCol w:w="693"/>
        <w:gridCol w:w="114"/>
        <w:gridCol w:w="109"/>
        <w:gridCol w:w="109"/>
        <w:gridCol w:w="109"/>
        <w:gridCol w:w="109"/>
        <w:gridCol w:w="109"/>
        <w:gridCol w:w="249"/>
        <w:gridCol w:w="568"/>
        <w:gridCol w:w="129"/>
        <w:gridCol w:w="109"/>
        <w:gridCol w:w="109"/>
        <w:gridCol w:w="109"/>
        <w:gridCol w:w="211"/>
        <w:gridCol w:w="652"/>
        <w:gridCol w:w="158"/>
      </w:tblGrid>
      <w:tr>
        <w:trPr/>
        <w:tc>
          <w:tcPr>
            <w:tcW w:w="188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net</w:t>
              <w:br/>
              <w:t>(Losses)/Gains on</w:t>
              <w:br/>
              <w:t>Available-for-sale</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net</w:t>
              <w:br/>
              <w:t>(Losses)/Gains</w:t>
              <w:br/>
              <w:t>on Derivative</w:t>
              <w:br/>
              <w:t>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28, 2024</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w:t>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out of AOCI to the unaudited condensed consolidated statements of operations and comprehensive income</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effects</w:t>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27, 2024</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rFonts w:ascii="Times New Roman;serif" w:hAnsi="Times New Roman;serif"/>
          <w:b/>
          <w:color w:val="000000"/>
          <w:sz w:val="20"/>
        </w:rPr>
        <w:t>14.</w:t>
      </w:r>
      <w:r>
        <w:rPr>
          <w:color w:val="000000"/>
        </w:rPr>
        <w:t>    </w:t>
      </w:r>
      <w:r>
        <w:rPr>
          <w:rFonts w:ascii="Times New Roman;serif" w:hAnsi="Times New Roman;serif"/>
          <w:b/>
          <w:color w:val="000000"/>
          <w:sz w:val="20"/>
        </w:rPr>
        <w:t>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Bank guarantees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and June 27, 2025, there were outstanding bank guarantees on behalf of the Company's subsidiary in Thailand for electricity usage and other normal business expenses totaling $2.5 million and $2.3 million, respectively, or Thai baht 77.3 million and 75.7 million, respectively. As of December 26, 2025, the Company had an outstanding bank guarantee on behalf of its subsidiary in China to support the subsidiary's operations of Chinese Renminbi ("RMB") 4.8 million and the bank guarantee was backed by cash collateral of $0.7 million. In addition, there were other immaterial bank guarantees on behalf of the Company's subsidiary in Israel to support the subsidiary's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 represent legally binding commitments to purchase inventory and other commitments made in the normal course of business to meet operational requirements. Although open purchase orders are considered enforceable and legally binding, their terms generally give the Company the option to cancel, reschedule and/or adjust its requirements based on its business needs prior to the delivery of goods or performance of services. Obligations to purchase inventory and other commitments are generally expected to be fulfilled within one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the Company had purchase obligations and other commitments to third parties of $1.94 billion.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construction contract with a local contractor for construction of a new manufacturing building at the Company's Chonburi campus. The contract price is approximately $132.5 million (Thai baht 4.45 billion).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26, 2025, the Company had total capital expenditure commitments to third parties of $193.7 million.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Indemnification of directors and officers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Fabrinet’s amended and restated memorandum and articles of association provide for indemnification of directors and officers for actions, costs, charges, losses, damages and expenses incurred in their capacities as such, except that such indemnification does not extend to any matter in respect of any fraud or dishonesty that may attach to any of them.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Fabrinet’s form of indemnification agreement for its directors and officers, Fabrinet has agreed to indemnify its directors and officers against certain liabilities and expenses incurred by such persons in connection with claims by reason of their being such a director or officer. Fabrinet maintains a director and officer liability insurance policy that may enable it to recover a portion of any future amounts paid under the indemnification agreements.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facility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9, 2023, Fabrinet Thailand and the Parent Company (collectively, the “Borrowers”) and the Bank of Ayudhya Public Company Limited (the "Bank") entered into a credit facility agreement (the “2023 Credit Facility Agreement”), which provided a facility of $55.0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27, 2024, the Borrowers and the Bank amended the 2023 Credit Facility Agreement to reduce the facility to $30.0 million, which may be used for, among other things, an overdraft facility. The Credit Facility will mature on August 20, 2039.</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December 26, 2025, there was no amount outstanding under the 2023 Credit Facility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2023 Credit Facility Agreement, the Borrowers are required to maintain a debt-to-equity ratio of less than or equal to 1.5 times for Fabrinet Thailand and 1.0 times for the Parent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26, 2025, the Borrowers were in compliance with all of their financial covenants under the 2023 Credit Facility Agreement. </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Litigation and claim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June 28, 2024, Ngan In Leng and First Laser Limited (collectively, the “Plaintiffs”) filed a complaint in the Fuzhou Intermediate People’s Court (the “Court”) in Fuzhou, China against Fujian Enterprises (Holdings) Co., Ltd. (“FEHC”), Jian An Investment Limited (“Jian”), and Casix, Inc. (“Casix”), the Company's wholly-owned subsidiary located in the PRC. The complaint alleged unjust enrichment related to a purported investment in Casix by the Plaintiffs in 1997, which predates the Company's acquisition of Casix from JDS Uniphase Corporation. The Plaintiffs requested that the Court order FEHC to return the unjust enrichment to the Plaintiffs in the amount of RMB 400 million, with interest from March 1, 2000, and order Jian and Casix to bear joint and several liability for all payment obligations of FEHC.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September 2024, the Court dismissed the complaint in its entirety based on jurisdictional grounds. The Plaintiffs subsequently appealed the Court’s ruling to the High People's Court of Fujian Province (the "Appellate Court"). In their appeal, the Plaintiffs claimed that Casix is the primary obligor to return the alleged unjust enrichment to the Plaintiffs. In November 2025, the Appellate Court upheld the Court's ruling and dismissed the lawsuit on jurisdictional grounds.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15.    Restructuring and other related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recognizes severance-related charges depending on whether the termination benefits are provided under an ongoing benefit arrangement or under a one-time benefit arrangement. The Company recognizes the charges once the benefits have been communicated to employees.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26, 2025, there was no restructuring liability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pPr>
      <w:r>
        <w:rPr>
          <w:rFonts w:ascii="Times New Roman;serif" w:hAnsi="Times New Roman;serif"/>
          <w:b/>
          <w:color w:val="000000"/>
          <w:sz w:val="20"/>
        </w:rPr>
        <w:t>16.</w:t>
      </w:r>
      <w:r>
        <w:rPr>
          <w:color w:val="000000"/>
        </w:rPr>
        <w:t>    </w:t>
      </w:r>
      <w:r>
        <w:rPr>
          <w:rFonts w:ascii="Times New Roman;serif" w:hAnsi="Times New Roman;serif"/>
          <w:b/>
          <w:color w:val="000000"/>
          <w:sz w:val="20"/>
        </w:rPr>
        <w:t>Business segments and geographic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business activities on a consolidated basis and operates as a single operating segment. The Company’s chief operating decision maker (“CODM”) is Fabrinet’s Chief Executive Officer.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CODM utilizes GAAP and non-GAAP measures of profit and loss to evaluate the Company’s financial performance, allocate resources, make key operating decisions, and compare actual results to forecasts. The CODM reviews and utilizes functional expenses (cost of revenue, and selling, general and administrative expenses) at the consolidated level to manage the Company’s operations. Other items included in GAAP and non-GAAP net income are interest income, other income (expense), net and income tax expense, which are reflected in the consolidated statements of operations and comprehensive income. The measure of segment assets is reported on the consolidated balance sheets as total assets, although the CODM does not evaluate asset information for purposes of allocating resources or evaluating performance.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Company's revenue, significant segment expenses and other segment expenses:</w:t>
      </w:r>
    </w:p>
    <w:tbl>
      <w:tblPr>
        <w:tblW w:w="9930" w:type="dxa"/>
        <w:jc w:val="left"/>
        <w:tblInd w:w="0" w:type="dxa"/>
        <w:tblLayout w:type="fixed"/>
        <w:tblCellMar>
          <w:top w:w="28" w:type="dxa"/>
          <w:left w:w="28" w:type="dxa"/>
          <w:bottom w:w="28" w:type="dxa"/>
          <w:right w:w="28" w:type="dxa"/>
        </w:tblCellMar>
      </w:tblPr>
      <w:tblGrid>
        <w:gridCol w:w="1401"/>
        <w:gridCol w:w="1230"/>
        <w:gridCol w:w="123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 dollars,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Company’s revenues by geographic region, see “Revenue by Geographic Area, End Market and Product Category” in Note 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long-lived assets by the country in which they are based:</w:t>
      </w:r>
    </w:p>
    <w:tbl>
      <w:tblPr>
        <w:tblW w:w="4731"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211"/>
        <w:gridCol w:w="826"/>
        <w:gridCol w:w="109"/>
        <w:gridCol w:w="109"/>
        <w:gridCol w:w="109"/>
        <w:gridCol w:w="109"/>
        <w:gridCol w:w="211"/>
        <w:gridCol w:w="82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2025</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Thailand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Israel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Significant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had two and three customers that each contributed to 10% or more of the Company's total trade accounts receivable as of December 26, 2025 and June 27, 2025,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December 26, 2025 and December 27, 2024, the Company had three and two customers, respectively, that each contributed 10% or more of the Company's revenues. Such customers together accounted for 48.9% and 50.5% of the Company revenues during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 addition to historical information, this Quarterly Report on Form 10-Q contains forward-looking statements within the meaning of Section 27A of the Securities Act of 1933 and Section 21E of the Securities Exchange Act of 1934. These statements relate to future events or to our future financial performance and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goals and strategies;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and our customers’ estimates regarding future revenues, operating results, expenses, capital requirements and liquidity;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belief that we will be able to maintain favorable pricing on our services;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 that the portion of our revenues attributable to customers in regions outside of North America for the remainder of fiscal year 2026 will be in line with the portion of revenues attributable to such customers during the six months ended December 26, 2025;</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 that our fiscal year 2026 selling, general and administrative (“SG&amp;A”) expenses will increase compared to our fiscal year 2025 SG&amp;A expenses;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 that our employee costs will increase in Thailand and the PRC;</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future capital expenditures, including the expansion of our manufacturing capacity;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growth rates of our existing markets and potential new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and the ability of our customers and suppliers, to respond successfully to technological or industry developments;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the potential impact of macroeconomic conditions and international political instability on our business, financial condition and operating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suppliers’ estimates regarding future costs;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increase our penetration of existing markets and to penetrate new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plans to diversify our sources of revenues;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plans to execute acquisitions;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trends in the optical communications, automotive, industrial lasers and other markets, including trends to outsource the production of components used in those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attract and retain a qualified management team and other qualified personnel and advisors;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competition in our existing and new markets.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in particular, the risks discussed under the heading “Risk Factors” in Part II, Item 1A as well as those discussed in other documents we file with the Securities and Exchange Commission. We undertake no obligation to revise or publicly release the results of any revision to these forward-looking statements. Given these risks and uncertainties, readers are cautioned not to place undue reliance on such forward-looking statements. “We,” “us” or “our” collectively refer to Fabrinet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provide advanced optical packaging and precision optical, electro-mechanical and electronic manufacturing services to original equipment manufacturers (“OEMs”) of complex products such as optical communication components, modules and sub-systems, industrial lasers, automotive components, medical devices and sensors. We offer a broad range of advanced optical and electro-mechanical capabilities across the entire manufacturing process, including process design and engineering, supply chain management, manufacturing, complex printed circuit board assembly, advanced packaging, integration, final assembly and testing. We are capable of producing a wide variety of high complexity products in any mix and any volume. Based on our extensive experience and the positive feedback we have received from our customers, we believe we are a global leader in providing these services to the optical communications, automotive, and industrial lasers markets.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 base includes companies in complex industries that require advanced precision manufacturing capabilities such as optical communications, automotive, industrial lasers, medical, and sensors. The products that we manufacture for our OEM customers include selective switching products; tunable lasers, transponders and transceivers; active optical cables; solid state, diode-pumped, gas and fiber lasers; and sensors. In many cases, we are the sole outsourced manufacturing partner used by our customers for the products that we manufacture for them.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design and fabricate application-specific crystals, lenses, prisms, mirrors, laser components, and substrates (collectively referred to as “customized optics”) and other custom and standard borosilicate, clear fused quartz, and synthetic fused silica glass products (collectively referred to as “customized glass”). We incorporate our customized optics and glass into many of the products we manufacture for our OEM customers, and we also sell customized optics and glass in the merchant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we are able to expand our relationships with existing customers and attract new customers due to, among other factors, our broad range of complex engineering and manufacturing service offerings, flexible low-cost manufacturing platform, process optimization capabilities, advanced supply chain management, excellent customer service, and experienced management team. Although we expect the prices we charge for our manufactured products to decrease over time (partly as a result of competitive market forces), we believe we will be able to continue to maintain favorable pricing for our services because of our ability to reduce cycle time, adjust our product mix by focusing on more complicated products, improve product quality and yields, and reduce material costs for the products we manufacture. We believe these capabilities have enabled us to help our OEM customers reduce their manufacturing costs while maintaining or improving the design, quality, reliability, and delivery times for their products.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Revenues by Geography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generate revenues from three geographic regions: North America, Asia-Pacific and others, and Europe. Revenues are attributed to a particular geographic area based on the bill-to location of our customers, notwithstanding that the products may be shipped to a different geographic region. The substantial majority of our revenues are derived from our manufacturing facilities in Asia-Pacific.</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percentage of our revenues generated from a bill-to location outside of North America decreased from 55.3% in the three months ended December 27, 2024 to 53.1% in the three months ended December 26, 2025, primarily because of an increase in revenue from customers in the United States.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percentage of our revenues generated from a bill-to location outside of North America decreased from 58.4% in the six months ended December 27, 2024 to 54.9% in the six months ended December 26, 2025, primarily because of an increase in revenue from customers in the United States.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short and medium-term indications and forecasts from our customers, we expect that the portion of our future revenues attributable to customers in regions outside North America for the remainder of fiscal year 2026 will be in line with the portion of revenues attributable to such customers during the six months ended December 26,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percentages of total revenues by geographic region:</w:t>
      </w:r>
    </w:p>
    <w:tbl>
      <w:tblPr>
        <w:tblW w:w="9116" w:type="dxa"/>
        <w:jc w:val="left"/>
        <w:tblInd w:w="0" w:type="dxa"/>
        <w:tblLayout w:type="fixed"/>
        <w:tblCellMar>
          <w:top w:w="28" w:type="dxa"/>
          <w:left w:w="28" w:type="dxa"/>
          <w:bottom w:w="28" w:type="dxa"/>
          <w:right w:w="28" w:type="dxa"/>
        </w:tblCellMar>
      </w:tblPr>
      <w:tblGrid>
        <w:gridCol w:w="716"/>
        <w:gridCol w:w="629"/>
        <w:gridCol w:w="634"/>
        <w:gridCol w:w="334"/>
        <w:gridCol w:w="334"/>
        <w:gridCol w:w="832"/>
        <w:gridCol w:w="134"/>
        <w:gridCol w:w="134"/>
        <w:gridCol w:w="134"/>
        <w:gridCol w:w="334"/>
        <w:gridCol w:w="334"/>
        <w:gridCol w:w="832"/>
        <w:gridCol w:w="109"/>
        <w:gridCol w:w="109"/>
        <w:gridCol w:w="109"/>
        <w:gridCol w:w="334"/>
        <w:gridCol w:w="334"/>
        <w:gridCol w:w="832"/>
        <w:gridCol w:w="121"/>
        <w:gridCol w:w="121"/>
        <w:gridCol w:w="121"/>
        <w:gridCol w:w="314"/>
        <w:gridCol w:w="314"/>
        <w:gridCol w:w="917"/>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 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 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2024</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 and others</w:t>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8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8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8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9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Contracts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enter into supply agreements with our customers which generally have an initial term of up to three years, subject to automatic renewals for subsequent one-year terms unless expressly terminated. Although there are no minimum purchase requirements in our supply agreements, our customers provide us with rolling forecasts of their demand requirements. Our supply agreements generally include provisions for pricing and periodic review of pricing, consignment of our customer’s unique production equipment to us, and the sharing of benefits from cost-savings derived from our efforts. We are generally required to purchase materials, which may include long lead-time materials and materials that are subject to minimum order quantities and/or non-cancelable or non-returnable terms, to meet the stated demands of our customers. After procuring materials, we manufacture products for our customers based on purchase orders that contain terms regarding product quantities, delivery locations and delivery dates. Our customers generally are obligated to purchase finished goods that we have manufactured according to their demand requirements. Materials that are not consumed by our customers within a specified period of time, or that are no longer required due to a product’s cancellation or end-of-life, are typically designated as excess or obsolete inventory under our contracts. Once materials are designated as either excess or obsolete inventory, our customers are typically required to purchase such inventory from us even if they have chosen to cancel production of the related products. The excess or obsolete inventory is shipped to the customer and recognized as an offset against cost of revenue upon shipment.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Cost of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key components of our cost of revenues are material costs, employee costs, and infrastructure-related costs. Material costs generally represent the majority of our cost of revenues. Several of the materials we require to manufacture products for our customers are customized for their products and often sourced from a single supplier or in some cases, our own subsidiaries. Shortages from sole-source suppliers due to yield loss, quality concerns and capacity constraints, among other factors, may increase our expenses and negatively impact our gross profit margin or total revenues in a given quarter. Material costs include scrap material. Historically, scrap rate diminishes during a product’s life cycle due to process, fixturing and test improvement and optimization.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second significant element of our cost of revenues is employee costs, including indirect employee costs related to design, configuration and optimization of manufacturing processes for our customers, quality testing, materials testing and other engineering services, and direct costs related to our manufacturing employees. Direct employee costs include employee salaries, insurance and benefits, merit-based bonuses, recruitment, training and retention. Historically, our employee costs have increased primarily due to increases in the number of employees necessary to support our growth and, to a lesser extent, costs to recruit, train and retain employees. Our cost of revenues is significantly impacted by salary levels in Thailand and the PRC, the fluctuation of the Thai baht and RMB against our functional currency, the U.S. dollar, and our ability to retain our employees. We expect our employee costs to increase as wages continue to increase in Thailand and the PRC. Wage increases may impact our ability to sustain our competitive advantage and may reduce our profit margin. We seek to mitigate these cost increases through improvements in employee productivity, employee retention and asset utilization.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infrastructure costs are comprised of depreciation, utilities, facilities management and overhead costs. Most of our facility leases are long-term agreements. Our depreciation costs include buildings and fixed assets, primarily at our Pinehurst and Chonburi campuses in Thailand, and capital equipment located at each of our manufacturing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SG&amp;A expenses primarily consist of corporate employee costs for sales and marketing, general and administrative and other support personnel, including research and development expenses related to the design of customized optics and glass, travel expenses, legal and other professional fees, share-based compensation expense and other general expenses not related to cost of revenues. In fiscal year 2026, we expect our SG&amp;A expenses will increase compared with our fiscal year 2025 SG&amp;A expenses, mainly due to an increase in information technology related expenses and employee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of our board of directors approved a fiscal year 2026 executive incentive plan with quantitative objectives based solely on achieving certain revenue targets and non-GAAP operating margin targets for fiscal year 2026. Bonuses under the fiscal year 2025 executive incentive plan are payable after the end of fiscal year 2025. In fiscal year 2025, the compensation committee approved a fiscal year 2025 executive incentive plan with quantitative objectives that were based solely on achieving certain revenue targets and non-GAAP operating margin targets for fiscal year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Additional Financial Disclosures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Foreign Exchange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our international operations, we are exposed to foreign exchange risk arising from various currency exposures, and primarily with respect to the Thai baht. Although a majority of our total revenues is denominated in U.S. dollars, a substantial portion of our payroll plus certain other operating expenses are incurred and paid in Thai baht. The exchange rate between the Thai baht and the U.S. dollar has fluctuated substantially in recent years and may continue to fluctuate substantially in the future. We report our financial results in U.S. dollars and our results of operations have been and could in the future be negatively impacted if the Thai baht appreciates against the U.S. dollar. Smaller portions of our expenses are incurred in a variety of other currencies, including RMB, GBP, Canadian dollars, Euros, and Japanese yen, the appreciation of which may also negatively impact our financial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order to manage the risks arising from fluctuations in foreign currency exchange rates, we use derivative instruments. We may enter into foreign currency exchange forward or put option contracts to manage foreign currency exposures associated with certain assets and liabilities and other forecasted foreign currency transactions and may designate these instruments as hedging instruments. The forward and put option contracts generally have maturities of up to 12 months. All foreign currency exchange contracts are recognized in the unaudited condensed consolidated balance sheets at fair value. Gains or losses on our forward and put option contracts generally present gross amount in the assets, liabilities, and transactions economically hedged.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foreign currency denominated assets and liabilities in Thai baht, RMB and GBP as follows:</w:t>
      </w:r>
    </w:p>
    <w:tbl>
      <w:tblPr>
        <w:tblW w:w="10205" w:type="dxa"/>
        <w:jc w:val="left"/>
        <w:tblInd w:w="0" w:type="dxa"/>
        <w:tblLayout w:type="fixed"/>
        <w:tblCellMar>
          <w:top w:w="28" w:type="dxa"/>
          <w:left w:w="28" w:type="dxa"/>
          <w:bottom w:w="28" w:type="dxa"/>
          <w:right w:w="28" w:type="dxa"/>
        </w:tblCellMar>
      </w:tblPr>
      <w:tblGrid>
        <w:gridCol w:w="705"/>
        <w:gridCol w:w="605"/>
        <w:gridCol w:w="609"/>
        <w:gridCol w:w="488"/>
        <w:gridCol w:w="488"/>
        <w:gridCol w:w="281"/>
        <w:gridCol w:w="109"/>
        <w:gridCol w:w="109"/>
        <w:gridCol w:w="109"/>
        <w:gridCol w:w="211"/>
        <w:gridCol w:w="826"/>
        <w:gridCol w:w="109"/>
        <w:gridCol w:w="109"/>
        <w:gridCol w:w="109"/>
        <w:gridCol w:w="109"/>
        <w:gridCol w:w="307"/>
        <w:gridCol w:w="309"/>
        <w:gridCol w:w="271"/>
        <w:gridCol w:w="109"/>
        <w:gridCol w:w="109"/>
        <w:gridCol w:w="109"/>
        <w:gridCol w:w="488"/>
        <w:gridCol w:w="488"/>
        <w:gridCol w:w="306"/>
        <w:gridCol w:w="109"/>
        <w:gridCol w:w="109"/>
        <w:gridCol w:w="109"/>
        <w:gridCol w:w="211"/>
        <w:gridCol w:w="826"/>
        <w:gridCol w:w="109"/>
        <w:gridCol w:w="109"/>
        <w:gridCol w:w="109"/>
        <w:gridCol w:w="109"/>
        <w:gridCol w:w="307"/>
        <w:gridCol w:w="309"/>
        <w:gridCol w:w="317"/>
      </w:tblGrid>
      <w:tr>
        <w:trPr/>
        <w:tc>
          <w:tcPr>
            <w:tcW w:w="7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June 27, 2025</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 baht</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953,442 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1,812,680 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RMB</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43,637 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 baht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4,977,955 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4,434,661 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RMB</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89,583 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148,895 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Thai baht assets represent cash and cash equivalents, trade accounts receivable, deposits and other current assets. The Thai baht liabilities represent trade accounts payable, accrued expenses, income tax payable, accrued employee benefits and other payables. We manage our exposure to fluctuations in foreign exchange rates by the use of foreign currency contracts and offsetting assets and liabilities denominated in the same currency in accordance with management’s policy. As of December 26, 2025, there was $200.0 million of foreign currency forward contracts outstanding on the Thai baht payables. As of June 27, 2025, there was $165.0 million of foreign currency forward contracts outstanding on the Thai baht payables.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RMB assets represent cash and cash equivalents, trade accounts receivable, other receivables, and other current assets. The RMB liabilities represent trade accounts payable, accrued expenses, income tax payable, accrued payroll, bonus and related expenses, and other payables. As of December 26, 2025 and June 27, 2025, we did not have any derivative contracts denominated in RMB.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GBP assets represent cash, trade accounts receivable, and other current assets. The GBP liabilities represent trade accounts payable, accrued expenses, and other payables. As of December 26, 2025 and June 27, 2025, we did not have any derivative contracts denominated in GBP.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December 26, 2025 and December 27, 2024, we recorded an unrealized gain of $1.2 million and unrealized loss of $5.1 million, respectively, related to derivatives that are not designated as hedging instruments in the unaudited condensed consolidated statements of operations and comprehensive income.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six months ended December 26, 2025 and December 27, 2024, we recorded an unrealized loss of $0.1 million and $1.0 million, respectively, related to derivatives that are not designated as hedging instruments in the unaudited condensed consolidated statements of operations and comprehensive income.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Currency Regulation and Dividend Distribution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Foreign exchange regulation in the PRC is primarily governed by the following rules: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Foreign Currency Administration Rules, as amended on August 5, 2008, or the Exchange Rules;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Administration Rules of the Settlement, Sale and Payment of Foreign Exchange (1996), or the Administration Rules;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Notice on Perfecting Practices Concerning Foreign Exchange Settlement Regarding the Capital Contribution by Foreign-invested Enterprises, as promulgated by the State Administration of Foreign Exchange (“SAFE”), on August 29, 2008, or Circular 142.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Exchange Rules, RMB is freely convertible into foreign currencies for current account items, including the distribution of dividends, interest payments, trade and service-related foreign exchange transactions. However, conversion of RMB for capital account items, such as direct investments, loans, security investments and repatriation of investments, is still subject to the approval of SAFE.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Administration Rules, foreign-invested enterprises may only buy, sell, or remit foreign currencies at banks authorized to conduct foreign exchange business after providing valid commercial documents and relevant supporting documents and, in the case of capital account item transactions, obtaining approval from SAFE. Capital investments by foreign-invested enterprises outside of the PRC are also subject to limitations, which include approvals by the Ministry of Commerce, SAFE and the State Development and Reform Commission.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Circular 142 regulates the conversion by a foreign-invested company of foreign currency into RMB by restricting how the converted RMB may be used. Circular 142 requires that the registered capital of a foreign-invested enterprise settled in RMB converted from foreign currencies may only be used for purposes within the business scope approved by the applicable governmental authority and may not be used for equity investments within the PRC. In addition, SAFE strengthened its oversight of the flow and use of the registered capital of foreign-invested enterprises settled in RMB converted from foreign currencies. The use of such RMB capital may not be changed without SAFE’s approval and may not be used to repay RMB loans if the proceeds of such loans have not been used.</w:t>
      </w:r>
    </w:p>
    <w:p>
      <w:pPr>
        <w:pStyle w:val="TextBody"/>
        <w:bidi w:val="0"/>
        <w:spacing w:lineRule="auto" w:line="26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January 5, 2007, SAFE promulgated the Detailed Rules for Implementing the Measures for the Administration on Individual Foreign Exchange, or the Implementation Rules. Under the Implementation Rules, PRC citizens who are granted share options by an overseas publicly-listed company are required, through a PRC agent or PRC subsidiary of such overseas publicly-listed company, to register with SAFE and complete certain other procedures.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General Administration of Taxation has issued circulars concerning employee share options. Under these circulars, our employees working in the PRC who exercise share options will be subject to PRC individual income tax. Our PRC subsidiary has obligations to file documents related to employee share options with relevant tax authorities and withhold individual income taxes of those employees who exercise their share options.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our transfer of funds to our subsidiaries in Thailand and the PRC are each subject to approval by governmental authorities in case of an increase in registered capital, or subject to registration with governmental authorities in case of a shareholder loan. These limitations on the flow of funds between our subsidiaries and us could restrict our ability to act in response to changing market conditions.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Income Tax</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effective tax rate is a function of the mix of tax rates in the various jurisdictions in which we do business. We are domiciled in the Cayman Islands. Under the current laws of the Cayman Islands, we are not subject to tax in the Cayman Islands on income or capital gains until March 6, 2039.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Throughout the period of our operations in Thailand, we have generally received income tax and other incentives from the Thailand Board of Investment. Preferential tax treatment from the Thai government in the form of a corporate tax exemption on income generated from projects to manufacture certain products at our Chonburi campus is currently available to us through June 2026. Preferential tax treatment is available to us for products manufactured at our Chonburi campus Building 9, where income generated will be tax exempt through 2031, capped at our actual investment amount. Such preferential tax treatment is contingent on various factors, including the export of our customers’ products out of Thailand and our agreement not to move our manufacturing facilities out of our current province in Thailand for at least 15 years from the date on which preferential tax treatment was granted. Currently, the corporate income tax rate for our Thai subsidiary is 20%.</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26, 2025, the corporate income tax rates for our subsidiaries in the PRC, the U.S., the U.K. and Israel are 25%, 21%, 25% and 23%,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deferred income tax assets represent temporary differences between the carrying amount and the tax basis of existing assets and liabilities that will result in deductible and payable amounts in future years, including net operating loss carry forwards. Based on estimates, the carrying value of our net deferred tax assets assumes that it is more likely than not that we will be able to generate sufficient future taxable income in certain tax jurisdictions to realize these deferred income tax assets. Our judgments regarding future profitability may change depending on future market conditions, changes in U.S. or international tax laws, or other factors. If these estimates and related assumptions change in the future, we may be required to increase or decrease our valuation allowance against the deferred tax assets, resulting in additional or lesser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prepare our unaudited condensed consolidated financial statements in conformity with U.S. GAAP, which requires us to make estimates and assumptions that affect the reported amounts of assets and liabilities, the disclosure of contingent liabilities on the date of the unaudited condensed consolidated financial statements and the reported amounts of revenues and expenses during the financial reporting period. We continually evaluate these estimates and assumptions based on the most recently available information, our own historical experience and on various other assumptions that we believe to be reasonable under the circumstances. The results of these estimates form the basis for making judgments about the carrying values of assets and liabilities that are not readily apparent from other sources. Because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unaudited condensed consolidated financial statements, as their application places the most significant demands on our management’s judgment.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are disclosed in our Annual Report on Form 10-K for the fiscal year ended June 27, 2025. The adoption of new accounting policies and accounting standards are disclosed in Note 2 to the unaudited condensed consolidated financial statements. There were no changes to our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unaudited condensed consolidated statements of operations and comprehensive income. Note that period-to-period comparisons of operating results should not be relied upon as indicative of future performance.</w:t>
      </w:r>
    </w:p>
    <w:tbl>
      <w:tblPr>
        <w:tblW w:w="9884" w:type="dxa"/>
        <w:jc w:val="left"/>
        <w:tblInd w:w="0" w:type="dxa"/>
        <w:tblLayout w:type="fixed"/>
        <w:tblCellMar>
          <w:top w:w="28" w:type="dxa"/>
          <w:left w:w="28" w:type="dxa"/>
          <w:bottom w:w="28" w:type="dxa"/>
          <w:right w:w="28" w:type="dxa"/>
        </w:tblCellMar>
      </w:tblPr>
      <w:tblGrid>
        <w:gridCol w:w="1384"/>
        <w:gridCol w:w="1214"/>
        <w:gridCol w:w="1226"/>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unaudited condensed consolidated statements of operations and comprehensive income as a percentage of revenues for the periods indicated.</w:t>
      </w:r>
    </w:p>
    <w:tbl>
      <w:tblPr>
        <w:tblW w:w="9879" w:type="dxa"/>
        <w:jc w:val="left"/>
        <w:tblInd w:w="0" w:type="dxa"/>
        <w:tblLayout w:type="fixed"/>
        <w:tblCellMar>
          <w:top w:w="28" w:type="dxa"/>
          <w:left w:w="28" w:type="dxa"/>
          <w:bottom w:w="28" w:type="dxa"/>
          <w:right w:w="28" w:type="dxa"/>
        </w:tblCellMar>
      </w:tblPr>
      <w:tblGrid>
        <w:gridCol w:w="1387"/>
        <w:gridCol w:w="1215"/>
        <w:gridCol w:w="1223"/>
        <w:gridCol w:w="308"/>
        <w:gridCol w:w="308"/>
        <w:gridCol w:w="607"/>
        <w:gridCol w:w="134"/>
        <w:gridCol w:w="134"/>
        <w:gridCol w:w="134"/>
        <w:gridCol w:w="308"/>
        <w:gridCol w:w="308"/>
        <w:gridCol w:w="607"/>
        <w:gridCol w:w="109"/>
        <w:gridCol w:w="109"/>
        <w:gridCol w:w="109"/>
        <w:gridCol w:w="308"/>
        <w:gridCol w:w="308"/>
        <w:gridCol w:w="607"/>
        <w:gridCol w:w="121"/>
        <w:gridCol w:w="121"/>
        <w:gridCol w:w="121"/>
        <w:gridCol w:w="308"/>
        <w:gridCol w:w="308"/>
        <w:gridCol w:w="677"/>
      </w:tblGrid>
      <w:tr>
        <w:trPr/>
        <w:tc>
          <w:tcPr>
            <w:tcW w:w="138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w:t>
              <w:b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w:t>
              <w:br/>
              <w:t>2024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costs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revenues by end market and product category for the periods indicated.</w:t>
      </w:r>
    </w:p>
    <w:tbl>
      <w:tblPr>
        <w:tblW w:w="10205" w:type="dxa"/>
        <w:jc w:val="left"/>
        <w:tblInd w:w="0" w:type="dxa"/>
        <w:tblLayout w:type="fixed"/>
        <w:tblCellMar>
          <w:top w:w="28" w:type="dxa"/>
          <w:left w:w="28" w:type="dxa"/>
          <w:bottom w:w="28" w:type="dxa"/>
          <w:right w:w="28" w:type="dxa"/>
        </w:tblCellMar>
      </w:tblPr>
      <w:tblGrid>
        <w:gridCol w:w="1333"/>
        <w:gridCol w:w="1079"/>
        <w:gridCol w:w="1086"/>
        <w:gridCol w:w="252"/>
        <w:gridCol w:w="1169"/>
        <w:gridCol w:w="130"/>
        <w:gridCol w:w="109"/>
        <w:gridCol w:w="109"/>
        <w:gridCol w:w="109"/>
        <w:gridCol w:w="308"/>
        <w:gridCol w:w="308"/>
        <w:gridCol w:w="699"/>
        <w:gridCol w:w="109"/>
        <w:gridCol w:w="109"/>
        <w:gridCol w:w="109"/>
        <w:gridCol w:w="238"/>
        <w:gridCol w:w="1104"/>
        <w:gridCol w:w="123"/>
        <w:gridCol w:w="109"/>
        <w:gridCol w:w="109"/>
        <w:gridCol w:w="109"/>
        <w:gridCol w:w="308"/>
        <w:gridCol w:w="308"/>
        <w:gridCol w:w="779"/>
      </w:tblGrid>
      <w:tr>
        <w:trPr/>
        <w:tc>
          <w:tcPr>
            <w:tcW w:w="133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3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December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Optical communications</w:t>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Telecom</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747,968 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Datacom</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Datacenter interconnect </w:t>
            </w:r>
            <w:r>
              <w:rPr>
                <w:rFonts w:ascii="Times New Roman;serif" w:hAnsi="Times New Roman;serif"/>
                <w:b w:val="false"/>
                <w:color w:val="000000"/>
                <w:sz w:val="13"/>
              </w:rPr>
              <w:t>(1)</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 Optical communications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832,590 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1,579,486 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Non-optical communications</w:t>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laser</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High-performance computing </w:t>
            </w:r>
            <w:r>
              <w:rPr>
                <w:rFonts w:ascii="Times New Roman;serif" w:hAnsi="Times New Roman;serif"/>
                <w:b w:val="false"/>
                <w:color w:val="000000"/>
                <w:sz w:val="13"/>
              </w:rPr>
              <w:t>(2)</w:t>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 Non-optical communications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300,298 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531,530 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1,132,888 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2,111,016 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327"/>
        <w:gridCol w:w="1091"/>
        <w:gridCol w:w="1098"/>
        <w:gridCol w:w="281"/>
        <w:gridCol w:w="1105"/>
        <w:gridCol w:w="145"/>
        <w:gridCol w:w="109"/>
        <w:gridCol w:w="109"/>
        <w:gridCol w:w="109"/>
        <w:gridCol w:w="308"/>
        <w:gridCol w:w="308"/>
        <w:gridCol w:w="699"/>
        <w:gridCol w:w="109"/>
        <w:gridCol w:w="109"/>
        <w:gridCol w:w="109"/>
        <w:gridCol w:w="238"/>
        <w:gridCol w:w="1106"/>
        <w:gridCol w:w="123"/>
        <w:gridCol w:w="109"/>
        <w:gridCol w:w="109"/>
        <w:gridCol w:w="109"/>
        <w:gridCol w:w="308"/>
        <w:gridCol w:w="308"/>
        <w:gridCol w:w="779"/>
      </w:tblGrid>
      <w:tr>
        <w:trPr/>
        <w:tc>
          <w:tcPr>
            <w:tcW w:w="132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3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December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December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 of Total</w:t>
              <w:br/>
              <w:t>Revenues</w:t>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Optical communications</w:t>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Datacom</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Telecom</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Datacenter interconnect</w:t>
            </w:r>
            <w:r>
              <w:rPr>
                <w:color w:val="000000"/>
              </w:rPr>
              <w:t xml:space="preserve"> </w:t>
            </w:r>
            <w:r>
              <w:rPr>
                <w:rFonts w:ascii="Times New Roman;serif" w:hAnsi="Times New Roman;serif"/>
                <w:b w:val="false"/>
                <w:color w:val="000000"/>
                <w:sz w:val="13"/>
              </w:rPr>
              <w:t>(1)</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 Optical communications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647,150 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1,273,465 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Non-optical communications</w:t>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laser</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 Non-optical communications</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186,458 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364,371 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833,608 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1,637,836 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Datacenter interconnect (DCI) modules are opto-electronic modules used to connect two or more geographically separated data centers.</w:t>
      </w:r>
    </w:p>
    <w:p>
      <w:pPr>
        <w:pStyle w:val="TextBody"/>
        <w:bidi w:val="0"/>
        <w:spacing w:lineRule="auto" w:line="288" w:before="0" w:after="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High-performance computing (HPC) products are massively parallel computing systems built from interconnected high-performance processors, accelerators, high-speed memory, and low-latency networking to solve complex, compute-intensive problems.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Three and Six Months Ended December 26, 2025 with Three and Six Months Ended December 27, 2024</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revenues increased by $299.3 million, or 35.9%, to $1,132.9 million for the three months ended December 26, 2025, compared with $833.6 million for the three months ended December 27, 2024. This increase was primarily due to an increase in our key customers’ demand for both optical communications products and non-optical communications products. Revenues from optical communications products, which represented $832.6 million, or 73.5%, of our revenues for the three months ended December 26, 2025, increased by $185.4 million, or 28.7%, compared to the same period in the prior fiscal year, mainly due to an increase in revenues from telecommunication products and datacenter interconnect products, and partially offset with a decrease in revenues from data communication products during the three months ended December 26, 2025. Revenues from non-optical communications products, which represented $300.3 million, or 26.5%, of our revenues for the three months ended December 26, 2025, increased by $113.8 million, or 61.1%, compared to the same period in the prior fiscal year, primarily due to high demand for high-performance computing, and growth in automotive revenue, as short-term inventory absorption issues have substantially subsided.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revenues increased by $473.2 million, or 28.9%, to $2,111.0 million for the six months ended December 26, 2025, compared with $1,637.8 million for the six months ended December 27, 2024. This increase was primarily due to an increase in our key customers’ demand for both optical communications products and non-optical communications products. Revenues from optical communications products, which represented $1,579.5 million, or 74.8%, of our revenues for the six months ended December 26, 2025, increased by $306.0 million, or 24.0%, compared to the same period in the prior fiscal year, mainly due to an increase in revenues from telecommunication products and datacenter interconnect products, and partially offset with a decrease in revenues from data communication products during the six months ended December 26, 2025. Revenues from non-optical communications products, which represented $531.5 million, or 25.2%, of our revenues for the six months ended December 26, 2025, increased by $167.2 million, or 45.9%, compared to the same period in the prior fiscal year, primarily due to high demand for high-performance computing, and growth in automotive revenue, as short-term inventory absorption issues have substantially subsided.</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Cost of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cost of revenues increased by $262.4 million, or 35.8%, to $995.2 million, or 87.8% of revenues, for the three months ended December 26, 2025, compared with $732.8 million, or 87.9% of revenues, for the three months ended December 27, 2024. The increase was in line with the increase in sales volume.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cost of revenues increased by $418.9 million, or 29.1%, to $1,856.9 million, or 88.0% of revenues, for the six months ended December 26, 2025, compared with $1,438.0 million, or 87.8% of revenues, for the six months ended December 27, 2024. This increase was in line with the increase in sales volume. </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gross profit increased by $36.9 million, or 36.6%, to $137.7 million, or 12.2% of revenues, for the three months ended December 26, 2025, compared with $100.8 million, or 12.1% of revenues, for the three months ended December 27, 2024. The increase was primarily due to an increase in sales volume.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gross profit increased by $54.2 million, or 27.1%, to $254.1 million, or 12.0% of revenues, for the six months ended December 26, 2025, compared with $199.9 million, or 12.2% of revenues, for the six months ended December 27, 2024. The increase was primarily due to an increase in sales volume.</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SG&amp;A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SG&amp;A expenses increased by $2.1 million, or 9.9%, to $23.3 million, or 2.1% of revenues, for the three months ended December 26, 2025, compared with $21.2 million, or 2.6% of revenues, for the three months ended December 27, 2024. The increase was primarily due to (1) a net increase in the allowance for expected credit losses of $0.6 million, (2) an increase in information technology related expenses of $0.5 million, mainly from network, security system and new hardware costs, (3) an increase in a net realized loss from financial instruments of $0.5 million, (4) an increase in executive compensation related expenses of $0.4 million, and (5) an increase in share-based compensation expenses of $0.4 million, offset by a decrease from the true-up of other employee benefits of $0.3 million.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SG&amp;A expenses increased by $2.3 million, or 5.3%, to $45.5 million, or 2.1% of revenues, for the six months ended December 26, 2025, compared with $43.2 million, or 2.6% of revenues, for the six months ended December 27, 2024. The increase was primarily due to (1) an increase in information technology related expenses of $1.1 million, mainly from network, security system and new hardware costs, (2) an increase in executive compensation related expenses of $0.7 million, (3) an increase in consultant expenses of $0.4 million, (4) a net increase in the allowance for expected credit losses of $0.3 million, (5) an increase in a net realized loss from financial instruments of $0.3 million, and (6) an increase in share-based compensation expenses of $0.2 million, offset by a decrease in severance expenses of $0.7 million.</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operating income increased by $34.8 million, or 43.7%, to $114.4 million, or 10.1% of revenues, for the three months ended December 26, 2025, compared with $79.6 million, or 9.5% of revenues, for the three months ended December 27, 2024. The increase was primarily due to an increase in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operating income increased by $52.1 million, or 33.3%, to $208.6 million, or 9.9% of revenues, for the six months ended December 26, 2025, compared with $156.5 million, or 9.6% of revenues, for the six months ended December 27, 2024. The increase was primarily due to an increase in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interest income decreased by $2.7 million, or 23.9%, to $8.6 million, or 0.8% of revenues, for the three months ended December 26, 2025, compared with $11.3 million, or 1.4% of revenues, for the three months ended December 27, 2024. The decrease was primarily due to a decrease in average cash balance and short-term investment and a decrease of weighted average interest income rate following to global interest rate trend from 4.2% to 3.8% during the three months ended December 26, 2025 compared to the same period in the prior fiscal year.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interest income decreased by $4.2 million, or 18.9%, to $18.0 million, or 0.9% of revenues, for the six months ended December 26, 2025, compared with $22.2 million, or 1.3% of revenues, for the six months ended December 27, 2024. The decrease was primarily due to a decrease of weighted average interest income rate following to global interest rate trend from 4.4% to 3.9% during the six months ended December 26, 2025 compared to same period in the prior fiscal year.</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Foreign exchange gain (loss),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recorded foreign exchange loss, net of $3.2 million, or 0.3% of revenues, for the three months ended December 26, 2025, compared with foreign exchange gain, net of $4.0 million, or 0.5% of revenues, for the three months ended December 27, 2024. The foreign exchange loss was mainly due to (1) unrealized loss from revaluation of outstanding Thai baht assets and liabilities of $12.3 million, (2) unrealized loss from revaluation of currencies other than Thai baht of $1.6 million, and (3) higher realized loss from payment/receipt of $0.1 million, offset by (1) unrealized gain from mark-to-market forward contracts of $6.3 million, and (2) lower foreign exchange loss, totaling $0.5 million from our subsidiaries in the PRC and the U.K.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recorded foreign exchange loss, net of $5.3 million, or 0.3% of revenues, for the six months ended December 26, 2025, compared with foreign exchange loss, net of $3.1 million, or 0.2% or revenues, for the six months ended December 27, 2024. The increase in foreign exchange loss was mainly due to (1) higher in realized loss from payment/receipt of $1.5 million, (2) higher unrealized loss from revaluation of outstanding Thai baht assets and liabilities of $1.4 million, and (3) foreign exchange loss, totaling $0.2 million from our subsidiaries in the PRC and the U.K, offset by lower unrealized loss from mark-to-market forward contracts of $0.9 million.</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Income before income taxes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recorded income before income taxes of $119.7 million for the three months ended December 26, 2025, compared with $94.9 million for the three months ended December 27, 2024.</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recorded income before income taxes of $221.2 million for the six months ended December 26, 2025, compared with $175.6 million for the six months ended December 27, 2024.</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provision for income tax reflects effective tax rates of 5.9% and 8.7% for the three months ended December 26, 2025 and December 27, 2024, respectively. The decrease was due to an increase in income not subject to tax.</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provision for income tax reflects effective tax rates of 5.7% and 6.6% for the six months ended December 26, 2025 and December 27, 2024, respectively. The decrease was due to an increase in income not subject to tax.</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Net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recorded net income of $112.6 million, or 10.0% of revenues, for the three months ended December 26, 2025, compared with $86.6 million, or 10.4% of revenues, for the three months ended December 27,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recorded net income of $208.6 million, or 9.9% of revenues, for the six months ended December 26, 2025, compared with $164.0 million, or 10.0% of revenues, for the six months ended December 27, 2024.</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Other comprehensive income (loss)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recorded other comprehensive income of $7.1 million, or 0.6% of revenues, for the three months ended December 26, 2025, compared with other comprehensive loss of $9.5 million, or 1.1% of revenues, for the three months ended December 27, 2024. The change was mainly due to (1) unrealized gain from mark-to-market of forward contracts of $14.0 million, and (2) unrealized gain from mark-to-market of available-for-sale debt securities of $3.0 million, offset by lower unrealized gain from foreign currency translation adjustment of $0.4 million.</w:t>
      </w:r>
    </w:p>
    <w:p>
      <w:pPr>
        <w:pStyle w:val="TextBody"/>
        <w:bidi w:val="0"/>
        <w:spacing w:before="120" w:after="283"/>
        <w:ind w:left="0" w:right="0" w:firstLine="540"/>
        <w:jc w:val="left"/>
        <w:rPr/>
      </w:pPr>
      <w:r>
        <w:rPr/>
      </w:r>
    </w:p>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recorded other comprehensive income of $4.1 million, or 0.2% of revenues, for the six months ended December 26, 2025, compared with other comprehensive income of $5.5 million, or 0.3% of revenues, for the six months ended December 27, 2024. The change was mainly due to (1) lower unrealized gain from mark-to-market of available-for-sale debt securities of $4.7 million, and (2) unrealized loss from foreign currency translation adjustment of $0.1 million, offset by unrealized gain from mark-to-market of forward contracts of $3.4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 and Working Capital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primarily finance our operations through cash flow from operating activities. As of December 26, 2025 and December 27, 2024, we had cash, cash equivalents, and short-term investments of $960.8 million and $934.6 million, respectively, and no outstanding debt.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which primarily consist of cash on hand, demand deposits, and liquid investments with original maturities of three months or less, are placed with banks and other financial institutions. The weighted-average interest rate on our cash and cash equivalents was 3.8% and 3.9% for the three and six months ended December 26, 2025, respectively, and 4.2% and 4.4% for the three and six months ended December 27, 2024,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cash investments are made in accordance with an investment policy approved by the audit committee of our board of directors. In general, our investment policy requires that securities purchased be rated A1, P-1, F1 or better. No security may have an effective maturity that exceeds three years. Our investments in fixed income securities are primarily classified as available-for-sale and are recorded at fair value. The cost of securities sold is based on the specific identification method. Unrealized gains and losses on these securities are recorded as other comprehensive income (loss) and are reported as a separate component of shareholders’ equity.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cash and cash equivalents, short-term investments, cash flow from operations, and funds available through our credit facility will be sufficient to meet our working capital and capital expenditure needs for at least the next 12 months. Our ability to sustain our working capital position is subject to a number of risks that we discuss in Part II, Item 1A of this Quarterly Report on Form 10-Q. We also believe that our current manufacturing capacity is sufficient to meet our anticipated production requirements for at least the next few quarters. In February 2025, we began construction of a new manufacturing facility of approximately 2.0 million square feet at our Chonburi campus. The total expected cost of the project is approximately $132.5 million (Thai baht 4.45 billion).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cash flows for the periods indicated:</w:t>
      </w:r>
    </w:p>
    <w:tbl>
      <w:tblPr>
        <w:tblW w:w="8891" w:type="dxa"/>
        <w:jc w:val="left"/>
        <w:tblInd w:w="0" w:type="dxa"/>
        <w:tblLayout w:type="fixed"/>
        <w:tblCellMar>
          <w:top w:w="28" w:type="dxa"/>
          <w:left w:w="28" w:type="dxa"/>
          <w:bottom w:w="28" w:type="dxa"/>
          <w:right w:w="28" w:type="dxa"/>
        </w:tblCellMar>
      </w:tblPr>
      <w:tblGrid>
        <w:gridCol w:w="1998"/>
        <w:gridCol w:w="1754"/>
        <w:gridCol w:w="1768"/>
        <w:gridCol w:w="259"/>
        <w:gridCol w:w="1107"/>
        <w:gridCol w:w="133"/>
        <w:gridCol w:w="109"/>
        <w:gridCol w:w="109"/>
        <w:gridCol w:w="109"/>
        <w:gridCol w:w="257"/>
        <w:gridCol w:w="1100"/>
        <w:gridCol w:w="188"/>
      </w:tblGrid>
      <w:tr>
        <w:trPr/>
        <w:tc>
          <w:tcPr>
            <w:tcW w:w="1998"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26,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27, 2024</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(106,117)</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(116,074)</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increase(decrease) in cash, cash equivalents and restricted cash</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is net income adjusted for certain non-cash items and changes in certain assets and liabilities. The decrease in cash provided by operating activities during the six months ended December 26, 2025 as compared to the six months ended December 27, 2024 was primarily due to more efficient cash-favorable working capital changes mainly from an increase in inventories to support higher demand in the next quarter, partially offset by a decrease in trade receivables due to timing of collection and an increase in trade payables aligned with the increasing volume of inventories.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Investing cash flows consist primarily of investment purchases, sales, maturities, and disposals; and capital expenditures. The decrease in cash used in investing activities for the six months ended December 26, 2025 as compared to cash used in investing activities for the six months ended December 27, 2024 was primarily due to a decrease in net purchase of investment, offset by (1) an increase related to the construction of a new manufacturing building at our Chonburi campus, and (2) an increase in capital expenditures to support certain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Financing cash flows consist primarily of repayment of long-term debt, share repurchases, and withholding tax related to net share settlement of restricted share units. The decrease in cash used in financing activities for the six months ended December 26, 2025 as compared to the six months ended December 27, 2024 was due to a decrease in share repurchases, offset by an increase in withholding tax related to net share settlement of restricted share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Note 2 of Notes to Unaudited Condensed Consolidated Financial Statements for recent accounting pronouncements that could have an effect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restricted cash and short-term investments totaling $961.5 million and $934.2 million as of December 26, 2025 and June 27, 2025, respectively. We have interest rate risk exposure relating to the interest income generated by excess cash invested in highly liquid investments with maturities of three months or less from the original dates of purchase. The cash, cash equivalents, and short-term investments are held for working capital purposes. We have not used derivative financial instruments in our investment portfolio. We have not been exposed nor do we anticipate being exposed to material risks due to changes in market interest rates. Declines in interest rates, however, will reduce future investment income. If overall interest rates had declined by 10 basis points during the six months ended December 26, 2025 and December 27, 2024, our interest income would have decreased by approximately $0.5 million for both periods, assuming consistent investment levels.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an investment portfolio in a variety of financial instruments, including, but not limited to, U.S. government and agency bonds, corporate obligations, money market funds, asset-backed securities, and other investment-grade securities. The majority of these investments pay a fixed rate of interest. The securities in the investment portfolio are subject to market price risk due to changes in interest rates, perceived issuer creditworthiness, marketability, and other factors. These investments are generally classified as available-for-sale and, consequently, are recorded on our unaudited condensed consolidated balance sheets at fair value with unrealized gains or losses reported as a separate component of shareholders’ equity.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Investments in both fixed-rate and floating-rate interest earning instruments carry a degree of interest rate risk. The fair market values of our fixed-rate securities decline if interest rates rise, while floating-rate securities may produce less income than expected if interest rates fall. Due in part to these factors, our future investment income may be less than we expect because of changes in interest rates, or we may suffer losses in principal if forced to sell securities that have experienced a decline in market value because of changes in interest rates.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our foreign operations, we have significant expenses, assets and liabilities that are denominated in foreign currencies. Substantially all of our employees and most of our facilities are located in Thailand and the PRC. Therefore, a substantial portion of our payroll as well as certain other operating expenses are paid in Thai baht and RMB. The significant majority of our revenues are denominated in U.S. dollars because our customer contracts generally provide that our customers will pay us in U.S. dollars.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consequence, our gross profit margins, operating results, profitability and cash flows are adversely impacted when the dollar depreciates relative to the Thai baht or the RMB. We have a particularly significant currency rate exposure to changes in the exchange rate between the Thai baht, the RMB and the U.S. dollar. We must translate foreign currency-denominated results of operations, assets and liabilities for our foreign subsidiaries to U.S. dollars in our unaudited condensed consolidated financial statements. Consequently, increases and decreases in the value of the U.S. dollar compared with such foreign currencies will affect our reported results of operations and the value of our assets and liabilities on our unaudited condensed consolidated balance sheets, even if our results of operations or the value of those assets and liabilities has not changed in its original currency. These transactions could significantly affect the comparability of our results between financial periods or result in significant changes to the carrying value of our assets, liabilities and shareholders’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attempt to hedge against these exchange rate risks by entering into derivative instruments that are typically one to eighteen months in duration, leaving us exposed to longer term changes in exchange rates. We designated the foreign currency forward contracts used to hedge fluctuations in the U.S. dollar value of forecasted transactions denominated in Thai baht as cash flow hedges, as they qualified for hedge accounting because the hedges are highly effective. While we intend to continue to meet the conditions for hedge accounting, if hedges do not qualify as highly effective, the changes in the fair value of the derivatives used as hedges would be reflected in our earnings. Any gains or losses related to these outstanding foreign currency forward contracts will be recorded in accumulated other comprehensive income (loss) in the unaudited condensed consolidated balance sheets, with subsequent reclassification to the same statement of operations and comprehensive income line item as the earnings effect of hedge items when settled. We recorded an unrealized loss of $0.1 million and $1.0 million for the six months ended December 26, 2025 and December 27, 2024, respectively, related to derivatives that are not designated as hedging instruments. As foreign currency exchange rates fluctuate relative to the U.S. dollar, we expect to incur foreign currency translation adjustments and may incur foreign currency exchange losses. For example, a 10% weakening in the U.S. dollar against the Thai baht and the RMB would have resulted in a decrease in our net dollar position of approximately $14.5 million and $9.4 million as of December 26, 2025 and June 27, 2025, respectively. We cannot give any assurance as to the effect that future changes in foreign currency rates will have on our unaudited condensed consolidated financial position, operating results or cash flows.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Credit risk refers to our exposures to financial institutions, suppliers and customers that have in the past and may in the future experience financial difficulty, particularly in light of recent conditions in the credit markets and the global economy. As of December 26, 2025, our cash and cash equivalents were held in deposits and highly liquid investment products with maturities of three months or less with banks and other financial institutions having credit ratings of A minus or above. Our short-term investments as of December 26, 2025 are held in various financial institutions with a maturity limit not to exceed three years, and all securities are rated A1, P-1, F1 or better. We continue to monitor our surplus cash and consider investment in corporate and U.S. government debt as well as certain available-for-sale and held-to-maturity securities in accordance with our investment policy. We generally monitor the financial performance of our suppliers and customers, as well as other factors that may affect their access to capital and liquidity. Presently, we believe that we will not incur material losses due to our exposures to such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pursuant to Rule13a-15(e) and 15d-15(e) under the Securities Exchange Act of 1934 as of the end of the period covered by this Quarterly Report on Form 10-Q. Based on that evaluation, our chief executive officer and chief financial officer concluded that as of the end of the period covered by this Quarterly Report on Form10-Q, our disclosure controls and procedures were effective to provide reasonable assurance that information we are required to disclose in reports that we file or submit under the Securities Exchange Act of 1934 is recorded, processed, summarized and reported within the time periods specified in Securities and Exchange Commission rules and forms, and include controls and procedures designed to ensure that the information required to be disclosed by us in such reports is accumulated and communicated to our management, including our chief executive officer and chief financial officer, as appropriate, to allow timely decisions regarding required disclosures.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three months ended December 26,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June 28, 2024, Ngan In Leng and First Laser Limited (collectively, the “Plaintiffs”) filed a complaint in the Fuzhou Intermediate People’s Court (the “Court”) in Fuzhou, China against Fujian Enterprises (Holdings) Co., Ltd. (“FEHC”), Jian An Investment Limited (“Jian”), and Casix, Inc. (“Casix”), our wholly-owned subsidiary located in the PRC. The complaint alleged unjust enrichment related to a purported investment in Casix by the Plaintiffs in 1997, which predates our acquisition of Casix from JDS Uniphase Corporation. The Plaintiffs requested that the Court order FEHC to return the unjust enrichment to the Plaintiffs in the amount of RMB 400 million, with interest from March 1, 2000, and order Jian and Casix to bear joint and several liability for all payment obligations of FEHC.</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2024, the Court dismissed the complaint in its entirety based on jurisdictional grounds. The Plaintiffs subsequently appealed the Court’s ruling to the High People's Court of Fujian Province (the "Appellate Court"). In their appeal, the Plaintiffs claimed that Casix is the primary obligor to return the alleged unjust enrichment to the Plaintiffs. In November 2025, the Appellate Court upheld the Court's ruling and dismissed the complaint on jurisdictional grounds.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a variety of international and U.S. laws and regulations relating to the use, disposal, cleanup of and human exposure to hazardous materials. Item 103 of the SEC’s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threshold which we determine is reasonably designed to result in disclosure of any such proceeding that is material to our business or financial condition. Item 103 states that the disclosure threshold is $0.3 million, or at our election, a threshold that does not exceed the lesser of $1.0 million or one percent of our condensed consolidated current assets. As permitted by Item 103, we have elected to adopt a quantitative threshold for environmental proceedings of $1.0 million. Given the size of our operations, we believe that environmental matters under this threshold are not material to our business or financial condition.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from time to time subject to, and are presently involved in, litigation and other legal proceedings in the ordinary course of business. While it is not possible to determine the outcome of any legal proceedings brought against us, we believe that, except for the matter described above, there are no pending lawsuits or claims that, individually or in the aggregate, may have a material effect on our business, financial condition or operating results. Our views and estimates related to these matters may change in the future, as new events and circumstances arise and as the matters continue to develop.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Investing in our ordinary shares involves a high degree of risk. You should carefully consider the following risks, as well as the other information contained in this Quarterly Report on Form 10-Q, including our unaudited condensed consolidated financial statements and the related notes, before investing in our ordinary shares. The risks and uncertainties described below are not the only ones that we may face. Additional risks and uncertainties of which we are unaware, or that we currently deem immaterial, also may become important factors that affect us or our ordinary shares. If any of the following risks actually occur, they may harm our business, financial condition and operating results. In this event, the market price of our ordinary shares could decline, and you could lose some or all of your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Company and Operational Risks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sales depend on a small number of customers. A reduction in orders from any of these customers, the loss of any of these customers, or a customer exerting significant pricing and margin pressures on us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depended, and will continue to depend, upon a small number of customers for a significant percentage of our revenues. During the three months ended December 26, 2025 and December 27, 2024, we had four and two customers, respectively, that each contributed 10% or more of our revenues. Such customers together accounted for 59.1% and 48.5% of our revenues during the respective periods. During the six months ended December 26, 2025 and December 27, 2024, we had three and two customers, respectively, that each contributed 10% or more of our revenues. Such customers together accounted for 48.9% and 50.5% of our revenues during the respective periods. Dependence on a small number of customers means that a reduction in orders from, a loss of, or other adverse actions by any one of these customers would reduce our revenues and could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our customer concentration increases the concentration of our accounts receivable and our exposure to payment default by any of our key customers. Many of our existing and potential customers have substantial debt burdens, have experienced financial distress or have static or declining revenues, all of which may be exacerbated by the current global economic downturn and subsequent adverse conditions in the credit markets, as well as the impact of changes to U.S. and international trade policies. Certain of our customers have gone out of business, declared bankruptcy, been acquired, or announced their withdrawal from segments of the optics market. We generate significant accounts payable and inventory for the services that we provide to our customers, which could expose us to substantial and potentially unrecoverable costs if we do not receive payment from our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reliance on a small number of customers gives our customers substantial purchasing power and leverage in negotiating contracts with us. In addition, although we enter into master supply agreements with our customers, the level of business to be transacted under those agreements is not guaranteed. Instead, we are awarded business under those agreements on a project-by-project basis. Some of our customers have at times significantly reduced or delayed the volume of manufacturing services that they order from us. If we are unable to maintain our relationships with our existing significant customers,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Consolidation in the markets we serve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Consolidation in the markets we serve has resulted in a reduction in the number of potential customers for our services. For example, Nokia Corporation completed its acquisition of Infinera Corporation in February 2025; Lumentum Holdings Inc. completed its acquisition of NeoPhotonics Corporation in August 2022; Coherent Corp. (formerly known as II-VI Incorporated) completed its acquisition of Coherent, Inc. in July 2022; and Cisco Systems, Inc. completed its acquisition of Acacia Communications, Inc. in March 2021. In some cases, consolidation among our customers has led to a reduction in demand for our services as customers have acquired the capacity to manufacture products in-house.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Consolidation among our customers and their customers will continue to adversely affect our business, financial condition and operating results in several ways. Consolidation among our customers and their customers may result in a smaller number of large customers whose size and purchasing power give them increased leverage that may result in, among other things, decreases in our average selling prices. In addition to pricing pressures, this consolidation may also reduce overall demand for our manufacturing services if customers obtain new capacity to manufacture products in-house or discontinue duplicate or competing product lines in order to streamline operations. If demand for our manufacturing services decreases,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the optical communications market does not expand as we expect, our business may not grow as fast as we expect, which could adversely impact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Revenues from optical communications products represented 73.5% and 77.6% of our revenues for the three months ended December 26, 2025 and December 27, 2024, respectively. Our future success as a provider of precision optical, electro-mechanical and electronic manufacturing services for the optical communications market depends on the continued growth of the optics industry and, in particular, the continued expansion of global information networks, particularly those directly or indirectly dependent upon a fiber optic infrastructure. As part of that growth, we anticipate that demand for voice, video, and other data services delivered over high-speed connections (both wired and wireless) will continue to increase. Without network and bandwidth growth, the need for enhanced communications products would be jeopardized. Currently, demand for network services and for high-speed broadband access, in particular, is increasing but growth may be limited by several factors, including, among others: (1) relative strength or weakness of the global economy or the economy in certain countries or regions, (2) an uncertain regulatory environment, and (3) uncertainty regarding long-term sustainable business models as multiple industries, such as the cable, traditional telecommunications, wireless and satellite industries, offer competing content delivery solutions. The optical communications market also has experienced periods of overcapacity, some of which have occurred even during periods of relatively high network usage and bandwidth demands. If the factors described above were to slow, stop or reverse the expansion in the optical communications market, our business, financial condition and operating results would be negatively affected.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quarterly revenues, gross profit margins and operating results have fluctuated significantly and may continue to do so in the future, which may cause the market price of our ordinary shares to decline or be volatile.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quarterly revenues, gross profit margins, and operating results have fluctuated significantly and may continue to fluctuate significantly in the future. For example, any of the risks described in this “Risk Factors” section and, in particular, the following factors, could cause our revenues, gross profit margins, and operating results to fluctuate from quarter to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any reduction in customer demand or our ability to fulfill customer orders as a result of disruptions in our supply chain;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acquire new customers and retain our existing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cyclicality of the optical communications, automotive, industrial lasers, medical and sensors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competition;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achieve favorable pricing for our services;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effect of fluctuations in foreign currency exchange rates;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ability to manage our headcount and other costs;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changes in the relative mix in our revenues.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Therefore, we believe that quarter-to-quarter comparisons of our operating results may not be useful in predicting our future operating results. You should not rely on our results for one quarter as any indication of our future performance. Quarterly variations in our operations could result in significant volatility in the market price of our ordinary shares.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continue diversifying our precision optical and electro-mechanical manufacturing services across other markets within the optics industry, such as the semiconductor processing, biotechnology, metrology and material processing markets, or if these markets do not grow as fast as we expect, our business may not grow as fast as we expect, which could adversely impact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continue diversifying across other markets within the optics industry, such as the semiconductor processing, biotechnology, metrology, and material processing markets, to reduce our dependence on the optical communications market and to grow our business. Currently, the optical communications market contributes the significant majority of our revenues. There can be no assurance that our efforts to further expand and diversify into other markets within the optics industry will prove successful or that these markets will continue to grow as fast as we expect. If the opportunities presented by these markets prove to be less than anticipated, if we are less successful than expected in diversifying into these markets, or if our margins in these markets prove to be less than expected, our growth may slow or stall, and we may incur costs that are not offset by revenues in these markets, all of which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face significant competition in our business. If we are unable to compete successfully against our current and future competitors,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and prospective customers tend to evaluate our capabilities against the merits of their internal manufacturing as well as the capabilities of other third-party manufacturers. We believe the internal manufacturing capabilities of current and prospective customers are our primary competition. This competition is particularly strong when our customers have excess manufacturing capacity, as was the case when the markets that we serve experienced a significant downturn in 2008 and 2009 that resulted in underutilized capacity. Should our existing and potential customers have excess manufacturing capacity at their facilities, it could adversely affect our business. In addition, as a result of the 2011 flooding in Thailand, some of our customers began manufacturing products internally or using other third-party manufacturers that were not affected by the flooding. If our customers choose to manufacture products internally rather than to outsource production to us, or choose to outsource to a different third-party manufacturer,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Competitors in the market for optical manufacturing services include Benchmark Electronics, Inc., Celestica Inc., InnoLight Technology (Suzhou) Ltd., Jabil Inc., Sanmina Corporation, Venture Corporation Limited and Eoptolink Technology Inc., Ltd. Our customized optics and glass operations face competition from companies such as CASTECH, Inc., Excelitas Technologies Corp. and Photop Technologies, Inc. (a subsidiary of Coherent Corp.). Other existing contract manufacturing companies, original design manufacturers or outsourced semiconductor assembly and test companies could also enter our target markets. In addition, we may face new competitors as we attempt to penetrate new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of our customers and potential competitors have longer operating histories, greater name recognition, larger customer bases and significantly greater resources than we have. These advantages may allow them to devote greater resources than we can to the development and promotion of service offerings that are similar or superior to our service offerings. These competitors may also engage in more extensive research and development, undertake more far-reaching marketing campaigns, adopt more aggressive pricing policies or offer services that achieve greater market acceptance than ours. These competitors may also compete with us by making more attractive offers to our existing and potential employees, suppliers, and strategic partners. Further, consolidation in the optics industry could lead to larger and more geographically diverse competitors. New and increased competition could result in price reductions for our services, reduced gross profit margins or loss of market share. We may not be able to compete successfully against our current and future competitors, and the competitive pressures we face may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Cancellations, delays or reductions of customer orders and the relatively short-term nature of the commitments of our customers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typically obtain firm purchase orders or commitments from our customers that extend beyond 13 weeks. While we work closely with our customers to develop forecasts for periods of up to one year, these forecasts are not binding and may be unreliable. Customers may cancel their orders, change production quantities from forecasted volumes or delay production for a number of reasons beyond our control. Any material delay, cancellation or reduction of orders could cause our revenues to decline significantly and could cause us to hold excess materials. Many of our costs and operating expenses are fixed. As a result, a reduction in customer demand could decrease our gross profit and harm our business, financial condition and operating results.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make significant decisions with respect to production schedules, material procurement commitments, personnel needs and other resource requirements based on our estimate of our customers’ requirements. The short-term nature of our customers’ commitments and the possibility of rapid changes in demand for their products reduce our ability to accurately estimate the future requirements of our customers. Inability to forecast the level of customer orders with certainty makes it difficult to allocate resources to specific customers, order appropriate levels of materials and maximize the use of our manufacturing capacity. This could also lead to an inability to meet a spike in production demand, all of which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exposure to financially troubled customers or suppliers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Some of our customers and suppliers have in the past and may in the future experience financial difficulty, particularly in light of adverse conditions in the credit markets that have affected access to capital and liquidity. During challenging economic times, our customers may face difficulties in gaining timely access to sufficient credit, which could impact their ability to make timely payments to us. As a result, we devote significant resources to monitor receivables and inventory balances with certain of our customers. If our customers experience financial difficulty, we could have difficulty recovering amounts owed to us from these customers, or demand for our services from these customers could decline. If our suppliers experience financial difficulty, we could have trouble sourcing materials necessary to fulfill production requirements and meet scheduled shipments. Any such financial difficulty could adversely affect our operating results and financial condition by resulting in a reduction in our revenues, a charge for inventory write-offs, a provision for expected credit losses, and larger working capital requirements due to increased days in inventory and days in accounts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purchase some of the critical materials used in certain of our products from a single source or a limited number of suppliers. Supply shortages have in the past, and could in the future, impair the quality, reduce the availability or increase the cost of materials, which could harm our revenues, profitability and customer relations.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on a single source or a limited number of suppliers for critical materials used in a significant number of the products we manufacture. We generally purchase these single or limited source materials through standard purchase orders and do not maintain long-term supply agreements with our suppliers. We generally use a rolling 12-month forecast based on anticipated product orders, customer forecasts, product order history, backlog, and warranty and service demand to determine our materials requirements. Lead times for the parts and components that we order vary significantly and depend on factors such as manufacturing cycle times, manufacturing yields, and the availability of raw materials used to produce the parts or components. Historically, we have experienced supply shortages resulting from various causes, including reduced yields by our suppliers, which prevented us from manufacturing products for our customers in a timely manner. The semiconductor supply chain is complex, and, in recent years, there has been a significant global shortage of semiconductors. Demand for consumer electronics surged during the COVID-19 pandemic, which in turn has increased the demand for semiconductors. At the same time, wafer foundries that support chipmakers have not invested enough in recent years to increase capacities to the levels needed to support the increased demand from all of their customers. Further exacerbating the shortage is the long production lead-time for wafers, which can be as long as 30 weeks in some cases. A shortage of semiconductors or other key components can cause a significant disruption to our production schedule and have a substantial adverse effect on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revenues, profitability and customer relations will be harmed by continued fluctuations in the availability of materials, a stoppage or delay of supply, a substitution of more expensive or less reliable parts, the receipt of defective parts or contaminated materials, an increase in the price of supplies, or an inability to obtain reductions in price from our suppliers in response to competitive pressures. We continue to undertake programs to strengthen our supply chain. Nevertheless, we are experiencing, and expect for the foreseeable future to experience, strain on our supply chain, as well as periodic supplier problems. These supply chain issues have impacted, and will continue to impact, our ability to generate revenue. In addition, we have incurred, and expect for the foreseeable future to incur, increased costs related to our efforts to address these problems.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Managing our inventory is complex and may require write-downs due to excess or obsolete inventory, which could cause our operating results to decrease significantly in a given fiscal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Managing our inventory is complex. We are generally required to procure materials based upon the anticipated demand of our customers. The inaccuracy of these forecasts or estimates could result in excess supply or shortages of certain materials. Inventory that is not used or expected to be used as and when planned may become excess or obsolete. Generally, we are unable to use most of the materials purchased for one of our customers to manufacture products for any of our other customers. Additionally, we could experience reduced or delayed product shipments or incur additional inventory write-downs and cancellation charges or penalties, which would increase costs and could harm our business, financial condition and operating results. While our agreements with customers are structured to mitigate our risks related to excess or obsolete inventory, enforcement of these provisions may result in material expense, and delay in payment for inventory. If any of our significant customers becomes unable or unwilling to purchase inventory or does not agree to such contractual provisions in the future, our business, financial condition and operating results may be harmed.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adequately expand our manufacturing capacity, we will not be able to grow our business, which would harm our business, financial condition and operating results. Conversely, if we expand too much or too rapidly, we may experience excess capacity, which would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not be able to pursue many large customer orders or sustain our historical growth rates if we do not have sufficient manufacturing capacity to enable us to commit to provide customers with specified quantities of products. If our customers do not believe that we have sufficient manufacturing capacity, they may: (1) outsource all of their production to another manufacturer that they believe can fulfill all of their production requirements; (2) look to a second manufacturer for the manufacture of additional quantities of the products that we currently manufacture for them; (3) manufacture the products themselves; or (4) decide against using our services for their new products.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most recently expanded our manufacturing capacity by building a new facility at our Chonburi campus in Thailand in 2022, and we began construction of a new manufacturing building at our Chonburi campus in February 2025. We may continue to devote significant resources to the expansion of our manufacturing capacity, and any such expansion will be expensive, will require management’s time and may disrupt our operations. In the event we are unsuccessful in our attempts to expand our manufacturing capacity, our business, financial condition and operating results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However, if we successfully expand our manufacturing capacity but are unable to promptly utilize the additional space due to reduced demand for our services or an inability to win new projects, add new customers or penetrate new markets, or if the optics industry does not grow as we expect, we may experience periods of excess capacity, which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experience manufacturing yields that are lower than expected, potentially resulting in increased costs, which could harm our business, operating results and customer relations.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Manufacturing yields depend on a number of factors, including the following: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quality of input, materials and equipment;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quality and feasibility of our customer’s design;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repeatability and complexity of the manufacturing process;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experience and quality of training of our manufacturing and engineering teams;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monitoring of the manufacturing environment.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Lower volume production due to continually changing designs generally results in lower yields. Manufacturing yields and margins can also be lower if we receive or inadvertently use defective or contaminated materials from our suppliers. In addition, our customer contracts typically provide that we will supply products at a fixed price each quarter, which assumes specific production yields and quality metrics. If we do not meet the yield assumptions and quality metrics used in calculating the price of a product, we may not be able to recover the costs associated with our failure to do so. Consequently, our operating results and profitability may be harmed.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the products that we manufacture contain defects, we could incur significant correction costs, demand for our services may decline and we may be exposed to product liability and product warranty claims, which could harm our business, financial condition, operating results and customer relations.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manufacture products to our customers’ specifications, and our manufacturing processes and facilities must comply with applicable statutory and regulatory requirements. In addition, our customers’ products and the manufacturing processes that we use to produce them are often complex. As a result, products that we manufacture may at times contain manufacturing or design defects, and our manufacturing processes may be subject to errors or fail to be in compliance with applicable statutory or regulatory requirements. Additionally, not all defects are immediately detectable. The testing procedures of our customers are generally limited to the evaluation of the products that we manufacture under likely and foreseeable failure scenarios. For various reasons (including, among others, the occurrence of performance problems that are unforeseeable at the time of testing or that are detected only when products are fully deployed and operated under peak stress conditions), these products may fail to perform as expected after their initial acceptance by a customer.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generally provide a warranty of between one to five years on the products that we manufacture for our customers. This warranty typically guarantees that products will conform to our customers’ specifications and be free from defects in workmanship. Defects in the products we manufacture, whether caused by a design, engineering, manufacturing or component failure or by deficiencies in our manufacturing processes, and whether such defects are discovered during or after the warranty period, could result in product or component failures, which may damage our business reputation, whether or not we are indemnified for such failures. We could also incur significant costs to repair or replace defective products under warranty, particularly when such failures occur in installed systems. In some instances, we may also be required to incur costs to repair or replace defective products outside of the warranty period in the event that a recurring defect is discovered in a certain percentage of a customer’s products delivered over an agreed upon period of time. We have experienced product or component failures in the past and remain exposed to such failures, as the products that we manufacture are widely deployed throughout the world in multiple environments and applications. Further, due to the difficulty in determining whether a given defect resulted from our customer’s design of the product or our manufacturing process, we may be exposed to product liability or product warranty claims arising from defects that are not attributable to our manufacturing process. In addition, if the number or type of defects exceeds certain percentage limitations contained in our contractual arrangements, we may be required to conduct extensive failure analysis, re-qualify for production or cease production of the specified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Product liability claims may include liability for personal injury or property damage. Product warranty claims may include liability for a recall, repair or replacement of a product or component. Although liability for these claims is generally assigned to our customers in our contracts, even where they have assumed liability our customers may not, or may not have the resources to, satisfy claims for costs or liabilities arising from a defective product. Additionally, under one of our contracts, in the event the products we manufacture do not meet the end-customer’s testing requirements or otherwise fail, we may be required to pay penalties to our customer, including a fee during the time period that the customer or end-customer’s production line is not operational as a result of the failure of the products that we manufacture, all of which could harm our business, operating results and customer relations. If we engineer or manufacture a product that is found to cause any personal injury or property damage or is otherwise found to be defective, we could incur significant costs to resolve the claim. While we maintain insurance for certain product liability claims, we do not maintain insurance for any recalls and, therefore, would be required to pay any associated costs that are determined to be our responsibility. A successful product liability or product warranty claim in excess of our insurance coverage or any material claim for which insurance coverage is denied, limited, is not available or has not been obtained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fail to attract additional skilled employees or retain key personnel, our business, financial condition and operating results could suffer.</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in part, upon our ability to attract additional skilled employees and retain our current key personnel. We have identified several areas where we intend to expand our hiring, including business development, finance, human resources, operations and supply chain management. We may not be able to hire and retain such personnel at compensation levels consistent with our existing compensation and salary structure. Our future also depends on the continued contributions of our executive management team and other key management and technical personnel, each of whom would be difficult to replace. Although we have key person life insurance policies on some of our executive officers, the loss of any of our executive officers or key personnel or the inability to continue to attract qualified personnel could harm our business, financial condition and operating 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International Operations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Fluctuations in foreign currency exchange rates and changes in governmental policies regarding foreign currencies could increase our operating costs, which would adversely affect our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Volatility in the functional and non-functional currencies of our entities and the U.S. dollar could seriously harm our business, financial condition and operating results. The primary impact of currency exchange fluctuations is on our cash, receivables, and payables of our operating entities. We may experience significant unexpected losses from fluctuations in exchange rates. For example, in the three months ended December 26, 2025, we experienced a $3.2 million foreign exchange loss, which negatively affected our net income per share for the same period by $0.09.</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 contracts generally require that our customers pay us in U.S. dollars. However, the majority of our payroll and other operating expenses are paid in Thai baht. As a result of these arrangements, we have significant exposure to changes in the exchange rate between the Thai baht and the U.S. dollar, and our operating results are adversely impacted when the U.S. dollar depreciates relative to the Thai baht and other currencies. As of December 26, 2025, the U.S. dollar had depreciated approximately 9.2% against the Thai baht since December 29, 2023. While we attempt to hedge against certain exchange rate risks, we typically enter into hedging contracts with maturities of up to 12 months, leaving us exposed to longer term changes in exchange rates.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have significant exposure to changes in the exchange rate between the Chinese Renminbi (“RMB”) and the U.S. dollar. The expenses of our subsidiaries located in the PRC are denominated in RMB. Currently, RMB are convertible in connection with trade and service-related foreign exchange transactions, foreign debt service, and payment of dividends. The PRC government may at its discretion restrict access in the future to foreign currencies for current account transactions. If this occurs, our PRC subsidiary may not be able to pay us dividends in U.S. dollars without prior approval from the PRC State Administration of Foreign Exchange. In addition, conversion of RMB for most capital account items, including direct investments, is still subject to government approval in the PRC. This restriction may limit our ability to invest the earnings of our PRC subsidiary. As of December 26, 2025, the U.S. dollar had depreciated approximately 1.7% against the RMB since December 29, 2023. There remains significant international pressure on the PRC government to adopt a substantially more liberalized currency policy. Any appreciation in the value of the RMB against the U.S. dollar could negatively impact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conduct operations in a number of countries, which creates logistical and communications challenges for us and exposes us to other risks and challenges that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vast majority of our operations, including manufacturing and customer support, are located primarily in the Asia- Pacific region. The distances between Thailand, the PRC and our customers and suppliers globally create a number of logistical and communications challenges for us, including managing operations across multiple time zones, directing the manufacture and delivery of products across significant distances, coordinating the procurement of raw materials and their delivery to multiple locations and coordinating the activities and decisions of our management team, the members of which are based in different countries.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are located throughout the world, and our principal manufacturing facilities are located in Thailand. Revenues from the bill-to-location of customers outside of North America accounted for 53.1% and 55.3% of our revenues for the three months ended December 26, 2025 and December 27, 2024, respectively. We expect that revenues from the bill-to-location of customers outside of North America will continue to account for a significant portion of our revenues. Our customers also depend on international sales, which further exposes us to the risks associated with international operations. Conducting business outside the United States subjects us to a number of risks and challenges, including: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compliance with a variety of domestic and foreign laws and regulations, including trade regulatory requirements;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periodic changes in a specific country or region’s economic conditions, such as recession;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unanticipated restrictions on our ability to sell to foreign customers where sales of products and the provision of services may require export licenses or are prohibited by government action (for example, the U.S. Department of Commerce has prohibited the export and sale of a broad category of U.S. products, as well as the provision of services, to ZTE Corporation and to Huawei, both of which are customers of certain of our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fluctuations in currency exchange rates;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inadequate protection of intellectual property rights in some countries;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political, legal and economic instability, foreign armed conflicts (such as the Israel-Hamas war and the Russia-Ukraine war), and the impact of regional and global infectious illnesses in the countries in which we and our customers and suppliers are located.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manage the risks and challenges associated with our international operations could have a material adverse effect on our business.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in several jurisdictions that subject us to a variety of risks, including liability, impairment of our ability to compete in international markets, and decreased sales and customer orders.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governmental export and import controls in Thailand, the PRC, Israel and the United States that may limit our business opportunities. Various countries regulate the import of certain technologies and have enacted laws or taken actions that could limit (1) our ability to export or sell the products we manufacture and (2) our customers’ ability to export or sell products that we manufacture for them. The export of certain technologies from the United States and other nations to the PRC is barred by applicable export controls, and similar prohibitions could be extended to Thailand, thereby limiting our ability to manufacture certain products. Any change in export or import regulations or related legislation, shift in approach to the enforcement of existing regulations, or change in the countries, persons or technologies targeted by such regulations could limit our ability to offer our manufacturing services to existing or potential customers, which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example, the May 2019 addition of Huawei and certain affiliates by the U.S. Commerce Department’s Bureau of Industry and Security ("BIS") to the BIS Entity List denied Huawei the ability to purchase products, software and technology that are subject to U.S. Export Administration Regulations. Although we do not sell directly to Huawei, some of our customers do sell to Huawei (and its affiliates) directly. To ensure compliance, some of our customers immediately suspended shipments to Huawei in order to assess whether their products were subject to the restrictions resulting from the ban. This had an immediate impact on our customer orders in the three months ended June 28, 2019, which affected our revenue for that quarter. We expect this ban to continue to adversely affect orders from our customers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subject to risks related to changes in U.S. and international trade policies, including new or increased tariffs on materials that we use in manufacturing, which could adversely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2025, the U.S. imposed global trade tariffs on a wide range of products and goods. Our business may be adversely affected by evolving global trade policies, including tariffs and other trade restrictions. We are subject to risks associated with changes in international trade policies, regulations, and relationships. In recent years, multiple countries, including the United States, the PRC, and members of the European Union, among others have enacted tariffs, export controls, quotas, and other forms of trade restrictions on a variety of goods and services. These measures have led to increased costs, supply chain disruptions, and reduced demand across several industries. Although certain tariffs have been reduced or delayed, the potential for future escalation or the imposition of new trade restrictions remains. Ongoing or future trade disputes may impact the availability and cost of materials used in our manufacturing processes. In some cases, suppliers may struggle to meet increased demand resulting from accelerated purchasing ahead of anticipated policy changes, further exacerbating supply chain instability. Additionally, retaliatory actions or changes in trade policies by foreign governments may reduce the demand for our customers’ products in impacted regions, which could lead to reduced orders and revenue for us. If we are unable to mitigate the effects of increased costs or pass them on to our customers, our gross margins, financial condition, and results of operations could be materially and adversely affected.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predict the outcome of current or future trade negotiations, the timing of any policy changes, or the impact such changes may have on our industry, supply chain, or customer base.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Political unrest and demonstrations, as well as changes in the political, social, business or economic conditions in Thailand,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our assets and manufacturing operations are located in Thailand. Therefore, political, social, business and economic conditions in Thailand have a significant effect on our business. Any changes to tax regimes, laws, exchange controls or political action in Thailand may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Thailand has a history of political unrest that includes the involvement of the military as an active participant in the ruling government. In recent years, political unrest in the country has sparked political demonstrations and, in some instances, violence. Any future political instability in Thailand could prevent shipments from entering or leaving the country, disrupt our ability to manufacture products in Thailand, and force us to transfer our operations to more stable, and potentially more costly, regions, which would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the Thai government may raise the minimum wage standards for labor and could repeal certain promotional certificates that we have received or tax holidays for certain export and value added taxes that we enjoy, either preventing us from engaging in our current or anticipated activities or subjecting us to higher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expect to continue to invest in our manufacturing operations in the PRC, which will continue to expose us to risks inherent in doing business in the PRC, any of which risks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that we will continue to invest in our customized optics manufacturing facilities located in Fuzhou, the PRC. Because these operations are located in the PRC, they are subject to greater political, legal and economic risks than the geographies in which the facilities of many of our competitors and customers are located. In particular, the political and economic climate in the PRC (both at national and regional levels) is fluid and unpredictable. A large part of the PRC’s economy is still being operated under varying degrees of control by the PRC government. By imposing industrial policies and other economic measures, such as control of foreign exchange, taxation, import and export tariffs, environmental regulations, land use rights, intellectual property and restrictions on foreign participation in the domestic market of various industries, the PRC government exerts considerable direct and indirect influence on the development of the PRC economy. Many of the economic reforms carried out by the PRC government are unprecedented or experimental and are expected to change further. Any changes to the political, legal or economic climate in the PRC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PRC subsidiary is a “wholly foreign-owned enterprise” and is therefore subject to laws and regulations applicable to foreign investment in the PRC, in general, and laws and regulations applicable to wholly foreign-owned enterprises, in particular. The PRC has made significant progress in the promulgation of laws and regulations pertaining to economic matters such as corporate organization and governance, foreign investment, commerce, taxation and trade. However, the promulgation of new laws, changes in existing laws and abrogation of local regulations by national laws may have a negative impact on our business and prospects. In addition, these laws and regulations are relatively new, and published cases are limited in volume and non-binding. Therefore, the interpretation and enforcement of these laws and regulations involve significant uncertainties. Laws may be changed with little or no prior notice, for political or other reasons. These uncertainties could limit the legal protections available to foreign investors. Furthermore, any litigation in the PRC may be protracted and result in substantial costs and diversion of resources and management’s attention.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Natural disasters, epidemics, acts of terrorism and political and economic developments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Natural disasters could severely disrupt our manufacturing operations and increase our supply chain costs. These events, over which we have little or no control, could cause a decrease in demand for our services, make it difficult or impossible for us to manufacture and deliver products or for our suppliers to deliver components allowing us to manufacture those products, require large expenditures to repair or replace our facilities, or create delays and inefficiencies in our supply chain. For example, the 2011 flooding in Thailand forced us to temporarily shut down all of our manufacturing facilities in Thailand and cease production permanently at our former Chokchai facility, which adversely affected our ability to meet our customers’ demands during fiscal year 2012.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some countries in which we operate, including the PRC, the U.S., and Thailand, outbreaks of infectious diseases such as COVID-19, H1N1 influenza virus, severe acute respiratory syndrome or bird flu could disrupt our manufacturing operations, reduce demand for our customers’ products and increase our supply chain costs. For example, the outbreak of COVID-19 resulted in a two-week suspension of operations at our facility in Fuzhou, the PRC in February 2020 and caused labor shortages for us and some of our suppliers and customers in the PRC during the three months ended March 27, 2020, which negatively affected our revenues during the same period.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increased international political instability, the threat or occurrence of terrorist attacks, conflicts in the Middle East, Asia and Europe (including the Israel-Hamas war and the Russia-Ukraine war), strained international relations arising from these conflicts and the related decline in consumer confidence and economic weakness, may hinder our ability to do business. Any escalation in these events or similar future events may disrupt our operations and the operations of our customers and suppliers and may affect the availability of materials needed for our manufacturing services. Such events may also disrupt the transportation of materials to our manufacturing facilities and finished products to our customers. These events have had, and may continue to have, an adverse impact on the U.S. and world economy in general, and customer confidence and spending in particular, which in turn could adversely affect our total revenues and operating results. The impact of these events on the volatility of the U.S. and world financial markets also could increase the volatility of the market price of our ordinary shares and may limit the capital resources available to us, our customers and our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Unfavorable worldwide economic conditions (including inflation and supply chain disruptions) may negatively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current volatility and adverse conditions in the capital and credit markets have negatively affected levels of business and consumer spending, heightening concerns about the likelihood of a global recession and potential default of various national bonds and debt backed by individual countries. Such developments, as well as the policies impacting these, could adversely affect our financial results. Uncertainty about worldwide economic conditions poses a risk as businesses may further reduce or postpone spending in response to reduced budgets, tight credit, negative financial news and declines in income or asset values, which could adversely affect our business, financial condition and operating results and increase the volatility of our share price. In addition, our ability to access capital markets may be restricted, which could have an impact on our ability to react to changing economic and business conditions and could also adversely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2022 and 2023, inflation increased globally to levels not seen in decades. Although inflation rates have recently declined, inflation can adversely affect us by increasing the costs of labor and other expenses. There is no assurance that our revenues will increase at the same rate to maintain the same level of profitability. Inflation and government efforts to combat inflation, such as raising the benchmark interest rate, could increase market volatility and have an adverse effect on the financial market and global economy. In addition, we expect that disruptions in our supply chain and fluctuations in the availability of parts and materials will continue to have a significant impact on our ability to generate revenue, despite strong demand from our customers. Such adverse conditions could negatively impact demand for our products, which could adversely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not be able to obtain capital when desired on favorable terms, if at all, or without dilution to our shareholders.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anticipate that our current cash and cash equivalents, together with cash provided by operating activities and funds available through our working capital and credit facilities, will be sufficient to meet our current and anticipated needs for general corporate purposes for at least the next 12 months. However, we operate in a market that makes our prospects difficult to evaluate. It is possible that we may not generate sufficient cash flow from operations or otherwise have the capital resources to meet our future capital needs. If this occurs, we may need additional financing to execute on our current or future business strategies.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if we raise additional funds through the issuance of equity or convertible debt securities, the percentage ownership of our shareholders could be significantly diluted, and these newly issued securities may have rights, preferences or privileges senior to those of existing shareholders. If adequate additional funds are not available or are not available on acceptable terms, if and when needed, our ability to fund our operations, take advantage of unanticipated opportunities, develop or enhance our manufacturing services, hire additional technical and other personnel, or otherwise respond to competitive pressures could be significantly limited.</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investment portfolio may become impaired by deterioration of the capital markets.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professional investment management firms to manage our excess cash and cash equivalents. Our short-term investments as of December 26, 2025 are primarily investments in a fixed income portfolio, including liquidity funds, certificates of deposit and time deposits, corporate debt securities, and U.S. agency and U.S. Treasury securities. Our investment portfolio may become impaired by deterioration of the capital markets. We follow an established investment policy and set of guidelines to monitor and help mitigate our exposure to interest rate and credit risk. The policy sets forth credit quality standards and limits our exposure to any one issuer, as well as our maximum exposure to various asset classes. The policy also provides that we may not invest in short-term investments with a maturity in excess of three years.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Should financial market conditions worsen, investments in some financial instruments may pose risks arising from market liquidity and credit concerns. In addition, any deterioration of the capital markets could cause our other income and expense to vary from expectations. As of December 26, 2025, we did not record any impairment charges associated with our portfolio of short-term investments, and although we believe our current investment portfolio has little risk of material impairment, we cannot predict future market conditions or market liquidity, or credit availability, and can provide no assurance that our investment portfolio will remain materially unimpaired.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not fully insured against all potential losses. Natural disasters or other catastrophes could adversely affect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current property and casualty insurance covers loss or damage to our property and third-party property over which we have custody and control, as well as losses associated with business interruption, subject to specified exclusions and limitations such as coinsurance, facilities location sub-limits and other policy limitations and covenants. Even with insurance coverage, natural disasters or other catastrophic events, including acts of war, could cause us to suffer substantial losses in our operational capacity and could also lead to a loss of opportunity and to a potential adverse impact on our relationships with our existing customers resulting from our inability to produce products for them, for which we might not be compensated by existing insurance. This in turn could have a material adverse effect on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There are inherent uncertainties involved in estimates, judgments and assumptions used in the preparation of financial statements in accordance with U.S. GAAP. Any changes in estimates, judgments and assumptions could have a material adverse effect on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accordance with U.S. GAAP involves making estimates, judgments and assumptions that affect reported amounts of assets (including intangible assets), liabilities and related reserves, revenues, expenses and income. Estimates, judgments and assumptions are inherently subject to change in the future, and any such changes could result in corresponding changes to the amounts of assets, liabilities, revenues, expenses and income. Any such changes could have a material adverse effect on our business, financial condition and operating results.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Intellectual Property and Cybersecurity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business and operations would be adversely impacted in the event of a failure of our information technology infrastructure and/or cyber security attacks.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upon the capacity, availability and security of our information technology hardware and software infrastructure. For instance, we use a combination of standard and customized software platforms to manage, record, and report all aspects of our operations and, in many instances, enable our customers to remotely access certain areas of our databases to monitor yields, inventory positions, work-in-progress status and vendor quality data. We are constantly expanding and updating our information technology infrastructure in response to our changing needs. Any failure to manage, expand and update our information technology infrastructure or any failure in the operation of this infrastructure could harm our business.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Despite our implementation of security measures, our systems are vulnerable to damage caused by computer viruses, natural disasters, unauthorized access and other similar disruptions. Any system failure, accident or security breach could result in disruptions to our operations. To the extent that any disruption, cyber-attack or other security breach results in a loss or damage to our data or inappropriate disclosure of confidential information, our business could be harmed. In addition, we may be required to incur significant costs to protect against damage caused by these disruptions or security breaches in the future.</w:t>
      </w:r>
    </w:p>
    <w:p>
      <w:pPr>
        <w:pStyle w:val="TextBody"/>
        <w:bidi w:val="0"/>
        <w:spacing w:lineRule="auto" w:line="247"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Intellectual property infringement claims against our customers or us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services involve the creation and use of intellectual property rights, which subject us to the risk of intellectual property infringement claims from third parties and claims arising from the allocation of intellectual property rights among us and our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customers may require that we indemnify them against the risk of intellectual property infringement arising out of our manufacturing processes. If any claims are brought against us or our customers for such infringement, whether or not these claims have merit, we could be required to expend significant resources in defense of such claims. In the event of an infringement claim, we may be required to spend a significant amount of time and money to develop non-infringing alternatives or obtain licenses. We may not be successful in developing such alternatives or obtaining such licenses on reasonable terms or at all, which could harm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Any failure to protect our customers’ intellectual property that we use in the products we manufacture for them could harm our customer relationships and subject us to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focus on manufacturing complex optical products for our customers. These products often contain our customers’ intellectual property, including trade secrets and know-how. Our success depends, in part, on our ability to protect our customers’ intellectual property. We may maintain separate and secure areas for customer proprietary manufacturing processes and materials and dedicate floor space, equipment, engineers and supply chain management to protect our customers’ proprietary drawings, materials and products. The steps we take to protect our customers’ intellectual property may not adequately prevent its disclosure or misappropriation. If we fail to protect our customers’ intellectual property, our customer relationships could be harmed, and we may experience difficulty in establishing new customer relationships. In addition, our customers might pursue legal claims against us for any failure to protect their intellectual property, possibly resulting in harm to our reputation and our business, financial condition and operating results.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Tax, Compliance and Regulatory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are subject to the risk of increased income taxes, which could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income and other taxes in Thailand, the PRC, the U.K., the U.S. and Israel. Our effective income tax rate, provision for income taxes and future tax liability could be adversely affected by numerous factors, including the results of tax audits and examinations, income before taxes being lower than anticipated in countries with lower statutory tax rates and higher than anticipated in countries with higher statutory tax rates, changes in income tax rates, changes in the valuation of deferred tax assets and liabilities, failure to meet obligations with respect to tax exemptions, and changes in tax laws and regulations. From time to time, we engage in discussions and negotiations with tax authorities regarding tax matters in various jurisdictions. As of December 26, 2025, our U.S. federal and state tax returns remain open to examination for the tax years 2020 through 2023. The Company is currently under examination by the U.S. Internal Revenue Service for fiscal year 2022 and the IRS completed the examination of the US subsidiaries for fiscal year 2022 and fiscal year 2023 in fiscal year 2025. In addition, tax returns that remain open to examination in Thailand, the PRC, the U.K. and Israel range from the tax years 2018 through 2024. The results of audits and examinations of previously filed tax returns and continuing assessments of our tax exposures may have an adverse effect on our provision for income taxes and tax liability.</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base our tax position upon the anticipated nature and conduct of our business and upon our understanding of the tax laws of the various countries in which we have assets or conduct activities. However, our tax position is subject to review and possible challenge by tax authorities and to possible changes in law, which may have retroactive effect. Fabrinet (the “Cayman Islands Parent”) is an exempted company incorporated in the Cayman Islands. We maintain manufacturing operations in Thailand, the PRC, the U.S. and Israel. We cannot determine in advance the extent to which some jurisdictions may require us to pay taxes or make payments in lieu of taxes. Under the current laws of the Cayman Islands, we are not subject to tax in the Cayman Islands on income or capital gains until March 6, 2039.</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Preferential tax treatment from the Thai government in the form of a corporate tax exemption on income generated from projects to manufacture certain products at our Chonburi campus is available to us through June 2026. Preferential tax treatment is available to us for products manufactured at our Chonburi campus Building 9, where income generated will be tax exempt through 2031, capped at our actual investment amount. Such preferential tax treatment is contingent on various factors, including the export of our customers’ products out of Thailand and our agreement not to move our manufacturing facilities out of our current province in Thailand for at least 15 years from the date on which preferential tax treatment was granted. We will lose this favorable tax treatment in Thailand unless we comply with these restrictions, and as a result we may delay or forego certain strategic business decisions due to these tax considerations.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is also a risk that Thailand or another jurisdiction in which we operate may treat the Cayman Islands Parent as having a permanent establishment in such jurisdiction and subject its income to tax. If we become subject to additional taxes in any jurisdiction or if any jurisdiction begins to treat the Cayman Islands Parent as having a permanent establishment, such tax treatment could materially and adversely affect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of our subsidiaries provide products and services to, and may from time to time undertake certain significant transactions with us and our other subsidiaries in different jurisdictions. For instance, we have intercompany agreements in place that provide for our California and Singapore subsidiaries to provide administrative services for the Cayman Islands Parent, and the Cayman Islands Parent has entered into manufacturing agreements with our Thai subsidiary. In general, related party transactions and, in particular, related party financing transactions, are subject to close review by tax authorities. Moreover, several jurisdictions in which we operate have tax laws with detailed transfer pricing rules that require all transactions with non-resident related parties to be priced using arm’s length pricing principles and require the existence of contemporaneous documentation to support such pricing. Tax authorities in various jurisdictions could challenge the validity of our related party transfer pricing policies. Such a challenge generally involves a complex area of taxation and a significant degree of judgment by management. If any tax authorities are successful in challenging our financing or transfer pricing policies, our income tax expense may be adversely affected and we could become subject to interest and penalty charges, which may harm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part of the Organization for Economic Co-operation and Development’s (“OECD”) Inclusive Framework on Base Erosion and Profit Shifting, over 140 countries have joined a two-pillar plan to reform international taxation rules. The first pillar is focused on the allocation of taxing rights between countries for in-scope multinational enterprises that sell goods and services into countries with little or no local physical presence and is intended to apply to multinational enterprises with global revenues above €20 billion. The second pillar is focused on developing a global minimum tax rate of at least 15% applicable to in-scope multinational enterprises and is intended to apply to multinational enterprises with annual consolidated group revenue in excess of €750 million.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OECD has issued Pillar Two model rules and continues to release guidance on these rules. As of December 26, 2025, these rules are either effective or have been adopted in draft form in various countries. On January 5, 2026, the OECD issued additional administrative guidance introducing a “side-by-side system” intended to facilitate the parallel application of Pillar Two rules alongside existing domestic income tax systems. We evaluated the applicable tax law changes resulting from Pillar Two implementation in the countries where we operate, and there was no material impact to our unaudited condensed consolidated financial statements for the three months ended December 26, 2025. In future years, the Pillar Two framework for the global minimum tax may increase the level of income tax in the jurisdictions where we operate or have a presence.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law in the United States. The new law contains a broad range of tax reform provisions, including, but not limited to, immediate expensing of domestic research and development expenditure, the restoration of 100% bonus depreciation, and the interest expense limitation. The legislation has multiple effective dates, with certain provisions effective in fiscal year 2026 and others in the subsequent years. These provisions did not have a material impact to our unaudited condensed consolidated financial statements for the three months ended December 26, 2025.</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have incurred and will continue to incur significant increased costs as a result of operating as a public company, and our management will be required to continue to devote substantial time to various compliance initiatives.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Sarbanes-Oxley Act of 2002, the Dodd-Frank Wall Street Reform and Consumer Protection Act of 2010, as well as other rules implemented by the SEC and the New York Stock Exchange (“NYSE”),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operating results. The Sarbanes-Oxley Act requires, among other things, that we assess the effectiveness of our internal control over financial reporting annually and disclosure controls and procedures quarterly. While we were able to assert in our Annual Report on Form 10-K that our internal control over financial reporting was effective as of June 27, 2025, we cannot predict the outcome of our testing in future periods. If we are unable to assert in any future reporting periods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would have an adverse effect on our share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 nature and complexity of our business and the fact that some members of our management team are located in Thailand while others are located in the U.S., control deficiencies may periodically occur. While we have ongoing measures and procedures to prevent and remedy control deficiencies, if they occur there can be no assurance that we will be successful or that we will be able to prevent material weaknesses or significant deficiencies in our internal control over financial reporting in the future. Moreover, if we identify deficiencies in our internal control over financial reporting that are deemed to be material weaknesses in future periods, the market price of our ordinary shares could decline and we could be subject to potential delisting by the NYSE and review by the NYSE, the SEC, or other regulatory authorities, which would require us to expend additional financial and management resources. As a result, our shareholders could lose confidence in our financial reporting, which would harm our business and the market price of our ordinary shares.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we are unable to meet regulatory quality standards applicable to our manufacturing and quality processes for the products we manufacture, our business, financial condition and operating results could be harmed.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manufacturer of products for the optics industry, we are required to meet certain certification standards, including the following: ISO 9001 for Manufacturing Quality Management Systems; ISO 14001 for Environmental Management Systems; TL 9000 for Telecommunications Industry Quality Certification; IATF 16949 for Automotive Industry Quality Certification; ISO 13485 for Medical Devices Industry Quality Certification; AS 9100 for Aerospace Industry Quality Certification; NADCAP (National Aerospace and Defense Contractors Accreditation Program) for Quality Assurance throughout the Aerospace and Defense Industries; ISO 45001 for Occupational Health and Safety Management Systems; ISO/IEC 17025 for Testing and Calibration Laboratories Certification; ISO 22301 for Business Continuity Management Systems; and ISO/IEC 27001 for Information Security Management Systems. We also maintain compliance with various additional standards imposed by the U.S. Food and Drug Administration (“FDA”) with respect to the manufacture of medical devices.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are required to register with the FDA and other regulatory bodies and are subject to continual review and periodic inspection for compliance with various regulations, including testing, quality control and documentation procedures. We hold the following additional certifications: ANSI ESD S20.20 for facilities and manufacturing process control; Transported Asset Protection Association (“TAPA”) and Custom Trade Partnership Against Terrorism (“CTPAT”) for logistic security and management; and CSR-DIW for corporate social responsibility in Thailand. In the European Union, we are required to maintain certain ISO certifications in order to sell our precision optical, electro-mechanical and electronic manufacturing services and we must undergo periodic inspections by regulatory bodies to obtain and maintain these certifications. If any regulatory inspection reveals that we are not in compliance with applicable standards, regulators may take action against us, including issuing a warning letter, imposing fines on us, requiring a recall of the products we manufactured for our customers, or closing our manufacturing facilities. If any of these actions were to occur, it could harm our reputation as well as our business, financial condition and operating results.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Failure to comply with applicable environmental laws and regulations could have a material adverse effect on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sale and manufacturing of products in certain states and countries may subject us to environmental laws and regulations. In addition, rules adopted by the SEC implementing the Dodd-Frank Wall Street Reform and Consumer Protection Act of 2010 impose diligence and disclosure requirements regarding the use of “conflict minerals” mined from the Democratic Republic of Congo and adjoining countries in the products we manufacture for our customers. Compliance with these rules has resulted in additional cost and expense, including for due diligence to determine and verify the sources of any conflict minerals used in the products we manufacture, and may result in additional costs of remediation and other changes to processes or sources of supply as a consequence of such verification activities. These rules may also affect the sourcing and availability of minerals used in the products we manufacture, as there may be only a limited number of suppliers offering “conflict free” metals that can be used in the products we manufacture for our customers.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do not anticipate any material adverse effects based on the nature of our operations and these laws and regulations, we will need to ensure that we and, in some cases, our suppliers comply with applicable laws and regulations. If we fail to timely comply with such laws and regulations, our customers may cease doing business with us, which would have a material adverse effect on our business, financial condition and operating results. In addition, if we were found to be in violation of these laws, we could be subject to governmental fines, liability to our customers and damage to our reputation, which would also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Ownership of Our Ordinary Shares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share price may be volatile due to fluctuations in our operating results and other factors, including the activities and operating results of our customers or competitors, any of which could cause our share price to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revenues, expenses and results of operations have fluctuated in the past and are likely to do so in the future from quarter-to-quarter and year-to-year due to the risk factors described in this section and elsewhere in this Quarterly Report on Form 10-Q. In addition to market and industry factors, the price and trading volume of our ordinary shares may fluctuate in response to a number of events and factors relating to us, our competitors, our customers and the markets we serve, many of which are beyond our control. Factors such as variations in our total revenues, earnings and cash flow, announcements of new investments or acquisitions, changes in our pricing practices or those of our competitors, commencement or outcome of litigation, sales of ordinary shares by us or our principal shareholders, fluctuations in market prices for our services and general market conditions could cause the market price of our ordinary shares to change substantially. Any of these factors may result in large and sudden changes in the volume and price at which our ordinary shares trade. Volatility and weakness in our share price could mean that investors may not be able to sell their shares at or above the prices they paid and could also impair our ability in the future to offer our ordinary shares or convertible securities as a source of additional capital and/or as consideration in the acquisition of other businesses.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cause the market price of our ordinary shares to decline.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if they publish misleading or unfavorable research about our business, the market price and trading volume of our ordinary shares could decline.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ordinary shares depends in part on the research and reports that securities or industry analysts publish about us or our business. If securities or industry analysts stop covering us, or if too few analysts cover us, the market price of our ordinary shares could be adversely impacted. If one or more of the analysts who covers us downgrades our ordinary shares or publishes misleading or unfavorable research about our business, our market price would likely decline. If one or more of these analysts ceases coverage of us or fails to publish reports on us regularly, demand for our ordinary shares could decrease, which could cause the market price or trading volume of our ordinary shares to decline.</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We may become a passive foreign investment company, which could result in adverse U.S. tax consequences to U.S. investors.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upon estimates of the value of our assets, which are based in part on the trading price of our ordinary shares, we do not expect to be a passive foreign investment company (“PFIC”) for U.S. federal income tax purposes for the taxable year 2024 or for the foreseeable future. However, despite our expectations, we cannot guarantee that we will not become a PFIC for the taxable year 2024 or any future year because our PFIC status is determined at the end of each year and depends on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composition of our income and assets during such year. If we become a PFIC, our U.S. investors will be subject to increased tax liabilities under U.S. tax laws and regulations as well as burdensome reporting requirements.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business and share price could be negatively affected as a result of activist shareholders.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 activist investor takes an ownership position in our ordinary shares, responding to actions by such activist shareholder could be costly and time-consuming, disrupt our operations and divert the attention of management and our employees. Additionally, perceived uncertainties as to our future direction as a result of shareholder activism or changes to the composition of our board of directors may lead to the perception of a change in the direction of our business or other instability, which may be exploited by our competitors, cause concern to our current or potential customers, and make it more difficult to attract and retain qualified personnel. If customers choose to delay, defer or reduce transactions with us or do business with our competitors instead of us because of any such issues, then our business, financial condition and operating results would be adversely affected. In addition, our share price could experience periods of increased volatility as a result of shareholder activism.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Certain provisions in our constitutional documents may discourage our acquisition by a third party, which could limit our shareholders' opportunity to sell shares at a premium.</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constitutional documents include provisions that could limit the ability of others to acquire control of us, modify our structure or cause us to engage in change-of-control transactions, including, among other things, provisions that: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establish a classified board of directors;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prohibit our shareholders from calling meetings or acting by written consent in lieu of a meeting;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limit the ability of our shareholders to propose actions at duly convened meetings; and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authorize our board of directors, without action by our shareholders, to issue preferred shares and additional ordinary shares.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provisions could have the effect of depriving our shareholders of an opportunity to sell their ordinary shares at a premium over prevailing market prices by discouraging third parties from seeking to acquire control of us in a tender offer or similar transaction.</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Our shareholders may face difficulties in protecting their interests because we are incorporated under Cayman Islands law.</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corporate affairs are governed by our amended and restated memorandum and articles of association (“MOA”), by the Companies Law (as amended) of the Cayman Islands and the common law of the Cayman Islands. The rights of our shareholders and the fiduciary responsibilities of our directors under the laws of the Cayman Islands are not as clearly established under statutes or judicial precedent as in jurisdictions in the U.S. Therefore, our shareholders may have more difficulty in protecting their interests than would shareholders of a corporation incorporated in a jurisdiction in the U.S., due to the comparatively less developed nature of Cayman Islands law in this area.</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Companies Law permits mergers and consolidations between Cayman Islands companies and between Cayman Islands companies and non-Cayman Islands companies.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convened for that purpose. The convening of the meeting and subsequently the arrangement must be sanctioned by the Grand Court of the Cayman Islands. A dissenting shareholder has the right to express to the court the view that the transaction ought not to be approved.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When a takeover offer is made and accepted by holders of 90.0% of the shares within four months, the offeror may, within a two-month period, require the holders of the remaining shares to transfer such shares on the terms of the offer. An objection can be made to the Grand Court of the Cayman Islands but is unlikely to succeed unless there is evidence of fraud, bad faith or collusion.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arrangement and reconstruction is thus approved, the dissenting shareholder would have no rights comparable to appraisal rights, which would otherwise ordinarily be available to dissenting shareholders of a corporation incorporated in a jurisdiction in the U.S., providing rights to receive payment in cash for the judicially determined value of the shares. This may make it more difficult for our shareholders to assess the value of any consideration they may receive in a merger or consolidation or to require that the offeror give them additional consideration if they believe the consideration offered is insufficient.</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Shareholders of Cayman Islands exempted companies have no general rights under Cayman Islands law to inspect corporate records and accounts or to obtain copies of lists of shareholders. Our directors have discretion under our MOA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a shareholder motion or to solicit proxies from other shareholders in connection with a proxy contest.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Subject to limited exceptions, under Cayman Islands law, a minority shareholder may not bring a derivative action against the board of directors.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Certain judgments obtained against us by our shareholders may not be enforceable.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Cayman Islands Parent is a Cayman Islands exempted company and substantially all of our assets are located outside of the U.S. Given our domicile and the location of our assets, it may be difficult to enforce in U.S. courts judgments obtained against us in U.S. courts based on the civil liability provisions of the U.S. federal securities laws. In addition, there is uncertainty as to whether the courts of the Cayman Islands, Thailand or the PRC would recognize or enforce judgments of U.S. courts against us predicated upon the civil liability provisions of the securities laws of the U.S. or any state. In particular, a judgment in a U.S. court would not be recognized and accepted by Thai courts without a re-trial or examination of the merits of the case. In addition, there is uncertainty as to whether such Cayman Islands, Thai or PRC courts would be competent to hear original actions brought in the Cayman Islands, Thailand or the PRC against us predicated upon the securities laws of the U.S. or any state.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Energy price volatility may negatively impact our business, financial condition and operating results.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along with our suppliers and customers, rely on various energy sources in our manufacturing and transportation activities. Energy prices have been subject to increases and general volatility caused by market fluctuations, supply and demand, currency fluctuation, production and transportation disruption, world events and government regulations. While we are currently experiencing lower energy prices, a significant increase is possible, which could increase our raw material and transportation costs. In addition, increased transportation costs of our suppliers and customers could be passed along to us. We may not be able to increase our prices to adequately offset these increased costs, and any increase in our prices may reduce our future customer orders, which could harm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Sales of Unregistered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and Affiliated Purchasers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share repurchase activity for the three months ended December 26, 2025:</w:t>
      </w:r>
    </w:p>
    <w:tbl>
      <w:tblPr>
        <w:tblW w:w="10205" w:type="dxa"/>
        <w:jc w:val="left"/>
        <w:tblInd w:w="0" w:type="dxa"/>
        <w:tblLayout w:type="fixed"/>
        <w:tblCellMar>
          <w:top w:w="28" w:type="dxa"/>
          <w:left w:w="28" w:type="dxa"/>
          <w:bottom w:w="28" w:type="dxa"/>
          <w:right w:w="28" w:type="dxa"/>
        </w:tblCellMar>
      </w:tblPr>
      <w:tblGrid>
        <w:gridCol w:w="1232"/>
        <w:gridCol w:w="814"/>
        <w:gridCol w:w="762"/>
        <w:gridCol w:w="460"/>
        <w:gridCol w:w="460"/>
        <w:gridCol w:w="461"/>
        <w:gridCol w:w="109"/>
        <w:gridCol w:w="109"/>
        <w:gridCol w:w="109"/>
        <w:gridCol w:w="231"/>
        <w:gridCol w:w="790"/>
        <w:gridCol w:w="120"/>
        <w:gridCol w:w="109"/>
        <w:gridCol w:w="109"/>
        <w:gridCol w:w="109"/>
        <w:gridCol w:w="738"/>
        <w:gridCol w:w="738"/>
        <w:gridCol w:w="740"/>
        <w:gridCol w:w="109"/>
        <w:gridCol w:w="109"/>
        <w:gridCol w:w="109"/>
        <w:gridCol w:w="227"/>
        <w:gridCol w:w="1280"/>
        <w:gridCol w:w="171"/>
      </w:tblGrid>
      <w:tr>
        <w:trPr/>
        <w:tc>
          <w:tcPr>
            <w:tcW w:w="123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Period</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 Purchased As Part of Publicly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Announced Program </w:t>
            </w:r>
          </w:p>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Dollar Value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That May Yet Be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Under the Program </w:t>
            </w:r>
          </w:p>
          <w:p>
            <w:pPr>
              <w:pStyle w:val="TableContents"/>
              <w:bidi w:val="0"/>
              <w:spacing w:lineRule="auto" w:line="240" w:before="0" w:after="0"/>
              <w:jc w:val="center"/>
              <w:rPr/>
            </w:pPr>
            <w:r>
              <w:rPr>
                <w:color w:val="000000"/>
              </w:rPr>
              <w:t> </w:t>
            </w:r>
            <w:r>
              <w:rPr>
                <w:rFonts w:ascii="Times New Roman;serif" w:hAnsi="Times New Roman;serif"/>
                <w:b/>
                <w:color w:val="000000"/>
                <w:sz w:val="12"/>
              </w:rPr>
              <w:t>(1)</w:t>
            </w:r>
          </w:p>
        </w:tc>
      </w:tr>
      <w:tr>
        <w:trPr/>
        <w:tc>
          <w:tcPr>
            <w:tcW w:w="2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27, 2025 – October 24, 2025</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174,010,712 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25, 2025 – November 21, 2025</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11,624 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169,533,277 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22, 2025 – December 26, 2025</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169,198,389 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12,439 </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August 21, 2017, we announced that our board of directors had approved a share repurchase program to permit us to repurchase up to $30.0 million worth of our issued and outstanding ordinary shares in the open market in accordance with applicable rules and regulations. In February 2018, May 2019, August 2020, August 2022, August 2023, August 2024, and January 2025, we announced that our board of directors approved increases of $30.0 million, $50.0 million, $58.5 million, $78.7 million, $47.6 million, $139.5 million, and $100.0 million, respectively, to the original share repurchase authorization, bringing the aggregate authorization to $534.3 million. The repurchased shares will be held as treasury stock. Our share repurchase program does not have an expiration date. Any repurchases under our share repurchase program are made in accordance with Rule 10b-18, including pursuant to pre-set trading plans adopted in accordance with Rule 10b5-1 under the Exchange Act of 1934. During the three months ended December 26, 2025, 12,439 shares were repurchased under the program, at an average price per share (excluding other direct costs) of $386.87, for an aggregate purchase price of $4.8 million. As of December 26, 2025, we had a remaining authorization to repurchase up to $169.2 million worth of our ordinary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ITEMS 3 and 4 are not applicable and have been omitted.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Securities Trading Plans of Directors and Executive Officers</w:t>
      </w:r>
    </w:p>
    <w:p>
      <w:pPr>
        <w:pStyle w:val="TextBody"/>
        <w:bidi w:val="0"/>
        <w:spacing w:lineRule="auto" w:line="288" w:before="360" w:after="283"/>
        <w:ind w:left="0" w:right="0" w:firstLine="540"/>
        <w:jc w:val="left"/>
        <w:rPr/>
      </w:pPr>
      <w:r>
        <w:rPr>
          <w:rFonts w:ascii="Times New Roman;serif" w:hAnsi="Times New Roman;serif"/>
          <w:b w:val="false"/>
          <w:color w:val="000000"/>
          <w:sz w:val="20"/>
        </w:rPr>
        <w:t>During our last fiscal quarter, no director or officer, as defined in Rule 16a-1(f), adopted or terminated a "Rule 10b5-1 trading arrangement" or a "non-Rule 10b5-1 trading arrangement," each as defined in Regulation S-K Item 408.</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6"/>
        <w:gridCol w:w="244"/>
        <w:gridCol w:w="245"/>
        <w:gridCol w:w="109"/>
        <w:gridCol w:w="109"/>
        <w:gridCol w:w="109"/>
        <w:gridCol w:w="2044"/>
        <w:gridCol w:w="2044"/>
        <w:gridCol w:w="2061"/>
        <w:gridCol w:w="109"/>
        <w:gridCol w:w="109"/>
        <w:gridCol w:w="109"/>
        <w:gridCol w:w="170"/>
        <w:gridCol w:w="170"/>
        <w:gridCol w:w="171"/>
        <w:gridCol w:w="129"/>
        <w:gridCol w:w="129"/>
        <w:gridCol w:w="129"/>
        <w:gridCol w:w="210"/>
        <w:gridCol w:w="210"/>
        <w:gridCol w:w="211"/>
        <w:gridCol w:w="129"/>
        <w:gridCol w:w="129"/>
        <w:gridCol w:w="129"/>
        <w:gridCol w:w="209"/>
        <w:gridCol w:w="209"/>
        <w:gridCol w:w="303"/>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Incorporated by reference herein</w:t>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n-20251226x10qex311.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n-20251226x10qex312.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n-20251226x10qex321.htm">
              <w:r>
                <w:rPr>
                  <w:rStyle w:val="InternetLink"/>
                  <w:rFonts w:ascii="Times New Roman;serif" w:hAnsi="Times New Roman;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51049e2e92f9422e829954d1cfd59e34_10">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February 3, 2026.</w:t>
      </w:r>
    </w:p>
    <w:tbl>
      <w:tblPr>
        <w:tblW w:w="9098"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09"/>
        <w:gridCol w:w="109"/>
        <w:gridCol w:w="109"/>
        <w:gridCol w:w="2276"/>
        <w:gridCol w:w="2276"/>
        <w:gridCol w:w="32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FABRINET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C</w:t>
            </w:r>
            <w:r>
              <w:rPr>
                <w:rFonts w:ascii="Times New Roman;serif" w:hAnsi="Times New Roman;serif"/>
                <w:b w:val="false"/>
                <w:color w:val="000000"/>
                <w:sz w:val="16"/>
              </w:rPr>
              <w:t>SABA</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VERHA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Csaba Sverha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Seamus Grady,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Fabrinet;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420" w:type="dxa"/>
        <w:jc w:val="left"/>
        <w:tblInd w:w="0" w:type="dxa"/>
        <w:tblLayout w:type="fixed"/>
        <w:tblCellMar>
          <w:top w:w="28" w:type="dxa"/>
          <w:left w:w="28" w:type="dxa"/>
          <w:bottom w:w="28" w:type="dxa"/>
          <w:right w:w="28" w:type="dxa"/>
        </w:tblCellMar>
      </w:tblPr>
      <w:tblGrid>
        <w:gridCol w:w="716"/>
        <w:gridCol w:w="630"/>
        <w:gridCol w:w="634"/>
        <w:gridCol w:w="1297"/>
        <w:gridCol w:w="1297"/>
        <w:gridCol w:w="1846"/>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3, 2026</w:t>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S</w:t>
            </w:r>
            <w:r>
              <w:rPr>
                <w:rFonts w:ascii="Times New Roman;serif" w:hAnsi="Times New Roman;serif"/>
                <w:b w:val="false"/>
                <w:color w:val="000000"/>
                <w:sz w:val="18"/>
              </w:rPr>
              <w:t>EAMUS</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8"/>
              </w:rPr>
              <w:t>RADY</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Seamus Grady</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Csaba Sverha,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Fabrinet;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9779" w:type="dxa"/>
        <w:jc w:val="left"/>
        <w:tblInd w:w="0" w:type="dxa"/>
        <w:tblLayout w:type="fixed"/>
        <w:tblCellMar>
          <w:top w:w="28" w:type="dxa"/>
          <w:left w:w="28" w:type="dxa"/>
          <w:bottom w:w="28" w:type="dxa"/>
          <w:right w:w="28" w:type="dxa"/>
        </w:tblCellMar>
      </w:tblPr>
      <w:tblGrid>
        <w:gridCol w:w="716"/>
        <w:gridCol w:w="630"/>
        <w:gridCol w:w="634"/>
        <w:gridCol w:w="2283"/>
        <w:gridCol w:w="2283"/>
        <w:gridCol w:w="3233"/>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3, 2026</w:t>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C</w:t>
            </w:r>
            <w:r>
              <w:rPr>
                <w:rFonts w:ascii="Times New Roman;serif" w:hAnsi="Times New Roman;serif"/>
                <w:b w:val="false"/>
                <w:color w:val="000000"/>
                <w:sz w:val="18"/>
              </w:rPr>
              <w:t>SABA</w:t>
            </w:r>
            <w:r>
              <w:rPr>
                <w:color w:val="000000"/>
              </w:rPr>
              <w:t> </w:t>
            </w:r>
            <w:r>
              <w:rPr>
                <w:rFonts w:ascii="Times New Roman;serif" w:hAnsi="Times New Roman;serif"/>
                <w:b w:val="false"/>
                <w:color w:val="000000"/>
                <w:sz w:val="20"/>
              </w:rPr>
              <w:t>S</w:t>
            </w:r>
            <w:r>
              <w:rPr>
                <w:rFonts w:ascii="Times New Roman;serif" w:hAnsi="Times New Roman;serif"/>
                <w:b w:val="false"/>
                <w:color w:val="000000"/>
                <w:sz w:val="18"/>
              </w:rPr>
              <w:t>VERHA</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Csaba Sverha</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 Seamus Grady, certify, pursuant to 18 U.S.C. Section 1350, as adopted pursuant to Section 906 of the Sarbanes-Oxley Act of 2002, that the Quarterly Report on Form 10-Q of Fabrinet for the fiscal quarter ended December 26, 2025 fully complies with the requirements of Section 13(a) or 15(d) of the Securities Exchange Act of 1934 and that information contained in this Quarterly Report on Form 10-Q fairly presents, in all material respects, the financial condition and results of operations of Fabrinet.</w:t>
      </w:r>
    </w:p>
    <w:tbl>
      <w:tblPr>
        <w:tblW w:w="7048" w:type="dxa"/>
        <w:jc w:val="left"/>
        <w:tblInd w:w="0" w:type="dxa"/>
        <w:tblLayout w:type="fixed"/>
        <w:tblCellMar>
          <w:top w:w="28" w:type="dxa"/>
          <w:left w:w="28" w:type="dxa"/>
          <w:bottom w:w="28" w:type="dxa"/>
          <w:right w:w="28" w:type="dxa"/>
        </w:tblCellMar>
      </w:tblPr>
      <w:tblGrid>
        <w:gridCol w:w="716"/>
        <w:gridCol w:w="630"/>
        <w:gridCol w:w="634"/>
        <w:gridCol w:w="208"/>
        <w:gridCol w:w="208"/>
        <w:gridCol w:w="213"/>
        <w:gridCol w:w="1300"/>
        <w:gridCol w:w="1300"/>
        <w:gridCol w:w="1839"/>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18"/>
              </w:rPr>
              <w:t>SEAMUS GRADY</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3,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Seamus Grady</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 Csaba Sverha, certify, pursuant to 18 U.S.C. Section 1350, as adopted pursuant to Section 906 of the Sarbanes-Oxley Act of 2002, that the Quarterly Report on Form 10-Q of Fabrinet for the fiscal quarter ended December 26, 2025 fully complies with the requirements of Section 13(a) or 15(d) of the Securities Exchange Act of 1934 and that information contained in this Quarterly Report on Form 10-Q fairly presents, in all material respects, the financial condition and results of operations of Fabrinet.</w:t>
      </w:r>
    </w:p>
    <w:tbl>
      <w:tblPr>
        <w:tblW w:w="10205" w:type="dxa"/>
        <w:jc w:val="left"/>
        <w:tblInd w:w="0" w:type="dxa"/>
        <w:tblLayout w:type="fixed"/>
        <w:tblCellMar>
          <w:top w:w="28" w:type="dxa"/>
          <w:left w:w="28" w:type="dxa"/>
          <w:bottom w:w="28" w:type="dxa"/>
          <w:right w:w="28" w:type="dxa"/>
        </w:tblCellMar>
      </w:tblPr>
      <w:tblGrid>
        <w:gridCol w:w="703"/>
        <w:gridCol w:w="618"/>
        <w:gridCol w:w="622"/>
        <w:gridCol w:w="207"/>
        <w:gridCol w:w="207"/>
        <w:gridCol w:w="212"/>
        <w:gridCol w:w="2234"/>
        <w:gridCol w:w="2228"/>
        <w:gridCol w:w="3174"/>
      </w:tblGrid>
      <w:tr>
        <w:trPr/>
        <w:tc>
          <w:tcPr>
            <w:tcW w:w="70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74" w:type="dxa"/>
            <w:tcBorders/>
            <w:vAlign w:val="center"/>
          </w:tcPr>
          <w:p>
            <w:pPr>
              <w:pStyle w:val="TableContents"/>
              <w:bidi w:val="0"/>
              <w:spacing w:before="0" w:after="283"/>
              <w:jc w:val="left"/>
              <w:rPr>
                <w:sz w:val="4"/>
                <w:szCs w:val="4"/>
              </w:rPr>
            </w:pPr>
            <w:r>
              <w:rPr>
                <w:sz w:val="4"/>
                <w:szCs w:val="4"/>
              </w:rPr>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6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C</w:t>
            </w:r>
            <w:r>
              <w:rPr>
                <w:rFonts w:ascii="Times New Roman;serif" w:hAnsi="Times New Roman;serif"/>
                <w:b w:val="false"/>
                <w:color w:val="000000"/>
                <w:sz w:val="18"/>
              </w:rPr>
              <w:t xml:space="preserve">SABA </w:t>
            </w:r>
            <w:r>
              <w:rPr>
                <w:rFonts w:ascii="Times New Roman;serif" w:hAnsi="Times New Roman;serif"/>
                <w:b w:val="false"/>
                <w:color w:val="000000"/>
                <w:sz w:val="20"/>
              </w:rPr>
              <w:t>S</w:t>
            </w:r>
            <w:r>
              <w:rPr>
                <w:rFonts w:ascii="Times New Roman;serif" w:hAnsi="Times New Roman;serif"/>
                <w:b w:val="false"/>
                <w:color w:val="000000"/>
                <w:sz w:val="18"/>
              </w:rPr>
              <w:t>VERHA</w:t>
            </w:r>
          </w:p>
        </w:tc>
      </w:tr>
      <w:tr>
        <w:trPr/>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3, 2026</w:t>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Csaba Sverha</w:t>
            </w:r>
          </w:p>
        </w:tc>
      </w:tr>
      <w:tr>
        <w:trPr/>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34705</Words>
  <Characters>194706</Characters>
  <CharactersWithSpaces>227732</CharactersWithSpaces>
  <Paragraphs>3341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