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626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01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KELLY THOMAS F</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Fabrinet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30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39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02/25/2026</w:t>
            </w: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FABRINET USA, INC.</w:t>
            </w:r>
          </w:p>
        </w:tc>
        <w:tc>
          <w:tcPr>
            <w:tcW w:w="1420" w:type="dxa"/>
            <w:vAlign w:val="bottom"/>
          </w:tcPr>
          <w:p>
            <w:pPr>
              <w:spacing w:after="0"/>
              <w:rPr>
                <w:sz w:val="11"/>
                <w:szCs w:val="11"/>
                <w:color w:val="auto"/>
              </w:rPr>
            </w:pPr>
          </w:p>
        </w:tc>
        <w:tc>
          <w:tcPr>
            <w:tcW w:w="3900" w:type="dxa"/>
            <w:vAlign w:val="bottom"/>
            <w:gridSpan w:val="4"/>
            <w:vMerge w:val="continue"/>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3736 FALLON ROAD #428</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0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019"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DUBLIN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94568</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019"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8"/>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103"/>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ind w:left="1"/>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60" w:type="dxa"/>
            <w:vAlign w:val="bottom"/>
            <w:tcBorders>
              <w:bottom w:val="single" w:sz="8" w:color="2C2C2C"/>
            </w:tcBorders>
          </w:tcPr>
          <w:p>
            <w:pPr>
              <w:jc w:val="center"/>
              <w:ind w:left="483"/>
              <w:spacing w:after="0"/>
              <w:rPr>
                <w:sz w:val="20"/>
                <w:szCs w:val="20"/>
                <w:color w:val="auto"/>
              </w:rPr>
            </w:pPr>
            <w:r>
              <w:rPr>
                <w:rFonts w:ascii="Times New Roman" w:cs="Times New Roman" w:eastAsia="Times New Roman" w:hAnsi="Times New Roman"/>
                <w:sz w:val="17"/>
                <w:szCs w:val="17"/>
                <w:color w:val="0000FF"/>
              </w:rPr>
              <w:t>02/25/2026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ind w:right="103"/>
              <w:spacing w:after="0"/>
              <w:rPr>
                <w:sz w:val="20"/>
                <w:szCs w:val="20"/>
                <w:color w:val="auto"/>
              </w:rPr>
            </w:pPr>
            <w:r>
              <w:rPr>
                <w:rFonts w:ascii="Times New Roman" w:cs="Times New Roman" w:eastAsia="Times New Roman" w:hAnsi="Times New Roman"/>
                <w:sz w:val="17"/>
                <w:szCs w:val="17"/>
                <w:color w:val="0000FF"/>
              </w:rPr>
              <w:t>770</w:t>
            </w:r>
          </w:p>
        </w:tc>
        <w:tc>
          <w:tcPr>
            <w:tcW w:w="5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622.466</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18,411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60" w:type="dxa"/>
            <w:vAlign w:val="bottom"/>
            <w:tcBorders>
              <w:bottom w:val="single" w:sz="8" w:color="2C2C2C"/>
            </w:tcBorders>
          </w:tcPr>
          <w:p>
            <w:pPr>
              <w:jc w:val="center"/>
              <w:ind w:left="483"/>
              <w:spacing w:after="0"/>
              <w:rPr>
                <w:sz w:val="20"/>
                <w:szCs w:val="20"/>
                <w:color w:val="auto"/>
              </w:rPr>
            </w:pPr>
            <w:r>
              <w:rPr>
                <w:rFonts w:ascii="Times New Roman" w:cs="Times New Roman" w:eastAsia="Times New Roman" w:hAnsi="Times New Roman"/>
                <w:sz w:val="17"/>
                <w:szCs w:val="17"/>
                <w:color w:val="0000FF"/>
              </w:rPr>
              <w:t>02/25/2026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ind w:right="103"/>
              <w:spacing w:after="0"/>
              <w:rPr>
                <w:sz w:val="20"/>
                <w:szCs w:val="20"/>
                <w:color w:val="auto"/>
              </w:rPr>
            </w:pPr>
            <w:r>
              <w:rPr>
                <w:rFonts w:ascii="Times New Roman" w:cs="Times New Roman" w:eastAsia="Times New Roman" w:hAnsi="Times New Roman"/>
                <w:sz w:val="17"/>
                <w:szCs w:val="17"/>
                <w:color w:val="0000FF"/>
              </w:rPr>
              <w:t>120</w:t>
            </w:r>
          </w:p>
        </w:tc>
        <w:tc>
          <w:tcPr>
            <w:tcW w:w="5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623.295</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18,291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60" w:type="dxa"/>
            <w:vAlign w:val="bottom"/>
            <w:tcBorders>
              <w:bottom w:val="single" w:sz="8" w:color="2C2C2C"/>
            </w:tcBorders>
          </w:tcPr>
          <w:p>
            <w:pPr>
              <w:jc w:val="center"/>
              <w:ind w:left="483"/>
              <w:spacing w:after="0"/>
              <w:rPr>
                <w:sz w:val="20"/>
                <w:szCs w:val="20"/>
                <w:color w:val="auto"/>
              </w:rPr>
            </w:pPr>
            <w:r>
              <w:rPr>
                <w:rFonts w:ascii="Times New Roman" w:cs="Times New Roman" w:eastAsia="Times New Roman" w:hAnsi="Times New Roman"/>
                <w:sz w:val="17"/>
                <w:szCs w:val="17"/>
                <w:color w:val="0000FF"/>
              </w:rPr>
              <w:t>02/25/2026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ind w:right="103"/>
              <w:spacing w:after="0"/>
              <w:rPr>
                <w:sz w:val="20"/>
                <w:szCs w:val="20"/>
                <w:color w:val="auto"/>
              </w:rPr>
            </w:pPr>
            <w:r>
              <w:rPr>
                <w:rFonts w:ascii="Times New Roman" w:cs="Times New Roman" w:eastAsia="Times New Roman" w:hAnsi="Times New Roman"/>
                <w:sz w:val="17"/>
                <w:szCs w:val="17"/>
                <w:color w:val="0000FF"/>
              </w:rPr>
              <w:t>610</w:t>
            </w:r>
          </w:p>
        </w:tc>
        <w:tc>
          <w:tcPr>
            <w:tcW w:w="5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624.76</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17,681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60" w:type="dxa"/>
            <w:vAlign w:val="bottom"/>
            <w:tcBorders>
              <w:bottom w:val="single" w:sz="8" w:color="2C2C2C"/>
            </w:tcBorders>
          </w:tcPr>
          <w:p>
            <w:pPr>
              <w:jc w:val="center"/>
              <w:ind w:left="483"/>
              <w:spacing w:after="0"/>
              <w:rPr>
                <w:sz w:val="20"/>
                <w:szCs w:val="20"/>
                <w:color w:val="auto"/>
              </w:rPr>
            </w:pPr>
            <w:r>
              <w:rPr>
                <w:rFonts w:ascii="Times New Roman" w:cs="Times New Roman" w:eastAsia="Times New Roman" w:hAnsi="Times New Roman"/>
                <w:sz w:val="17"/>
                <w:szCs w:val="17"/>
                <w:color w:val="0000FF"/>
              </w:rPr>
              <w:t>02/25/2026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ind w:right="103"/>
              <w:spacing w:after="0"/>
              <w:rPr>
                <w:sz w:val="20"/>
                <w:szCs w:val="20"/>
                <w:color w:val="auto"/>
              </w:rPr>
            </w:pPr>
            <w:r>
              <w:rPr>
                <w:rFonts w:ascii="Times New Roman" w:cs="Times New Roman" w:eastAsia="Times New Roman" w:hAnsi="Times New Roman"/>
                <w:sz w:val="17"/>
                <w:szCs w:val="17"/>
                <w:color w:val="0000FF"/>
              </w:rPr>
              <w:t>350</w:t>
            </w:r>
          </w:p>
        </w:tc>
        <w:tc>
          <w:tcPr>
            <w:tcW w:w="5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625.524</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17,331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60" w:type="dxa"/>
            <w:vAlign w:val="bottom"/>
          </w:tcPr>
          <w:p>
            <w:pPr>
              <w:jc w:val="center"/>
              <w:ind w:left="483"/>
              <w:spacing w:after="0"/>
              <w:rPr>
                <w:sz w:val="20"/>
                <w:szCs w:val="20"/>
                <w:color w:val="auto"/>
              </w:rPr>
            </w:pPr>
            <w:r>
              <w:rPr>
                <w:rFonts w:ascii="Times New Roman" w:cs="Times New Roman" w:eastAsia="Times New Roman" w:hAnsi="Times New Roman"/>
                <w:sz w:val="17"/>
                <w:szCs w:val="17"/>
                <w:color w:val="0000FF"/>
              </w:rPr>
              <w:t>02/26/2026</w:t>
            </w:r>
          </w:p>
        </w:tc>
        <w:tc>
          <w:tcPr>
            <w:tcW w:w="11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00" w:type="dxa"/>
            <w:vAlign w:val="bottom"/>
          </w:tcPr>
          <w:p>
            <w:pPr>
              <w:jc w:val="right"/>
              <w:ind w:right="103"/>
              <w:spacing w:after="0"/>
              <w:rPr>
                <w:sz w:val="20"/>
                <w:szCs w:val="20"/>
                <w:color w:val="auto"/>
              </w:rPr>
            </w:pPr>
            <w:r>
              <w:rPr>
                <w:rFonts w:ascii="Times New Roman" w:cs="Times New Roman" w:eastAsia="Times New Roman" w:hAnsi="Times New Roman"/>
                <w:sz w:val="17"/>
                <w:szCs w:val="17"/>
                <w:color w:val="0000FF"/>
              </w:rPr>
              <w:t>150</w:t>
            </w:r>
          </w:p>
        </w:tc>
        <w:tc>
          <w:tcPr>
            <w:tcW w:w="560" w:type="dxa"/>
            <w:vAlign w:val="bottom"/>
          </w:tcPr>
          <w:p>
            <w:pPr>
              <w:jc w:val="center"/>
              <w:ind w:left="2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17,181</w:t>
            </w:r>
          </w:p>
        </w:tc>
        <w:tc>
          <w:tcPr>
            <w:tcW w:w="9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price represents the weighted average sale price of the shares sold ranging from $621.99 to $622.86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price represents the weighted average sale price of the shares sold ranging from $623.08 to $623.50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price represents the weighted average sale price of the shares sold ranging from $624.22 to $625.20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price represents the weighted average sale price of the shares sold ranging from $625.28 to $625.704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Andrew Chew, Attorney-in-</w:t>
            </w:r>
          </w:p>
        </w:tc>
        <w:tc>
          <w:tcPr>
            <w:tcW w:w="120" w:type="dxa"/>
            <w:vAlign w:val="bottom"/>
          </w:tcPr>
          <w:p>
            <w:pPr>
              <w:spacing w:after="0"/>
              <w:rPr>
                <w:sz w:val="17"/>
                <w:szCs w:val="17"/>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02/27/2026</w:t>
            </w:r>
          </w:p>
        </w:tc>
        <w:tc>
          <w:tcPr>
            <w:tcW w:w="0" w:type="dxa"/>
            <w:vAlign w:val="bottom"/>
          </w:tcPr>
          <w:p>
            <w:pPr>
              <w:spacing w:after="0"/>
              <w:rPr>
                <w:sz w:val="1"/>
                <w:szCs w:val="1"/>
                <w:color w:val="auto"/>
              </w:rPr>
            </w:pPr>
          </w:p>
        </w:tc>
      </w:tr>
      <w:tr>
        <w:trPr>
          <w:trHeight w:val="87"/>
        </w:trPr>
        <w:tc>
          <w:tcPr>
            <w:tcW w:w="17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Thomas F. Kelly</w:t>
            </w:r>
          </w:p>
        </w:tc>
        <w:tc>
          <w:tcPr>
            <w:tcW w:w="36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20" w:type="dxa"/>
            <w:vAlign w:val="bottom"/>
            <w:tcBorders>
              <w:bottom w:val="single" w:sz="8" w:color="auto"/>
            </w:tcBorders>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0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61146" TargetMode="External"/><Relationship Id="rId14" Type="http://schemas.openxmlformats.org/officeDocument/2006/relationships/hyperlink" Target="http://www.sec.gov/cgi-bin/browse-edgar?action=getcompany&amp;CIK=00014087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2026-02-27T16:09:25Z</dcterms:created>
  <dcterms:modified xsi:type="dcterms:W3CDTF">2026-02-27T16:09:25Z</dcterms:modified>
</cp:coreProperties>
</file>