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7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2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7"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360" w:hanging="356"/>
        <w:spacing w:after="0"/>
        <w:tabs>
          <w:tab w:leader="none" w:pos="3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3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FABRINET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2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08"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59"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59" w:lineRule="exact"/>
        <w:rPr>
          <w:rFonts w:ascii="MS PGothic" w:cs="MS PGothic" w:eastAsia="MS PGothic" w:hAnsi="MS PGothic"/>
          <w:sz w:val="16"/>
          <w:szCs w:val="16"/>
          <w:color w:val="auto"/>
        </w:rPr>
      </w:pPr>
    </w:p>
    <w:p>
      <w:pPr>
        <w:ind w:left="440" w:hanging="436"/>
        <w:spacing w:after="0"/>
        <w:tabs>
          <w:tab w:leader="none" w:pos="4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252095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389255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000"/>
        <w:spacing w:after="0" w:line="290" w:lineRule="auto"/>
        <w:rPr>
          <w:sz w:val="20"/>
          <w:szCs w:val="20"/>
          <w:color w:val="auto"/>
        </w:rPr>
      </w:pPr>
      <w:r>
        <w:rPr>
          <w:rFonts w:ascii="Arial" w:cs="Arial" w:eastAsia="Arial" w:hAnsi="Arial"/>
          <w:sz w:val="36"/>
          <w:szCs w:val="36"/>
          <w:b w:val="1"/>
          <w:bCs w:val="1"/>
          <w:color w:val="578255"/>
        </w:rPr>
        <w:t>NOTICE OF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38"/>
          <w:szCs w:val="38"/>
          <w:b w:val="1"/>
          <w:bCs w:val="1"/>
          <w:color w:val="578255"/>
        </w:rPr>
        <w:t>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40"/>
          <w:szCs w:val="40"/>
          <w:b w:val="1"/>
          <w:bCs w:val="1"/>
          <w:color w:val="578255"/>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749300</wp:posOffset>
            </wp:positionV>
            <wp:extent cx="149987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98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102870</wp:posOffset>
            </wp:positionV>
            <wp:extent cx="14998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ind w:right="1380"/>
        <w:spacing w:after="0" w:line="298" w:lineRule="auto"/>
        <w:rPr>
          <w:sz w:val="20"/>
          <w:szCs w:val="20"/>
          <w:color w:val="auto"/>
        </w:rPr>
      </w:pPr>
      <w:r>
        <w:rPr>
          <w:rFonts w:ascii="Arial" w:cs="Arial" w:eastAsia="Arial" w:hAnsi="Arial"/>
          <w:sz w:val="32"/>
          <w:szCs w:val="32"/>
          <w:b w:val="1"/>
          <w:bCs w:val="1"/>
          <w:color w:val="578255"/>
        </w:rPr>
        <w:t>NOTICE OF 2024 ANNUAL GENERAL MEETING OF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Meeting Date and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Thursday, December 12, 2024 at 9:00 a.m. Pacific Standard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Location and Meeting Admission</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have adopted a virtual format for our 2024 Annual General Meeting of Shareholders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provide a consistent experience to all our shareholders regardless of location. There will be no physical location for shareholders to attend the Annual Meeting.</w:t>
      </w:r>
    </w:p>
    <w:p>
      <w:pPr>
        <w:spacing w:after="0" w:line="6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 xml:space="preserve">You are entitled to attend the Annual Meeting online, vote and submit questions during the meeting by visiting </w:t>
      </w:r>
      <w:r>
        <w:rPr>
          <w:rFonts w:ascii="Arial" w:cs="Arial" w:eastAsia="Arial" w:hAnsi="Arial"/>
          <w:sz w:val="18"/>
          <w:szCs w:val="18"/>
          <w:b w:val="1"/>
          <w:bCs w:val="1"/>
          <w:color w:val="578255"/>
        </w:rPr>
        <w:t xml:space="preserve">www.virtualshareholdermeeting.com/FN2024 </w:t>
      </w:r>
      <w:r>
        <w:rPr>
          <w:rFonts w:ascii="Arial" w:cs="Arial" w:eastAsia="Arial" w:hAnsi="Arial"/>
          <w:sz w:val="18"/>
          <w:szCs w:val="18"/>
          <w:color w:val="000000"/>
        </w:rPr>
        <w:t>and entering the 16-digit control number included on your Notice of</w:t>
      </w:r>
      <w:r>
        <w:rPr>
          <w:rFonts w:ascii="Arial" w:cs="Arial" w:eastAsia="Arial" w:hAnsi="Arial"/>
          <w:sz w:val="18"/>
          <w:szCs w:val="18"/>
          <w:b w:val="1"/>
          <w:bCs w:val="1"/>
          <w:color w:val="578255"/>
        </w:rPr>
        <w:t xml:space="preserve"> </w:t>
      </w:r>
      <w:r>
        <w:rPr>
          <w:rFonts w:ascii="Arial" w:cs="Arial" w:eastAsia="Arial" w:hAnsi="Arial"/>
          <w:sz w:val="18"/>
          <w:szCs w:val="18"/>
          <w:color w:val="000000"/>
        </w:rPr>
        <w:t>Internet Availability of Proxy Materials, voting instruction form or proxy card (if you requested printed materials). You will only be entitled to vote and submit questions at the Annual Meeting if you are a shareholder as of the record date.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More details on how to participate in this year’s virtual meeting can be found in the section of the accompanying proxy statement entitled “</w:t>
      </w:r>
      <w:r>
        <w:rPr>
          <w:rFonts w:ascii="Arial" w:cs="Arial" w:eastAsia="Arial" w:hAnsi="Arial"/>
          <w:sz w:val="18"/>
          <w:szCs w:val="18"/>
          <w:i w:val="1"/>
          <w:iCs w:val="1"/>
          <w:color w:val="auto"/>
        </w:rPr>
        <w:t>Questions and Answers about the Annual Meeting and Procedural Matters</w:t>
      </w:r>
      <w:r>
        <w:rPr>
          <w:rFonts w:ascii="Arial" w:cs="Arial" w:eastAsia="Arial" w:hAnsi="Arial"/>
          <w:sz w:val="18"/>
          <w:szCs w:val="18"/>
          <w:color w:val="auto"/>
        </w:rPr>
        <w:t>.”</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event of a technical malfunction or other situation that at the discretion of the Chairman of the Board of Directors may affect the ability of the Annual Meeting to satisfy the requirements for a meeting of shareholders to be held, the Chairman or Corporate Secretary of Fabrinet will convene the meeting at 11:00 a.m. Pacific Standard Time on the same date and at the website specified above solely for the purpose of holding the adjourned meeting at this later time.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Items of Business</w:t>
      </w:r>
    </w:p>
    <w:p>
      <w:pPr>
        <w:spacing w:after="0" w:line="104" w:lineRule="exact"/>
        <w:rPr>
          <w:sz w:val="20"/>
          <w:szCs w:val="20"/>
          <w:color w:val="auto"/>
        </w:rPr>
      </w:pPr>
    </w:p>
    <w:p>
      <w:pPr>
        <w:jc w:val="both"/>
        <w:ind w:left="640" w:right="20" w:hanging="358"/>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three Class III directors named in the proxy statement and recommended by Fabrinet’s board of directors to serve for a term of three years and until their respective successors have been duly elected and qualified or until their earlier death, resignation or removal;</w:t>
      </w:r>
    </w:p>
    <w:p>
      <w:pPr>
        <w:spacing w:after="0" w:line="60" w:lineRule="exact"/>
        <w:rPr>
          <w:rFonts w:ascii="Arial" w:cs="Arial" w:eastAsia="Arial" w:hAnsi="Arial"/>
          <w:sz w:val="18"/>
          <w:szCs w:val="18"/>
          <w:color w:val="auto"/>
        </w:rPr>
      </w:pPr>
    </w:p>
    <w:p>
      <w:pPr>
        <w:ind w:left="640" w:right="20" w:hanging="358"/>
        <w:spacing w:after="0" w:line="27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PricewaterhouseCoopers ABAS Ltd. as Fabrinet’s independent registered public accounting firm for Fabrinet’s fiscal year ending June 27, 2025;</w:t>
      </w:r>
    </w:p>
    <w:p>
      <w:pPr>
        <w:spacing w:after="0" w:line="45" w:lineRule="exact"/>
        <w:rPr>
          <w:rFonts w:ascii="Arial" w:cs="Arial" w:eastAsia="Arial" w:hAnsi="Arial"/>
          <w:sz w:val="18"/>
          <w:szCs w:val="18"/>
          <w:color w:val="auto"/>
        </w:rPr>
      </w:pPr>
    </w:p>
    <w:p>
      <w:pPr>
        <w:ind w:left="640" w:right="20" w:hanging="358"/>
        <w:spacing w:after="0" w:line="27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 a non-binding, advisory vote to approve the compensation of Fabrinet’s named executive officers, as disclosed in the proxy statement; and</w:t>
      </w:r>
    </w:p>
    <w:p>
      <w:pPr>
        <w:spacing w:after="0" w:line="45" w:lineRule="exact"/>
        <w:rPr>
          <w:rFonts w:ascii="Arial" w:cs="Arial" w:eastAsia="Arial" w:hAnsi="Arial"/>
          <w:sz w:val="18"/>
          <w:szCs w:val="18"/>
          <w:color w:val="auto"/>
        </w:rPr>
      </w:pPr>
    </w:p>
    <w:p>
      <w:pPr>
        <w:ind w:left="640" w:right="20" w:hanging="358"/>
        <w:spacing w:after="0" w:line="27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any other business as may properly come before the meeting or any adjournment or postponement thereof.</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items of business are more fully described in the proxy statement accompanying this notice. Any action on the items of business described above may be considered at the Annual Meeting at the time and on the date specified above, or at any time and date to which the Annual Meeting may be properly adjourned or postponed.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Record Date</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Only shareholders of record at the close of business on October 16, 2024 are entitled to notice of, and to vote at, the Annual Meeting or any postponement or adjournment thereof.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w:t>
      </w:r>
    </w:p>
    <w:p>
      <w:pPr>
        <w:spacing w:after="0" w:line="10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Your vote is very important. We encourage you to vote in advance of the Annual Meeting, even if you plan to attend. To vote your shares, please follow the procedures outlined in your Notice of Internet Availability of Proxy Materials, or refer to the section of the proxy statement entitled “</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xml:space="preserve"> </w:t>
      </w:r>
      <w:r>
        <w:rPr>
          <w:rFonts w:ascii="Arial" w:cs="Arial" w:eastAsia="Arial" w:hAnsi="Arial"/>
          <w:sz w:val="18"/>
          <w:szCs w:val="18"/>
          <w:i w:val="1"/>
          <w:iCs w:val="1"/>
          <w:color w:val="auto"/>
        </w:rPr>
        <w:t>and Procedural Matters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96520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have any questions or require any assistance with completing your proxy, please contact Kingsdale Advisors by telephone at (866) 228-3049 (toll-free within North America) or (416) 867-2272 (call collect outside North America), or by email at contactus@kingsdaleadvisors.com.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Fabrinet.</w:t>
      </w:r>
    </w:p>
    <w:p>
      <w:pPr>
        <w:spacing w:after="0" w:line="14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By order of the Board of Directors,</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 David T. Mitchell</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David T. Mitchell</w:t>
      </w:r>
    </w:p>
    <w:p>
      <w:pPr>
        <w:ind w:left="4700"/>
        <w:spacing w:after="0"/>
        <w:rPr>
          <w:sz w:val="20"/>
          <w:szCs w:val="20"/>
          <w:color w:val="auto"/>
        </w:rPr>
      </w:pPr>
      <w:r>
        <w:rPr>
          <w:rFonts w:ascii="Arial" w:cs="Arial" w:eastAsia="Arial" w:hAnsi="Arial"/>
          <w:sz w:val="17"/>
          <w:szCs w:val="17"/>
          <w:i w:val="1"/>
          <w:iCs w:val="1"/>
          <w:color w:val="auto"/>
        </w:rPr>
        <w:t>Chairman of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Grand Cayman, Cayman Islands</w:t>
      </w:r>
    </w:p>
    <w:p>
      <w:pPr>
        <w:spacing w:after="0"/>
        <w:rPr>
          <w:sz w:val="20"/>
          <w:szCs w:val="20"/>
          <w:color w:val="auto"/>
        </w:rPr>
      </w:pPr>
      <w:r>
        <w:rPr>
          <w:rFonts w:ascii="Arial" w:cs="Arial" w:eastAsia="Arial" w:hAnsi="Arial"/>
          <w:sz w:val="17"/>
          <w:szCs w:val="17"/>
          <w:color w:val="auto"/>
        </w:rPr>
        <w:t>October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833110" cy="664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3110" cy="664210"/>
                    </a:xfrm>
                    <a:prstGeom prst="rect">
                      <a:avLst/>
                    </a:prstGeom>
                    <a:noFill/>
                  </pic:spPr>
                </pic:pic>
              </a:graphicData>
            </a:graphic>
          </wp:anchor>
        </w:drawing>
      </w:r>
    </w:p>
    <w:p>
      <w:pPr>
        <w:spacing w:after="0" w:line="209" w:lineRule="exact"/>
        <w:rPr>
          <w:sz w:val="20"/>
          <w:szCs w:val="20"/>
          <w:color w:val="auto"/>
        </w:rPr>
      </w:pPr>
    </w:p>
    <w:p>
      <w:pPr>
        <w:jc w:val="center"/>
        <w:ind w:right="60"/>
        <w:spacing w:after="0" w:line="249" w:lineRule="auto"/>
        <w:rPr>
          <w:sz w:val="20"/>
          <w:szCs w:val="20"/>
          <w:color w:val="auto"/>
        </w:rPr>
      </w:pPr>
      <w:r>
        <w:rPr>
          <w:rFonts w:ascii="Arial" w:cs="Arial" w:eastAsia="Arial" w:hAnsi="Arial"/>
          <w:sz w:val="19"/>
          <w:szCs w:val="19"/>
          <w:b w:val="1"/>
          <w:bCs w:val="1"/>
          <w:color w:val="578255"/>
        </w:rPr>
        <w:t xml:space="preserve">Important Notice Regarding the Availability of Proxy Materials for the Annual General Meeting of Shareholders to Be Held on Thursday, December 12, 2024 </w:t>
      </w:r>
      <w:r>
        <w:rPr>
          <w:rFonts w:ascii="Arial" w:cs="Arial" w:eastAsia="Arial" w:hAnsi="Arial"/>
          <w:sz w:val="19"/>
          <w:szCs w:val="19"/>
          <w:color w:val="578255"/>
        </w:rPr>
        <w:t>The proxy statement and our Fiscal 2024 Annual Report to Shareholders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271145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114" w:right="1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84" w:lineRule="exact"/>
        <w:rPr>
          <w:sz w:val="20"/>
          <w:szCs w:val="20"/>
          <w:color w:val="auto"/>
        </w:rPr>
      </w:pPr>
    </w:p>
    <w:tbl>
      <w:tblPr>
        <w:tblLayout w:type="fixed"/>
        <w:tblInd w:w="4060" w:type="dxa"/>
        <w:tblCellMar>
          <w:top w:w="0" w:type="dxa"/>
          <w:left w:w="0" w:type="dxa"/>
          <w:bottom w:w="0" w:type="dxa"/>
          <w:right w:w="0" w:type="dxa"/>
        </w:tblCellMar>
      </w:tblPr>
      <w:tr>
        <w:trPr>
          <w:trHeight w:val="172"/>
        </w:trPr>
        <w:tc>
          <w:tcPr>
            <w:tcW w:w="360" w:type="dxa"/>
            <w:vAlign w:val="bottom"/>
            <w:vMerge w:val="restart"/>
          </w:tcPr>
          <w:p>
            <w:pPr>
              <w:spacing w:after="0"/>
              <w:rPr>
                <w:sz w:val="20"/>
                <w:szCs w:val="20"/>
                <w:color w:val="auto"/>
              </w:rPr>
            </w:pPr>
            <w:r>
              <w:rPr>
                <w:rFonts w:ascii="Arial" w:cs="Arial" w:eastAsia="Arial" w:hAnsi="Arial"/>
                <w:sz w:val="15"/>
                <w:szCs w:val="15"/>
                <w:color w:val="auto"/>
                <w:w w:val="96"/>
              </w:rPr>
              <w:t>Page</w:t>
            </w:r>
          </w:p>
        </w:tc>
        <w:tc>
          <w:tcPr>
            <w:tcW w:w="4760" w:type="dxa"/>
            <w:vAlign w:val="bottom"/>
            <w:gridSpan w:val="2"/>
          </w:tcPr>
          <w:p>
            <w:pPr>
              <w:ind w:left="4400"/>
              <w:spacing w:after="0"/>
              <w:rPr>
                <w:sz w:val="20"/>
                <w:szCs w:val="20"/>
                <w:color w:val="auto"/>
              </w:rPr>
            </w:pPr>
            <w:r>
              <w:rPr>
                <w:rFonts w:ascii="Arial" w:cs="Arial" w:eastAsia="Arial" w:hAnsi="Arial"/>
                <w:sz w:val="15"/>
                <w:szCs w:val="15"/>
                <w:color w:val="auto"/>
                <w:w w:val="96"/>
              </w:rPr>
              <w:t>Page</w:t>
            </w:r>
          </w:p>
        </w:tc>
        <w:tc>
          <w:tcPr>
            <w:tcW w:w="0" w:type="dxa"/>
            <w:vAlign w:val="bottom"/>
          </w:tcPr>
          <w:p>
            <w:pPr>
              <w:spacing w:after="0"/>
              <w:rPr>
                <w:sz w:val="1"/>
                <w:szCs w:val="1"/>
                <w:color w:val="auto"/>
              </w:rPr>
            </w:pPr>
          </w:p>
        </w:tc>
      </w:tr>
      <w:tr>
        <w:trPr>
          <w:trHeight w:val="39"/>
        </w:trPr>
        <w:tc>
          <w:tcPr>
            <w:tcW w:w="360" w:type="dxa"/>
            <w:vAlign w:val="bottom"/>
            <w:tcBorders>
              <w:bottom w:val="single" w:sz="8" w:color="auto"/>
            </w:tcBorders>
            <w:vMerge w:val="continue"/>
          </w:tcPr>
          <w:p>
            <w:pPr>
              <w:spacing w:after="0"/>
              <w:rPr>
                <w:sz w:val="2"/>
                <w:szCs w:val="2"/>
                <w:color w:val="auto"/>
              </w:rPr>
            </w:pPr>
          </w:p>
        </w:tc>
        <w:tc>
          <w:tcPr>
            <w:tcW w:w="4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1">
            <w:col w:w="9180"/>
          </w:cols>
          <w:pgMar w:left="1360" w:top="114" w:right="135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00EE"/>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2811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0000EE"/>
        </w:rPr>
        <w:t>2024 Annual Meeting</w:t>
      </w:r>
    </w:p>
    <w:p>
      <w:pPr>
        <w:spacing w:after="0" w:line="46" w:lineRule="exact"/>
        <w:rPr>
          <w:sz w:val="20"/>
          <w:szCs w:val="20"/>
          <w:color w:val="auto"/>
        </w:rPr>
      </w:pPr>
    </w:p>
    <w:p>
      <w:pPr>
        <w:ind w:left="280" w:right="300"/>
        <w:spacing w:after="0" w:line="299" w:lineRule="auto"/>
        <w:rPr>
          <w:sz w:val="20"/>
          <w:szCs w:val="20"/>
          <w:color w:val="auto"/>
        </w:rPr>
      </w:pPr>
      <w:r>
        <w:rPr>
          <w:rFonts w:ascii="Arial" w:cs="Arial" w:eastAsia="Arial" w:hAnsi="Arial"/>
          <w:sz w:val="16"/>
          <w:szCs w:val="16"/>
          <w:u w:val="single" w:color="auto"/>
          <w:color w:val="0000EE"/>
        </w:rPr>
        <w:t>Matters to Be Voted on at the Annual Meeting Business and Financial Highlights Governance Highlights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6"/>
          <w:szCs w:val="16"/>
          <w:u w:val="single" w:color="auto"/>
          <w:color w:val="0000EE"/>
        </w:rPr>
        <w:t>Executive Compensation Program Highlights</w:t>
      </w:r>
    </w:p>
    <w:p>
      <w:pPr>
        <w:spacing w:after="0" w:line="15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b w:val="1"/>
          <w:bCs w:val="1"/>
          <w:u w:val="single" w:color="auto"/>
          <w:color w:val="0000EE"/>
        </w:rPr>
        <w:t>QUESTIONS AND ANSWERS ABOUT THE ANNUAL MEETING AND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811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u w:val="single" w:color="auto"/>
          <w:color w:val="0000EE"/>
        </w:rPr>
        <w:t>How can I attend the Annual Meeting?</w:t>
      </w:r>
    </w:p>
    <w:p>
      <w:pPr>
        <w:spacing w:after="0" w:line="46" w:lineRule="exact"/>
        <w:rPr>
          <w:sz w:val="20"/>
          <w:szCs w:val="20"/>
          <w:color w:val="auto"/>
        </w:rPr>
      </w:pPr>
    </w:p>
    <w:p>
      <w:pPr>
        <w:ind w:left="280" w:right="500"/>
        <w:spacing w:after="0" w:line="272" w:lineRule="auto"/>
        <w:rPr>
          <w:sz w:val="20"/>
          <w:szCs w:val="20"/>
          <w:color w:val="auto"/>
        </w:rPr>
      </w:pPr>
      <w:r>
        <w:rPr>
          <w:rFonts w:ascii="Arial" w:cs="Arial" w:eastAsia="Arial" w:hAnsi="Arial"/>
          <w:sz w:val="16"/>
          <w:szCs w:val="16"/>
          <w:u w:val="single" w:color="auto"/>
          <w:color w:val="0000EE"/>
        </w:rPr>
        <w:t>Can shareholders ask questions during the Annual Meeting?</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0000EE"/>
        </w:rPr>
        <w:t>Who is entitled to vote at the Annual Meeting?</w:t>
      </w:r>
    </w:p>
    <w:p>
      <w:pPr>
        <w:spacing w:after="0" w:line="46" w:lineRule="exact"/>
        <w:rPr>
          <w:sz w:val="20"/>
          <w:szCs w:val="20"/>
          <w:color w:val="auto"/>
        </w:rPr>
      </w:pPr>
    </w:p>
    <w:p>
      <w:pPr>
        <w:ind w:left="280" w:right="120"/>
        <w:spacing w:after="0" w:line="264" w:lineRule="auto"/>
        <w:rPr>
          <w:sz w:val="20"/>
          <w:szCs w:val="20"/>
          <w:color w:val="auto"/>
        </w:rPr>
      </w:pPr>
      <w:r>
        <w:rPr>
          <w:rFonts w:ascii="Arial" w:cs="Arial" w:eastAsia="Arial" w:hAnsi="Arial"/>
          <w:sz w:val="16"/>
          <w:szCs w:val="16"/>
          <w:u w:val="single" w:color="auto"/>
          <w:color w:val="0000EE"/>
        </w:rPr>
        <w:t>Why did I receive a one-page notice in the mail regarding the Internet availability of proxy materials instead of a full set of proxy materials?</w:t>
      </w:r>
    </w:p>
    <w:p>
      <w:pPr>
        <w:ind w:left="280" w:right="300"/>
        <w:spacing w:after="0" w:line="272" w:lineRule="auto"/>
        <w:rPr>
          <w:sz w:val="20"/>
          <w:szCs w:val="20"/>
          <w:color w:val="auto"/>
        </w:rPr>
      </w:pPr>
      <w:r>
        <w:rPr>
          <w:rFonts w:ascii="Arial" w:cs="Arial" w:eastAsia="Arial" w:hAnsi="Arial"/>
          <w:sz w:val="16"/>
          <w:szCs w:val="16"/>
          <w:u w:val="single" w:color="auto"/>
          <w:color w:val="0000EE"/>
        </w:rPr>
        <w:t>What proposals will be voted on at the Annual Meeting?</w:t>
      </w:r>
    </w:p>
    <w:p>
      <w:pPr>
        <w:spacing w:after="0" w:line="1" w:lineRule="exact"/>
        <w:rPr>
          <w:sz w:val="20"/>
          <w:szCs w:val="20"/>
          <w:color w:val="auto"/>
        </w:rPr>
      </w:pPr>
    </w:p>
    <w:p>
      <w:pPr>
        <w:ind w:left="280" w:right="20"/>
        <w:spacing w:after="0" w:line="272" w:lineRule="auto"/>
        <w:rPr>
          <w:sz w:val="20"/>
          <w:szCs w:val="20"/>
          <w:color w:val="auto"/>
        </w:rPr>
      </w:pPr>
      <w:r>
        <w:rPr>
          <w:rFonts w:ascii="Arial" w:cs="Arial" w:eastAsia="Arial" w:hAnsi="Arial"/>
          <w:sz w:val="16"/>
          <w:szCs w:val="16"/>
          <w:u w:val="single" w:color="auto"/>
          <w:color w:val="0000EE"/>
        </w:rPr>
        <w:t>How does the Board of Directors recommend that I vote?</w:t>
      </w:r>
    </w:p>
    <w:p>
      <w:pPr>
        <w:spacing w:after="0" w:line="1" w:lineRule="exact"/>
        <w:rPr>
          <w:sz w:val="20"/>
          <w:szCs w:val="20"/>
          <w:color w:val="auto"/>
        </w:rPr>
      </w:pPr>
    </w:p>
    <w:p>
      <w:pPr>
        <w:ind w:left="280"/>
        <w:spacing w:after="0" w:line="272" w:lineRule="auto"/>
        <w:rPr>
          <w:sz w:val="20"/>
          <w:szCs w:val="20"/>
          <w:color w:val="auto"/>
        </w:rPr>
      </w:pPr>
      <w:r>
        <w:rPr>
          <w:rFonts w:ascii="Arial" w:cs="Arial" w:eastAsia="Arial" w:hAnsi="Arial"/>
          <w:sz w:val="16"/>
          <w:szCs w:val="16"/>
          <w:u w:val="single" w:color="auto"/>
          <w:color w:val="0000EE"/>
        </w:rPr>
        <w:t>What is the voting requirement to approve each of the proposals and how are votes counted?</w:t>
      </w:r>
    </w:p>
    <w:p>
      <w:pPr>
        <w:spacing w:after="0" w:line="1" w:lineRule="exact"/>
        <w:rPr>
          <w:sz w:val="20"/>
          <w:szCs w:val="20"/>
          <w:color w:val="auto"/>
        </w:rPr>
      </w:pPr>
    </w:p>
    <w:p>
      <w:pPr>
        <w:ind w:left="280" w:right="240"/>
        <w:spacing w:after="0" w:line="264" w:lineRule="auto"/>
        <w:rPr>
          <w:sz w:val="20"/>
          <w:szCs w:val="20"/>
          <w:color w:val="auto"/>
        </w:rPr>
      </w:pPr>
      <w:r>
        <w:rPr>
          <w:rFonts w:ascii="Arial" w:cs="Arial" w:eastAsia="Arial" w:hAnsi="Arial"/>
          <w:sz w:val="16"/>
          <w:szCs w:val="16"/>
          <w:u w:val="single" w:color="auto"/>
          <w:color w:val="0000EE"/>
        </w:rPr>
        <w:t>How many shares must be present or represented to conduct business at the Annual Meeting?</w:t>
      </w:r>
    </w:p>
    <w:p>
      <w:pPr>
        <w:ind w:left="280" w:right="400"/>
        <w:spacing w:after="0" w:line="272" w:lineRule="auto"/>
        <w:rPr>
          <w:sz w:val="20"/>
          <w:szCs w:val="20"/>
          <w:color w:val="auto"/>
        </w:rPr>
      </w:pPr>
      <w:r>
        <w:rPr>
          <w:rFonts w:ascii="Arial" w:cs="Arial" w:eastAsia="Arial" w:hAnsi="Arial"/>
          <w:sz w:val="16"/>
          <w:szCs w:val="16"/>
          <w:u w:val="single" w:color="auto"/>
          <w:color w:val="0000EE"/>
        </w:rPr>
        <w:t>How can I vote my shares during the Annual Meeting?</w:t>
      </w:r>
    </w:p>
    <w:p>
      <w:pPr>
        <w:spacing w:after="0" w:line="1" w:lineRule="exact"/>
        <w:rPr>
          <w:sz w:val="20"/>
          <w:szCs w:val="20"/>
          <w:color w:val="auto"/>
        </w:rPr>
      </w:pPr>
    </w:p>
    <w:p>
      <w:pPr>
        <w:ind w:left="280" w:right="180"/>
        <w:spacing w:after="0" w:line="272" w:lineRule="auto"/>
        <w:rPr>
          <w:sz w:val="20"/>
          <w:szCs w:val="20"/>
          <w:color w:val="auto"/>
        </w:rPr>
      </w:pPr>
      <w:r>
        <w:rPr>
          <w:rFonts w:ascii="Arial" w:cs="Arial" w:eastAsia="Arial" w:hAnsi="Arial"/>
          <w:sz w:val="16"/>
          <w:szCs w:val="16"/>
          <w:u w:val="single" w:color="auto"/>
          <w:color w:val="0000EE"/>
        </w:rPr>
        <w:t>How can I vote my shares without attending the Annual Meeting?</w:t>
      </w:r>
    </w:p>
    <w:p>
      <w:pPr>
        <w:spacing w:after="0" w:line="1" w:lineRule="exact"/>
        <w:rPr>
          <w:sz w:val="20"/>
          <w:szCs w:val="20"/>
          <w:color w:val="auto"/>
        </w:rPr>
      </w:pPr>
    </w:p>
    <w:p>
      <w:pPr>
        <w:ind w:left="280" w:right="40"/>
        <w:spacing w:after="0" w:line="264" w:lineRule="auto"/>
        <w:rPr>
          <w:sz w:val="20"/>
          <w:szCs w:val="20"/>
          <w:color w:val="auto"/>
        </w:rPr>
      </w:pPr>
      <w:r>
        <w:rPr>
          <w:rFonts w:ascii="Arial" w:cs="Arial" w:eastAsia="Arial" w:hAnsi="Arial"/>
          <w:sz w:val="16"/>
          <w:szCs w:val="16"/>
          <w:u w:val="single" w:color="auto"/>
          <w:color w:val="0000EE"/>
        </w:rPr>
        <w:t>What is the difference between holding shares as a shareholder of record and as a beneficial owner?</w:t>
      </w:r>
    </w:p>
    <w:p>
      <w:pPr>
        <w:ind w:left="280" w:right="40"/>
        <w:spacing w:after="0" w:line="272" w:lineRule="auto"/>
        <w:rPr>
          <w:sz w:val="20"/>
          <w:szCs w:val="20"/>
          <w:color w:val="auto"/>
        </w:rPr>
      </w:pPr>
      <w:r>
        <w:rPr>
          <w:rFonts w:ascii="Arial" w:cs="Arial" w:eastAsia="Arial" w:hAnsi="Arial"/>
          <w:sz w:val="16"/>
          <w:szCs w:val="16"/>
          <w:u w:val="single" w:color="auto"/>
          <w:color w:val="0000EE"/>
        </w:rPr>
        <w:t>What happens if additional matters are presented at the Annual Meeting?</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0000EE"/>
        </w:rPr>
        <w:t>Can I change my vote?</w:t>
      </w:r>
    </w:p>
    <w:p>
      <w:pPr>
        <w:spacing w:after="0" w:line="46" w:lineRule="exact"/>
        <w:rPr>
          <w:sz w:val="20"/>
          <w:szCs w:val="20"/>
          <w:color w:val="auto"/>
        </w:rPr>
      </w:pPr>
    </w:p>
    <w:p>
      <w:pPr>
        <w:ind w:left="280" w:right="160"/>
        <w:spacing w:after="0" w:line="264" w:lineRule="auto"/>
        <w:rPr>
          <w:sz w:val="20"/>
          <w:szCs w:val="20"/>
          <w:color w:val="auto"/>
        </w:rPr>
      </w:pPr>
      <w:r>
        <w:rPr>
          <w:rFonts w:ascii="Arial" w:cs="Arial" w:eastAsia="Arial" w:hAnsi="Arial"/>
          <w:sz w:val="16"/>
          <w:szCs w:val="16"/>
          <w:u w:val="single" w:color="auto"/>
          <w:color w:val="0000EE"/>
        </w:rPr>
        <w:t>What happens if I decide to attend the Annual Meeting but I have already voted or submitted a proxy card covering my shares?</w:t>
      </w:r>
    </w:p>
    <w:p>
      <w:pPr>
        <w:ind w:left="280" w:right="40"/>
        <w:spacing w:after="0" w:line="272" w:lineRule="auto"/>
        <w:rPr>
          <w:sz w:val="20"/>
          <w:szCs w:val="20"/>
          <w:color w:val="auto"/>
        </w:rPr>
      </w:pPr>
      <w:r>
        <w:rPr>
          <w:rFonts w:ascii="Arial" w:cs="Arial" w:eastAsia="Arial" w:hAnsi="Arial"/>
          <w:sz w:val="16"/>
          <w:szCs w:val="16"/>
          <w:u w:val="single" w:color="auto"/>
          <w:color w:val="0000EE"/>
        </w:rPr>
        <w:t>What should I do if I receive more than one set of voting materials?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0000EE"/>
        </w:rPr>
        <w:t>Is my vote confidential?</w:t>
      </w:r>
    </w:p>
    <w:p>
      <w:pPr>
        <w:spacing w:after="0" w:line="46" w:lineRule="exact"/>
        <w:rPr>
          <w:sz w:val="20"/>
          <w:szCs w:val="20"/>
          <w:color w:val="auto"/>
        </w:rPr>
      </w:pPr>
    </w:p>
    <w:p>
      <w:pPr>
        <w:ind w:left="280" w:right="120"/>
        <w:spacing w:after="0" w:line="272" w:lineRule="auto"/>
        <w:rPr>
          <w:sz w:val="20"/>
          <w:szCs w:val="20"/>
          <w:color w:val="auto"/>
        </w:rPr>
      </w:pPr>
      <w:r>
        <w:rPr>
          <w:rFonts w:ascii="Arial" w:cs="Arial" w:eastAsia="Arial" w:hAnsi="Arial"/>
          <w:sz w:val="16"/>
          <w:szCs w:val="16"/>
          <w:u w:val="single" w:color="auto"/>
          <w:color w:val="0000EE"/>
        </w:rPr>
        <w:t>Where can I find the voting results of the Annual Meeting?</w:t>
      </w:r>
    </w:p>
    <w:p>
      <w:pPr>
        <w:spacing w:after="0" w:line="1" w:lineRule="exact"/>
        <w:rPr>
          <w:sz w:val="20"/>
          <w:szCs w:val="20"/>
          <w:color w:val="auto"/>
        </w:rPr>
      </w:pPr>
    </w:p>
    <w:p>
      <w:pPr>
        <w:ind w:left="280" w:right="220"/>
        <w:spacing w:after="0" w:line="272" w:lineRule="auto"/>
        <w:rPr>
          <w:sz w:val="20"/>
          <w:szCs w:val="20"/>
          <w:color w:val="auto"/>
        </w:rPr>
      </w:pPr>
      <w:r>
        <w:rPr>
          <w:rFonts w:ascii="Arial" w:cs="Arial" w:eastAsia="Arial" w:hAnsi="Arial"/>
          <w:sz w:val="16"/>
          <w:szCs w:val="16"/>
          <w:u w:val="single" w:color="auto"/>
          <w:color w:val="0000EE"/>
        </w:rPr>
        <w:t>Who will bear the cost of soliciting votes for the Annual Meeting?</w:t>
      </w:r>
    </w:p>
    <w:p>
      <w:pPr>
        <w:spacing w:after="0" w:line="1" w:lineRule="exact"/>
        <w:rPr>
          <w:sz w:val="20"/>
          <w:szCs w:val="20"/>
          <w:color w:val="auto"/>
        </w:rPr>
      </w:pPr>
    </w:p>
    <w:p>
      <w:pPr>
        <w:ind w:left="280" w:right="140"/>
        <w:spacing w:after="0" w:line="259" w:lineRule="auto"/>
        <w:rPr>
          <w:sz w:val="20"/>
          <w:szCs w:val="20"/>
          <w:color w:val="auto"/>
        </w:rPr>
      </w:pPr>
      <w:r>
        <w:rPr>
          <w:rFonts w:ascii="Arial" w:cs="Arial" w:eastAsia="Arial" w:hAnsi="Arial"/>
          <w:sz w:val="16"/>
          <w:szCs w:val="16"/>
          <w:u w:val="single" w:color="auto"/>
          <w:color w:val="0000EE"/>
        </w:rPr>
        <w:t>What is the deadline to propose actions for consideration at next year’s annual meeting of shareholders or to nominate individuals to serve as directors?</w:t>
      </w:r>
    </w:p>
    <w:p>
      <w:pPr>
        <w:spacing w:after="0" w:line="2" w:lineRule="exact"/>
        <w:rPr>
          <w:sz w:val="20"/>
          <w:szCs w:val="20"/>
          <w:color w:val="auto"/>
        </w:rPr>
      </w:pPr>
    </w:p>
    <w:p>
      <w:pPr>
        <w:ind w:left="280" w:right="420"/>
        <w:spacing w:after="0" w:line="272" w:lineRule="auto"/>
        <w:rPr>
          <w:sz w:val="20"/>
          <w:szCs w:val="20"/>
          <w:color w:val="auto"/>
        </w:rPr>
      </w:pPr>
      <w:r>
        <w:rPr>
          <w:rFonts w:ascii="Arial" w:cs="Arial" w:eastAsia="Arial" w:hAnsi="Arial"/>
          <w:sz w:val="16"/>
          <w:szCs w:val="16"/>
          <w:u w:val="single" w:color="auto"/>
          <w:color w:val="0000EE"/>
        </w:rPr>
        <w:t>How may I obtain a separate set of proxy materials or the Fiscal 2024 Annual Report?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0000EE"/>
        </w:rPr>
        <w:t>Whom do I contact if I have questions?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3"/>
        </w:trPr>
        <w:tc>
          <w:tcPr>
            <w:tcW w:w="60" w:type="dxa"/>
            <w:vAlign w:val="bottom"/>
            <w:vMerge w:val="restart"/>
          </w:tcPr>
          <w:p>
            <w:pPr>
              <w:spacing w:after="0"/>
              <w:rPr>
                <w:sz w:val="24"/>
                <w:szCs w:val="24"/>
                <w:color w:val="auto"/>
              </w:rPr>
            </w:pPr>
          </w:p>
        </w:tc>
        <w:tc>
          <w:tcPr>
            <w:tcW w:w="12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79"/>
              </w:rPr>
              <w:t>1</w:t>
            </w:r>
          </w:p>
        </w:tc>
        <w:tc>
          <w:tcPr>
            <w:tcW w:w="320" w:type="dxa"/>
            <w:vAlign w:val="bottom"/>
          </w:tcPr>
          <w:p>
            <w:pPr>
              <w:spacing w:after="0"/>
              <w:rPr>
                <w:sz w:val="24"/>
                <w:szCs w:val="24"/>
                <w:color w:val="auto"/>
              </w:rPr>
            </w:pPr>
          </w:p>
        </w:tc>
        <w:tc>
          <w:tcPr>
            <w:tcW w:w="1960" w:type="dxa"/>
            <w:vAlign w:val="bottom"/>
            <w:tcBorders>
              <w:bottom w:val="single" w:sz="8" w:color="0000EE"/>
            </w:tcBorders>
            <w:gridSpan w:val="10"/>
          </w:tcPr>
          <w:p>
            <w:pPr>
              <w:spacing w:after="0"/>
              <w:rPr>
                <w:sz w:val="20"/>
                <w:szCs w:val="20"/>
                <w:color w:val="auto"/>
              </w:rPr>
            </w:pPr>
            <w:r>
              <w:rPr>
                <w:rFonts w:ascii="Arial" w:cs="Arial" w:eastAsia="Arial" w:hAnsi="Arial"/>
                <w:sz w:val="22"/>
                <w:szCs w:val="22"/>
                <w:b w:val="1"/>
                <w:bCs w:val="1"/>
                <w:color w:val="0000EE"/>
                <w:w w:val="97"/>
              </w:rPr>
              <w:t>FISCAL YEAR END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vMerge w:val="restart"/>
          </w:tcPr>
          <w:p>
            <w:pPr>
              <w:spacing w:after="0"/>
              <w:rPr>
                <w:sz w:val="24"/>
                <w:szCs w:val="24"/>
                <w:color w:val="auto"/>
              </w:rPr>
            </w:pPr>
          </w:p>
        </w:tc>
        <w:tc>
          <w:tcPr>
            <w:tcW w:w="20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b w:val="1"/>
                <w:bCs w:val="1"/>
                <w:color w:val="0000EE"/>
                <w:w w:val="99"/>
              </w:rPr>
              <w:t>13</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0" w:type="dxa"/>
            <w:vAlign w:val="bottom"/>
            <w:vMerge w:val="continue"/>
          </w:tcPr>
          <w:p>
            <w:pPr>
              <w:spacing w:after="0"/>
              <w:rPr>
                <w:sz w:val="2"/>
                <w:szCs w:val="2"/>
                <w:color w:val="auto"/>
              </w:rPr>
            </w:pPr>
          </w:p>
        </w:tc>
        <w:tc>
          <w:tcPr>
            <w:tcW w:w="120" w:type="dxa"/>
            <w:vAlign w:val="bottom"/>
            <w:tcBorders>
              <w:bottom w:val="single" w:sz="8" w:color="0000EE"/>
            </w:tcBorders>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 w:type="dxa"/>
            <w:vAlign w:val="bottom"/>
            <w:gridSpan w:val="2"/>
          </w:tcPr>
          <w:p>
            <w:pPr>
              <w:spacing w:after="0"/>
              <w:rPr>
                <w:sz w:val="20"/>
                <w:szCs w:val="20"/>
                <w:color w:val="auto"/>
              </w:rPr>
            </w:pPr>
          </w:p>
        </w:tc>
        <w:tc>
          <w:tcPr>
            <w:tcW w:w="10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71"/>
              </w:rPr>
              <w:t>1</w:t>
            </w:r>
          </w:p>
        </w:tc>
        <w:tc>
          <w:tcPr>
            <w:tcW w:w="320" w:type="dxa"/>
            <w:vAlign w:val="bottom"/>
          </w:tcPr>
          <w:p>
            <w:pPr>
              <w:spacing w:after="0"/>
              <w:rPr>
                <w:sz w:val="20"/>
                <w:szCs w:val="20"/>
                <w:color w:val="auto"/>
              </w:rPr>
            </w:pPr>
          </w:p>
        </w:tc>
        <w:tc>
          <w:tcPr>
            <w:tcW w:w="3360" w:type="dxa"/>
            <w:vAlign w:val="bottom"/>
            <w:gridSpan w:val="20"/>
            <w:vMerge w:val="restart"/>
          </w:tcPr>
          <w:p>
            <w:pPr>
              <w:spacing w:after="0"/>
              <w:rPr>
                <w:sz w:val="20"/>
                <w:szCs w:val="20"/>
                <w:color w:val="auto"/>
              </w:rPr>
            </w:pPr>
            <w:r>
              <w:rPr>
                <w:rFonts w:ascii="Arial" w:cs="Arial" w:eastAsia="Arial" w:hAnsi="Arial"/>
                <w:sz w:val="22"/>
                <w:szCs w:val="22"/>
                <w:b w:val="1"/>
                <w:bCs w:val="1"/>
                <w:color w:val="0000EE"/>
                <w:w w:val="98"/>
              </w:rPr>
              <w:t>PROPOSAL ONE: ELECTION OF</w:t>
            </w:r>
          </w:p>
        </w:tc>
        <w:tc>
          <w:tcPr>
            <w:tcW w:w="400" w:type="dxa"/>
            <w:vAlign w:val="bottom"/>
            <w:gridSpan w:val="5"/>
            <w:vMerge w:val="restart"/>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80" w:type="dxa"/>
            <w:vAlign w:val="bottom"/>
            <w:gridSpan w:val="2"/>
            <w:vMerge w:val="restart"/>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1</w:t>
            </w:r>
          </w:p>
        </w:tc>
        <w:tc>
          <w:tcPr>
            <w:tcW w:w="320" w:type="dxa"/>
            <w:vAlign w:val="bottom"/>
          </w:tcPr>
          <w:p>
            <w:pPr>
              <w:spacing w:after="0"/>
              <w:rPr>
                <w:sz w:val="7"/>
                <w:szCs w:val="7"/>
                <w:color w:val="auto"/>
              </w:rPr>
            </w:pPr>
          </w:p>
        </w:tc>
        <w:tc>
          <w:tcPr>
            <w:tcW w:w="3360" w:type="dxa"/>
            <w:vAlign w:val="bottom"/>
            <w:tcBorders>
              <w:bottom w:val="single" w:sz="8" w:color="0000EE"/>
            </w:tcBorders>
            <w:gridSpan w:val="20"/>
            <w:vMerge w:val="continue"/>
          </w:tcPr>
          <w:p>
            <w:pPr>
              <w:spacing w:after="0"/>
              <w:rPr>
                <w:sz w:val="7"/>
                <w:szCs w:val="7"/>
                <w:color w:val="auto"/>
              </w:rPr>
            </w:pPr>
          </w:p>
        </w:tc>
        <w:tc>
          <w:tcPr>
            <w:tcW w:w="400" w:type="dxa"/>
            <w:vAlign w:val="bottom"/>
            <w:gridSpan w:val="5"/>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gridSpan w:val="2"/>
            <w:vMerge w:val="continue"/>
          </w:tcPr>
          <w:p>
            <w:pPr>
              <w:spacing w:after="0"/>
              <w:rPr>
                <w:sz w:val="8"/>
                <w:szCs w:val="8"/>
                <w:color w:val="auto"/>
              </w:rPr>
            </w:pPr>
          </w:p>
        </w:tc>
        <w:tc>
          <w:tcPr>
            <w:tcW w:w="100" w:type="dxa"/>
            <w:vAlign w:val="bottom"/>
            <w:tcBorders>
              <w:bottom w:val="single" w:sz="8" w:color="0000EE"/>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3760" w:type="dxa"/>
            <w:vAlign w:val="bottom"/>
            <w:gridSpan w:val="25"/>
            <w:vMerge w:val="restart"/>
          </w:tcPr>
          <w:p>
            <w:pPr>
              <w:spacing w:after="0" w:line="223" w:lineRule="exact"/>
              <w:rPr>
                <w:sz w:val="20"/>
                <w:szCs w:val="20"/>
                <w:color w:val="auto"/>
              </w:rPr>
            </w:pPr>
            <w:r>
              <w:rPr>
                <w:rFonts w:ascii="Arial" w:cs="Arial" w:eastAsia="Arial" w:hAnsi="Arial"/>
                <w:sz w:val="22"/>
                <w:szCs w:val="22"/>
                <w:b w:val="1"/>
                <w:bCs w:val="1"/>
                <w:color w:val="0000EE"/>
              </w:rPr>
              <w:t>DIRECTORS</w:t>
            </w:r>
          </w:p>
        </w:tc>
        <w:tc>
          <w:tcPr>
            <w:tcW w:w="700" w:type="dxa"/>
            <w:vAlign w:val="bottom"/>
            <w:gridSpan w:val="5"/>
            <w:vMerge w:val="restart"/>
          </w:tcPr>
          <w:p>
            <w:pPr>
              <w:jc w:val="center"/>
              <w:ind w:left="378"/>
              <w:spacing w:after="0"/>
              <w:rPr>
                <w:sz w:val="20"/>
                <w:szCs w:val="20"/>
                <w:color w:val="auto"/>
              </w:rPr>
            </w:pPr>
            <w:r>
              <w:rPr>
                <w:rFonts w:ascii="Arial" w:cs="Arial" w:eastAsia="Arial" w:hAnsi="Arial"/>
                <w:sz w:val="18"/>
                <w:szCs w:val="18"/>
                <w:b w:val="1"/>
                <w:bCs w:val="1"/>
                <w:color w:val="0000EE"/>
                <w:w w:val="99"/>
              </w:rPr>
              <w:t>14</w:t>
            </w:r>
          </w:p>
        </w:tc>
        <w:tc>
          <w:tcPr>
            <w:tcW w:w="0" w:type="dxa"/>
            <w:vAlign w:val="bottom"/>
          </w:tcPr>
          <w:p>
            <w:pPr>
              <w:spacing w:after="0"/>
              <w:rPr>
                <w:sz w:val="1"/>
                <w:szCs w:val="1"/>
                <w:color w:val="auto"/>
              </w:rPr>
            </w:pPr>
          </w:p>
        </w:tc>
      </w:tr>
      <w:tr>
        <w:trPr>
          <w:trHeight w:val="122"/>
        </w:trPr>
        <w:tc>
          <w:tcPr>
            <w:tcW w:w="80" w:type="dxa"/>
            <w:vAlign w:val="bottom"/>
            <w:gridSpan w:val="2"/>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2</w:t>
            </w:r>
          </w:p>
        </w:tc>
        <w:tc>
          <w:tcPr>
            <w:tcW w:w="320" w:type="dxa"/>
            <w:vAlign w:val="bottom"/>
          </w:tcPr>
          <w:p>
            <w:pPr>
              <w:spacing w:after="0"/>
              <w:rPr>
                <w:sz w:val="10"/>
                <w:szCs w:val="10"/>
                <w:color w:val="auto"/>
              </w:rPr>
            </w:pPr>
          </w:p>
        </w:tc>
        <w:tc>
          <w:tcPr>
            <w:tcW w:w="3760" w:type="dxa"/>
            <w:vAlign w:val="bottom"/>
            <w:gridSpan w:val="25"/>
            <w:vMerge w:val="continue"/>
          </w:tcPr>
          <w:p>
            <w:pPr>
              <w:spacing w:after="0"/>
              <w:rPr>
                <w:sz w:val="10"/>
                <w:szCs w:val="10"/>
                <w:color w:val="auto"/>
              </w:rPr>
            </w:pPr>
          </w:p>
        </w:tc>
        <w:tc>
          <w:tcPr>
            <w:tcW w:w="7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8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80" w:type="dxa"/>
            <w:vAlign w:val="bottom"/>
            <w:gridSpan w:val="2"/>
            <w:vMerge w:val="continue"/>
          </w:tcPr>
          <w:p>
            <w:pPr>
              <w:spacing w:after="0" w:line="20" w:lineRule="exact"/>
              <w:rPr>
                <w:sz w:val="1"/>
                <w:szCs w:val="1"/>
                <w:color w:val="auto"/>
              </w:rPr>
            </w:pPr>
          </w:p>
        </w:tc>
        <w:tc>
          <w:tcPr>
            <w:tcW w:w="100" w:type="dxa"/>
            <w:vAlign w:val="bottom"/>
            <w:tcBorders>
              <w:bottom w:val="single" w:sz="8" w:color="0000EE"/>
            </w:tcBorders>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spacing w:after="0" w:line="183" w:lineRule="exact"/>
              <w:rPr>
                <w:sz w:val="20"/>
                <w:szCs w:val="20"/>
                <w:color w:val="auto"/>
              </w:rPr>
            </w:pPr>
            <w:r>
              <w:rPr>
                <w:rFonts w:ascii="Arial" w:cs="Arial" w:eastAsia="Arial" w:hAnsi="Arial"/>
                <w:sz w:val="16"/>
                <w:szCs w:val="16"/>
                <w:color w:val="0000EE"/>
                <w:w w:val="98"/>
              </w:rPr>
              <w:t>General</w:t>
            </w:r>
          </w:p>
        </w:tc>
        <w:tc>
          <w:tcPr>
            <w:tcW w:w="2880" w:type="dxa"/>
            <w:vAlign w:val="bottom"/>
            <w:gridSpan w:val="23"/>
            <w:vMerge w:val="restart"/>
          </w:tcPr>
          <w:p>
            <w:pPr>
              <w:spacing w:after="0" w:line="20" w:lineRule="exact"/>
              <w:rPr>
                <w:sz w:val="1"/>
                <w:szCs w:val="1"/>
                <w:color w:val="auto"/>
              </w:rPr>
            </w:pPr>
          </w:p>
        </w:tc>
        <w:tc>
          <w:tcPr>
            <w:tcW w:w="660" w:type="dxa"/>
            <w:vAlign w:val="bottom"/>
            <w:gridSpan w:val="3"/>
            <w:vMerge w:val="restart"/>
          </w:tcPr>
          <w:p>
            <w:pPr>
              <w:jc w:val="center"/>
              <w:ind w:left="398"/>
              <w:spacing w:after="0" w:line="183" w:lineRule="exact"/>
              <w:rPr>
                <w:sz w:val="20"/>
                <w:szCs w:val="20"/>
                <w:color w:val="auto"/>
              </w:rPr>
            </w:pPr>
            <w:r>
              <w:rPr>
                <w:rFonts w:ascii="Arial" w:cs="Arial" w:eastAsia="Arial" w:hAnsi="Arial"/>
                <w:sz w:val="16"/>
                <w:szCs w:val="16"/>
                <w:color w:val="0000EE"/>
              </w:rPr>
              <w:t>14</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0" w:type="dxa"/>
            <w:vAlign w:val="bottom"/>
            <w:gridSpan w:val="2"/>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80" w:type="dxa"/>
            <w:vAlign w:val="bottom"/>
            <w:gridSpan w:val="23"/>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80" w:type="dxa"/>
            <w:vAlign w:val="bottom"/>
            <w:gridSpan w:val="2"/>
            <w:vMerge w:val="continue"/>
          </w:tcPr>
          <w:p>
            <w:pPr>
              <w:spacing w:after="0"/>
              <w:rPr>
                <w:sz w:val="4"/>
                <w:szCs w:val="4"/>
                <w:color w:val="auto"/>
              </w:rPr>
            </w:pPr>
          </w:p>
        </w:tc>
        <w:tc>
          <w:tcPr>
            <w:tcW w:w="100" w:type="dxa"/>
            <w:vAlign w:val="bottom"/>
            <w:tcBorders>
              <w:bottom w:val="single" w:sz="8" w:color="0000EE"/>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60" w:type="dxa"/>
            <w:vAlign w:val="bottom"/>
            <w:gridSpan w:val="24"/>
            <w:vMerge w:val="restart"/>
          </w:tcPr>
          <w:p>
            <w:pPr>
              <w:spacing w:after="0"/>
              <w:rPr>
                <w:sz w:val="20"/>
                <w:szCs w:val="20"/>
                <w:color w:val="auto"/>
              </w:rPr>
            </w:pPr>
            <w:r>
              <w:rPr>
                <w:rFonts w:ascii="Arial" w:cs="Arial" w:eastAsia="Arial" w:hAnsi="Arial"/>
                <w:sz w:val="16"/>
                <w:szCs w:val="16"/>
                <w:color w:val="0000EE"/>
              </w:rPr>
              <w:t>Nominees for Director</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14</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4</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60" w:type="dxa"/>
            <w:vAlign w:val="bottom"/>
            <w:gridSpan w:val="24"/>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8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60" w:type="dxa"/>
            <w:vAlign w:val="bottom"/>
            <w:gridSpan w:val="24"/>
            <w:vMerge w:val="restart"/>
          </w:tcPr>
          <w:p>
            <w:pPr>
              <w:spacing w:after="0"/>
              <w:rPr>
                <w:sz w:val="20"/>
                <w:szCs w:val="20"/>
                <w:color w:val="auto"/>
              </w:rPr>
            </w:pPr>
            <w:r>
              <w:rPr>
                <w:rFonts w:ascii="Arial" w:cs="Arial" w:eastAsia="Arial" w:hAnsi="Arial"/>
                <w:sz w:val="16"/>
                <w:szCs w:val="16"/>
                <w:color w:val="0000EE"/>
              </w:rPr>
              <w:t>Recommendation of the Board of Directors</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14</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60" w:type="dxa"/>
            <w:vAlign w:val="bottom"/>
            <w:gridSpan w:val="24"/>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19"/>
          </w:tcPr>
          <w:p>
            <w:pPr>
              <w:spacing w:after="0"/>
              <w:rPr>
                <w:sz w:val="20"/>
                <w:szCs w:val="20"/>
                <w:color w:val="auto"/>
              </w:rPr>
            </w:pPr>
            <w:r>
              <w:rPr>
                <w:rFonts w:ascii="Arial" w:cs="Arial" w:eastAsia="Arial" w:hAnsi="Arial"/>
                <w:sz w:val="16"/>
                <w:szCs w:val="16"/>
                <w:color w:val="0000EE"/>
              </w:rPr>
              <w:t>Biographical Information</w:t>
            </w:r>
          </w:p>
        </w:tc>
        <w:tc>
          <w:tcPr>
            <w:tcW w:w="400" w:type="dxa"/>
            <w:vAlign w:val="bottom"/>
            <w:gridSpan w:val="5"/>
          </w:tcPr>
          <w:p>
            <w:pPr>
              <w:spacing w:after="0"/>
              <w:rPr>
                <w:sz w:val="18"/>
                <w:szCs w:val="18"/>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 w:type="dxa"/>
            <w:vAlign w:val="bottom"/>
            <w:vMerge w:val="restart"/>
          </w:tcPr>
          <w:p>
            <w:pPr>
              <w:spacing w:after="0"/>
              <w:rPr>
                <w:sz w:val="24"/>
                <w:szCs w:val="24"/>
                <w:color w:val="auto"/>
              </w:rPr>
            </w:pPr>
          </w:p>
        </w:tc>
        <w:tc>
          <w:tcPr>
            <w:tcW w:w="12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79"/>
              </w:rPr>
              <w:t>7</w:t>
            </w:r>
          </w:p>
        </w:tc>
        <w:tc>
          <w:tcPr>
            <w:tcW w:w="320" w:type="dxa"/>
            <w:vAlign w:val="bottom"/>
          </w:tcPr>
          <w:p>
            <w:pPr>
              <w:spacing w:after="0"/>
              <w:rPr>
                <w:sz w:val="24"/>
                <w:szCs w:val="24"/>
                <w:color w:val="auto"/>
              </w:rPr>
            </w:pPr>
          </w:p>
        </w:tc>
        <w:tc>
          <w:tcPr>
            <w:tcW w:w="3760" w:type="dxa"/>
            <w:vAlign w:val="bottom"/>
            <w:gridSpan w:val="25"/>
          </w:tcPr>
          <w:p>
            <w:pPr>
              <w:spacing w:after="0"/>
              <w:rPr>
                <w:sz w:val="20"/>
                <w:szCs w:val="20"/>
                <w:color w:val="auto"/>
              </w:rPr>
            </w:pPr>
            <w:r>
              <w:rPr>
                <w:rFonts w:ascii="Arial" w:cs="Arial" w:eastAsia="Arial" w:hAnsi="Arial"/>
                <w:sz w:val="22"/>
                <w:szCs w:val="22"/>
                <w:b w:val="1"/>
                <w:bCs w:val="1"/>
                <w:color w:val="0000EE"/>
              </w:rPr>
              <w:t>DIRECTOR COMPENSATION</w:t>
            </w:r>
          </w:p>
        </w:tc>
        <w:tc>
          <w:tcPr>
            <w:tcW w:w="700" w:type="dxa"/>
            <w:vAlign w:val="bottom"/>
            <w:gridSpan w:val="5"/>
          </w:tcPr>
          <w:p>
            <w:pPr>
              <w:jc w:val="center"/>
              <w:ind w:left="378"/>
              <w:spacing w:after="0"/>
              <w:rPr>
                <w:sz w:val="20"/>
                <w:szCs w:val="20"/>
                <w:color w:val="auto"/>
              </w:rPr>
            </w:pPr>
            <w:r>
              <w:rPr>
                <w:rFonts w:ascii="Arial" w:cs="Arial" w:eastAsia="Arial" w:hAnsi="Arial"/>
                <w:sz w:val="18"/>
                <w:szCs w:val="18"/>
                <w:b w:val="1"/>
                <w:bCs w:val="1"/>
                <w:color w:val="0000EE"/>
                <w:w w:val="99"/>
              </w:rPr>
              <w:t>19</w:t>
            </w:r>
          </w:p>
        </w:tc>
        <w:tc>
          <w:tcPr>
            <w:tcW w:w="0" w:type="dxa"/>
            <w:vAlign w:val="bottom"/>
          </w:tcPr>
          <w:p>
            <w:pPr>
              <w:spacing w:after="0"/>
              <w:rPr>
                <w:sz w:val="1"/>
                <w:szCs w:val="1"/>
                <w:color w:val="auto"/>
              </w:rPr>
            </w:pPr>
          </w:p>
        </w:tc>
      </w:tr>
      <w:tr>
        <w:trPr>
          <w:trHeight w:val="28"/>
        </w:trPr>
        <w:tc>
          <w:tcPr>
            <w:tcW w:w="60" w:type="dxa"/>
            <w:vAlign w:val="bottom"/>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60" w:type="dxa"/>
            <w:vAlign w:val="bottom"/>
            <w:vMerge w:val="continue"/>
          </w:tcPr>
          <w:p>
            <w:pPr>
              <w:spacing w:after="0" w:line="20" w:lineRule="exact"/>
              <w:rPr>
                <w:sz w:val="1"/>
                <w:szCs w:val="1"/>
                <w:color w:val="auto"/>
              </w:rPr>
            </w:pPr>
          </w:p>
        </w:tc>
        <w:tc>
          <w:tcPr>
            <w:tcW w:w="120" w:type="dxa"/>
            <w:vAlign w:val="bottom"/>
            <w:tcBorders>
              <w:bottom w:val="single" w:sz="8" w:color="0000EE"/>
            </w:tcBorders>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gridSpan w:val="22"/>
            <w:vMerge w:val="restart"/>
          </w:tcPr>
          <w:p>
            <w:pPr>
              <w:spacing w:after="0" w:line="183" w:lineRule="exact"/>
              <w:rPr>
                <w:sz w:val="20"/>
                <w:szCs w:val="20"/>
                <w:color w:val="auto"/>
              </w:rPr>
            </w:pPr>
            <w:r>
              <w:rPr>
                <w:rFonts w:ascii="Arial" w:cs="Arial" w:eastAsia="Arial" w:hAnsi="Arial"/>
                <w:sz w:val="16"/>
                <w:szCs w:val="16"/>
                <w:color w:val="0000EE"/>
              </w:rPr>
              <w:t>Annual Non-Employee Director Compensation</w:t>
            </w:r>
          </w:p>
        </w:tc>
        <w:tc>
          <w:tcPr>
            <w:tcW w:w="140" w:type="dxa"/>
            <w:vAlign w:val="bottom"/>
            <w:gridSpan w:val="2"/>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Borders>
              <w:bottom w:val="single" w:sz="8" w:color="0000EE"/>
            </w:tcBorders>
            <w:gridSpan w:val="2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60" w:type="dxa"/>
            <w:vAlign w:val="bottom"/>
            <w:gridSpan w:val="24"/>
            <w:vMerge w:val="restart"/>
          </w:tcPr>
          <w:p>
            <w:pPr>
              <w:spacing w:after="0" w:line="169" w:lineRule="exact"/>
              <w:rPr>
                <w:sz w:val="20"/>
                <w:szCs w:val="20"/>
                <w:color w:val="auto"/>
              </w:rPr>
            </w:pPr>
            <w:r>
              <w:rPr>
                <w:rFonts w:ascii="Arial" w:cs="Arial" w:eastAsia="Arial" w:hAnsi="Arial"/>
                <w:sz w:val="16"/>
                <w:szCs w:val="16"/>
                <w:color w:val="0000EE"/>
              </w:rPr>
              <w:t>Elements</w:t>
            </w:r>
          </w:p>
        </w:tc>
        <w:tc>
          <w:tcPr>
            <w:tcW w:w="660" w:type="dxa"/>
            <w:vAlign w:val="bottom"/>
            <w:gridSpan w:val="3"/>
            <w:vMerge w:val="restart"/>
          </w:tcPr>
          <w:p>
            <w:pPr>
              <w:jc w:val="center"/>
              <w:ind w:left="398"/>
              <w:spacing w:after="0" w:line="169" w:lineRule="exact"/>
              <w:rPr>
                <w:sz w:val="20"/>
                <w:szCs w:val="20"/>
                <w:color w:val="auto"/>
              </w:rPr>
            </w:pPr>
            <w:r>
              <w:rPr>
                <w:rFonts w:ascii="Arial" w:cs="Arial" w:eastAsia="Arial" w:hAnsi="Arial"/>
                <w:sz w:val="16"/>
                <w:szCs w:val="16"/>
                <w:color w:val="0000EE"/>
              </w:rPr>
              <w:t>19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60" w:type="dxa"/>
            <w:vAlign w:val="bottom"/>
            <w:gridSpan w:val="24"/>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gridSpan w:val="2"/>
            <w:vMerge w:val="restart"/>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18"/>
          </w:tcPr>
          <w:p>
            <w:pPr>
              <w:spacing w:after="0"/>
              <w:rPr>
                <w:sz w:val="20"/>
                <w:szCs w:val="20"/>
                <w:color w:val="auto"/>
              </w:rPr>
            </w:pPr>
            <w:r>
              <w:rPr>
                <w:rFonts w:ascii="Arial" w:cs="Arial" w:eastAsia="Arial" w:hAnsi="Arial"/>
                <w:sz w:val="16"/>
                <w:szCs w:val="16"/>
                <w:color w:val="0000EE"/>
                <w:w w:val="98"/>
              </w:rPr>
              <w:t>Fiscal 2024 Director Compensation Table</w:t>
            </w:r>
          </w:p>
        </w:tc>
        <w:tc>
          <w:tcPr>
            <w:tcW w:w="520" w:type="dxa"/>
            <w:vAlign w:val="bottom"/>
            <w:gridSpan w:val="6"/>
          </w:tcPr>
          <w:p>
            <w:pPr>
              <w:spacing w:after="0"/>
              <w:rPr>
                <w:sz w:val="18"/>
                <w:szCs w:val="18"/>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0" w:type="dxa"/>
            <w:vAlign w:val="bottom"/>
            <w:gridSpan w:val="2"/>
            <w:vMerge w:val="continue"/>
          </w:tcPr>
          <w:p>
            <w:pPr>
              <w:spacing w:after="0"/>
              <w:rPr>
                <w:sz w:val="6"/>
                <w:szCs w:val="6"/>
                <w:color w:val="auto"/>
              </w:rPr>
            </w:pPr>
          </w:p>
        </w:tc>
        <w:tc>
          <w:tcPr>
            <w:tcW w:w="100" w:type="dxa"/>
            <w:vAlign w:val="bottom"/>
            <w:tcBorders>
              <w:bottom w:val="single" w:sz="8" w:color="0000EE"/>
            </w:tcBorders>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40" w:type="dxa"/>
            <w:vAlign w:val="bottom"/>
            <w:gridSpan w:val="18"/>
            <w:vMerge w:val="restart"/>
          </w:tcPr>
          <w:p>
            <w:pPr>
              <w:spacing w:after="0"/>
              <w:rPr>
                <w:sz w:val="20"/>
                <w:szCs w:val="20"/>
                <w:color w:val="auto"/>
              </w:rPr>
            </w:pPr>
            <w:r>
              <w:rPr>
                <w:rFonts w:ascii="Arial" w:cs="Arial" w:eastAsia="Arial" w:hAnsi="Arial"/>
                <w:sz w:val="16"/>
                <w:szCs w:val="16"/>
                <w:color w:val="0000EE"/>
              </w:rPr>
              <w:t>Director Share Ownership Guidelines</w:t>
            </w:r>
          </w:p>
        </w:tc>
        <w:tc>
          <w:tcPr>
            <w:tcW w:w="520" w:type="dxa"/>
            <w:vAlign w:val="bottom"/>
            <w:gridSpan w:val="6"/>
            <w:vMerge w:val="restart"/>
          </w:tcPr>
          <w:p>
            <w:pPr>
              <w:spacing w:after="0"/>
              <w:rPr>
                <w:sz w:val="6"/>
                <w:szCs w:val="6"/>
                <w:color w:val="auto"/>
              </w:rPr>
            </w:pP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21</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7</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40" w:type="dxa"/>
            <w:vAlign w:val="bottom"/>
            <w:gridSpan w:val="18"/>
            <w:vMerge w:val="continue"/>
          </w:tcPr>
          <w:p>
            <w:pPr>
              <w:spacing w:after="0"/>
              <w:rPr>
                <w:sz w:val="10"/>
                <w:szCs w:val="10"/>
                <w:color w:val="auto"/>
              </w:rPr>
            </w:pPr>
          </w:p>
        </w:tc>
        <w:tc>
          <w:tcPr>
            <w:tcW w:w="520" w:type="dxa"/>
            <w:vAlign w:val="bottom"/>
            <w:gridSpan w:val="6"/>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760" w:type="dxa"/>
            <w:vAlign w:val="bottom"/>
            <w:gridSpan w:val="25"/>
            <w:vMerge w:val="restart"/>
          </w:tcPr>
          <w:p>
            <w:pPr>
              <w:spacing w:after="0"/>
              <w:rPr>
                <w:sz w:val="20"/>
                <w:szCs w:val="20"/>
                <w:color w:val="auto"/>
              </w:rPr>
            </w:pPr>
            <w:r>
              <w:rPr>
                <w:rFonts w:ascii="Arial" w:cs="Arial" w:eastAsia="Arial" w:hAnsi="Arial"/>
                <w:sz w:val="22"/>
                <w:szCs w:val="22"/>
                <w:b w:val="1"/>
                <w:bCs w:val="1"/>
                <w:color w:val="0000EE"/>
              </w:rPr>
              <w:t>CORPORATE GOVERNANCE</w:t>
            </w: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25"/>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7</w:t>
            </w:r>
          </w:p>
        </w:tc>
        <w:tc>
          <w:tcPr>
            <w:tcW w:w="320" w:type="dxa"/>
            <w:vAlign w:val="bottom"/>
          </w:tcPr>
          <w:p>
            <w:pPr>
              <w:spacing w:after="0"/>
              <w:rPr>
                <w:sz w:val="21"/>
                <w:szCs w:val="21"/>
                <w:color w:val="auto"/>
              </w:rPr>
            </w:pPr>
          </w:p>
        </w:tc>
        <w:tc>
          <w:tcPr>
            <w:tcW w:w="1040" w:type="dxa"/>
            <w:vAlign w:val="bottom"/>
            <w:tcBorders>
              <w:top w:val="single" w:sz="8" w:color="0000EE"/>
              <w:bottom w:val="single" w:sz="8" w:color="0000EE"/>
            </w:tcBorders>
            <w:gridSpan w:val="4"/>
          </w:tcPr>
          <w:p>
            <w:pPr>
              <w:spacing w:after="0" w:line="209" w:lineRule="exact"/>
              <w:rPr>
                <w:sz w:val="20"/>
                <w:szCs w:val="20"/>
                <w:color w:val="auto"/>
              </w:rPr>
            </w:pPr>
            <w:r>
              <w:rPr>
                <w:rFonts w:ascii="Arial" w:cs="Arial" w:eastAsia="Arial" w:hAnsi="Arial"/>
                <w:sz w:val="22"/>
                <w:szCs w:val="22"/>
                <w:b w:val="1"/>
                <w:bCs w:val="1"/>
                <w:color w:val="0000EE"/>
                <w:w w:val="95"/>
              </w:rPr>
              <w:t>MATTERS</w:t>
            </w:r>
          </w:p>
        </w:tc>
        <w:tc>
          <w:tcPr>
            <w:tcW w:w="140" w:type="dxa"/>
            <w:vAlign w:val="bottom"/>
            <w:tcBorders>
              <w:top w:val="single" w:sz="8" w:color="0000EE"/>
              <w:bottom w:val="single" w:sz="8" w:color="0000EE"/>
            </w:tcBorders>
          </w:tcPr>
          <w:p>
            <w:pPr>
              <w:spacing w:after="0"/>
              <w:rPr>
                <w:sz w:val="21"/>
                <w:szCs w:val="21"/>
                <w:color w:val="auto"/>
              </w:rPr>
            </w:pPr>
          </w:p>
        </w:tc>
        <w:tc>
          <w:tcPr>
            <w:tcW w:w="160" w:type="dxa"/>
            <w:vAlign w:val="bottom"/>
            <w:tcBorders>
              <w:top w:val="single" w:sz="8" w:color="0000EE"/>
              <w:bottom w:val="single" w:sz="8" w:color="0000EE"/>
            </w:tcBorders>
            <w:gridSpan w:val="2"/>
          </w:tcPr>
          <w:p>
            <w:pPr>
              <w:spacing w:after="0"/>
              <w:rPr>
                <w:sz w:val="21"/>
                <w:szCs w:val="21"/>
                <w:color w:val="auto"/>
              </w:rPr>
            </w:pPr>
          </w:p>
        </w:tc>
        <w:tc>
          <w:tcPr>
            <w:tcW w:w="500" w:type="dxa"/>
            <w:vAlign w:val="bottom"/>
            <w:tcBorders>
              <w:top w:val="single" w:sz="8" w:color="0000EE"/>
              <w:bottom w:val="single" w:sz="8" w:color="0000EE"/>
            </w:tcBorders>
          </w:tcPr>
          <w:p>
            <w:pPr>
              <w:spacing w:after="0"/>
              <w:rPr>
                <w:sz w:val="21"/>
                <w:szCs w:val="21"/>
                <w:color w:val="auto"/>
              </w:rPr>
            </w:pPr>
          </w:p>
        </w:tc>
        <w:tc>
          <w:tcPr>
            <w:tcW w:w="100" w:type="dxa"/>
            <w:vAlign w:val="bottom"/>
            <w:tcBorders>
              <w:top w:val="single" w:sz="8" w:color="0000EE"/>
              <w:bottom w:val="single" w:sz="8" w:color="0000EE"/>
            </w:tcBorders>
          </w:tcPr>
          <w:p>
            <w:pPr>
              <w:spacing w:after="0"/>
              <w:rPr>
                <w:sz w:val="21"/>
                <w:szCs w:val="21"/>
                <w:color w:val="auto"/>
              </w:rPr>
            </w:pPr>
          </w:p>
        </w:tc>
        <w:tc>
          <w:tcPr>
            <w:tcW w:w="100" w:type="dxa"/>
            <w:vAlign w:val="bottom"/>
            <w:tcBorders>
              <w:top w:val="single" w:sz="8" w:color="0000EE"/>
              <w:bottom w:val="single" w:sz="8" w:color="0000EE"/>
            </w:tcBorders>
            <w:gridSpan w:val="2"/>
          </w:tcPr>
          <w:p>
            <w:pPr>
              <w:spacing w:after="0"/>
              <w:rPr>
                <w:sz w:val="21"/>
                <w:szCs w:val="21"/>
                <w:color w:val="auto"/>
              </w:rPr>
            </w:pPr>
          </w:p>
        </w:tc>
        <w:tc>
          <w:tcPr>
            <w:tcW w:w="180" w:type="dxa"/>
            <w:vAlign w:val="bottom"/>
            <w:tcBorders>
              <w:top w:val="single" w:sz="8" w:color="0000EE"/>
              <w:bottom w:val="single" w:sz="8" w:color="0000EE"/>
            </w:tcBorders>
          </w:tcPr>
          <w:p>
            <w:pPr>
              <w:spacing w:after="0"/>
              <w:rPr>
                <w:sz w:val="21"/>
                <w:szCs w:val="21"/>
                <w:color w:val="auto"/>
              </w:rPr>
            </w:pPr>
          </w:p>
        </w:tc>
        <w:tc>
          <w:tcPr>
            <w:tcW w:w="140" w:type="dxa"/>
            <w:vAlign w:val="bottom"/>
            <w:tcBorders>
              <w:top w:val="single" w:sz="8" w:color="0000EE"/>
              <w:bottom w:val="single" w:sz="8" w:color="0000EE"/>
            </w:tcBorders>
          </w:tcPr>
          <w:p>
            <w:pPr>
              <w:spacing w:after="0"/>
              <w:rPr>
                <w:sz w:val="21"/>
                <w:szCs w:val="21"/>
                <w:color w:val="auto"/>
              </w:rPr>
            </w:pPr>
          </w:p>
        </w:tc>
        <w:tc>
          <w:tcPr>
            <w:tcW w:w="300" w:type="dxa"/>
            <w:vAlign w:val="bottom"/>
            <w:tcBorders>
              <w:top w:val="single" w:sz="8" w:color="0000EE"/>
              <w:bottom w:val="single" w:sz="8" w:color="0000EE"/>
            </w:tcBorders>
          </w:tcPr>
          <w:p>
            <w:pPr>
              <w:spacing w:after="0"/>
              <w:rPr>
                <w:sz w:val="21"/>
                <w:szCs w:val="21"/>
                <w:color w:val="auto"/>
              </w:rPr>
            </w:pPr>
          </w:p>
        </w:tc>
        <w:tc>
          <w:tcPr>
            <w:tcW w:w="100" w:type="dxa"/>
            <w:vAlign w:val="bottom"/>
            <w:tcBorders>
              <w:top w:val="single" w:sz="8" w:color="0000EE"/>
              <w:bottom w:val="single" w:sz="8" w:color="0000EE"/>
            </w:tcBorders>
          </w:tcPr>
          <w:p>
            <w:pPr>
              <w:spacing w:after="0"/>
              <w:rPr>
                <w:sz w:val="21"/>
                <w:szCs w:val="21"/>
                <w:color w:val="auto"/>
              </w:rPr>
            </w:pPr>
          </w:p>
        </w:tc>
        <w:tc>
          <w:tcPr>
            <w:tcW w:w="220" w:type="dxa"/>
            <w:vAlign w:val="bottom"/>
            <w:tcBorders>
              <w:top w:val="single" w:sz="8" w:color="0000EE"/>
              <w:bottom w:val="single" w:sz="8" w:color="0000EE"/>
            </w:tcBorders>
            <w:gridSpan w:val="2"/>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vMerge w:val="restart"/>
          </w:tcPr>
          <w:p>
            <w:pPr>
              <w:spacing w:after="0"/>
              <w:rPr>
                <w:sz w:val="21"/>
                <w:szCs w:val="21"/>
                <w:color w:val="auto"/>
              </w:rPr>
            </w:pPr>
          </w:p>
        </w:tc>
        <w:tc>
          <w:tcPr>
            <w:tcW w:w="20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b w:val="1"/>
                <w:bCs w:val="1"/>
                <w:color w:val="0000EE"/>
                <w:w w:val="99"/>
              </w:rPr>
              <w:t>22</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8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14"/>
          </w:tcPr>
          <w:p>
            <w:pPr>
              <w:spacing w:after="0" w:line="183" w:lineRule="exact"/>
              <w:rPr>
                <w:sz w:val="20"/>
                <w:szCs w:val="20"/>
                <w:color w:val="auto"/>
              </w:rPr>
            </w:pPr>
            <w:r>
              <w:rPr>
                <w:rFonts w:ascii="Arial" w:cs="Arial" w:eastAsia="Arial" w:hAnsi="Arial"/>
                <w:sz w:val="16"/>
                <w:szCs w:val="16"/>
                <w:color w:val="0000EE"/>
              </w:rPr>
              <w:t>Corporate Governance Guidelines</w:t>
            </w:r>
          </w:p>
        </w:tc>
        <w:tc>
          <w:tcPr>
            <w:tcW w:w="1000" w:type="dxa"/>
            <w:vAlign w:val="bottom"/>
            <w:tcBorders>
              <w:top w:val="single" w:sz="8" w:color="auto"/>
            </w:tcBorders>
            <w:gridSpan w:val="10"/>
          </w:tcPr>
          <w:p>
            <w:pPr>
              <w:spacing w:after="0"/>
              <w:rPr>
                <w:sz w:val="15"/>
                <w:szCs w:val="15"/>
                <w:color w:val="auto"/>
              </w:rPr>
            </w:pPr>
          </w:p>
        </w:tc>
        <w:tc>
          <w:tcPr>
            <w:tcW w:w="660" w:type="dxa"/>
            <w:vAlign w:val="bottom"/>
            <w:tcBorders>
              <w:top w:val="single" w:sz="8" w:color="auto"/>
            </w:tcBorders>
            <w:gridSpan w:val="3"/>
          </w:tcPr>
          <w:p>
            <w:pPr>
              <w:jc w:val="center"/>
              <w:ind w:left="398"/>
              <w:spacing w:after="0" w:line="183" w:lineRule="exact"/>
              <w:rPr>
                <w:sz w:val="20"/>
                <w:szCs w:val="20"/>
                <w:color w:val="auto"/>
              </w:rPr>
            </w:pPr>
            <w:r>
              <w:rPr>
                <w:rFonts w:ascii="Arial" w:cs="Arial" w:eastAsia="Arial" w:hAnsi="Arial"/>
                <w:sz w:val="16"/>
                <w:szCs w:val="16"/>
                <w:color w:val="0000EE"/>
              </w:rPr>
              <w:t>22</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8</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11"/>
          </w:tcPr>
          <w:p>
            <w:pPr>
              <w:spacing w:after="0" w:line="183" w:lineRule="exact"/>
              <w:rPr>
                <w:sz w:val="20"/>
                <w:szCs w:val="20"/>
                <w:color w:val="auto"/>
              </w:rPr>
            </w:pPr>
            <w:r>
              <w:rPr>
                <w:rFonts w:ascii="Arial" w:cs="Arial" w:eastAsia="Arial" w:hAnsi="Arial"/>
                <w:sz w:val="16"/>
                <w:szCs w:val="16"/>
                <w:color w:val="0000EE"/>
                <w:w w:val="99"/>
              </w:rPr>
              <w:t>Code of Business Conduct</w:t>
            </w:r>
          </w:p>
        </w:tc>
        <w:tc>
          <w:tcPr>
            <w:tcW w:w="540" w:type="dxa"/>
            <w:vAlign w:val="bottom"/>
            <w:gridSpan w:val="3"/>
          </w:tcPr>
          <w:p>
            <w:pPr>
              <w:spacing w:after="0"/>
              <w:rPr>
                <w:sz w:val="17"/>
                <w:szCs w:val="17"/>
                <w:color w:val="auto"/>
              </w:rPr>
            </w:pPr>
          </w:p>
        </w:tc>
        <w:tc>
          <w:tcPr>
            <w:tcW w:w="1000" w:type="dxa"/>
            <w:vAlign w:val="bottom"/>
            <w:gridSpan w:val="10"/>
          </w:tcPr>
          <w:p>
            <w:pPr>
              <w:spacing w:after="0"/>
              <w:rPr>
                <w:sz w:val="17"/>
                <w:szCs w:val="17"/>
                <w:color w:val="auto"/>
              </w:rPr>
            </w:pPr>
          </w:p>
        </w:tc>
        <w:tc>
          <w:tcPr>
            <w:tcW w:w="660" w:type="dxa"/>
            <w:vAlign w:val="bottom"/>
            <w:gridSpan w:val="3"/>
          </w:tcPr>
          <w:p>
            <w:pPr>
              <w:jc w:val="center"/>
              <w:ind w:left="398"/>
              <w:spacing w:after="0" w:line="183" w:lineRule="exact"/>
              <w:rPr>
                <w:sz w:val="20"/>
                <w:szCs w:val="20"/>
                <w:color w:val="auto"/>
              </w:rPr>
            </w:pPr>
            <w:r>
              <w:rPr>
                <w:rFonts w:ascii="Arial" w:cs="Arial" w:eastAsia="Arial" w:hAnsi="Arial"/>
                <w:sz w:val="16"/>
                <w:szCs w:val="16"/>
                <w:color w:val="0000EE"/>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gridSpan w:val="4"/>
            <w:shd w:val="clear" w:color="auto" w:fill="0000EE"/>
          </w:tcPr>
          <w:p>
            <w:pPr>
              <w:spacing w:after="0"/>
              <w:rPr>
                <w:sz w:val="2"/>
                <w:szCs w:val="2"/>
                <w:color w:val="auto"/>
              </w:rPr>
            </w:pPr>
          </w:p>
        </w:tc>
        <w:tc>
          <w:tcPr>
            <w:tcW w:w="160" w:type="dxa"/>
            <w:vAlign w:val="bottom"/>
            <w:tcBorders>
              <w:left w:val="single" w:sz="8" w:color="0000EE"/>
            </w:tcBorders>
            <w:gridSpan w:val="2"/>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gridSpan w:val="2"/>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gridSpan w:val="2"/>
            <w:vMerge w:val="restart"/>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4"/>
          </w:tcPr>
          <w:p>
            <w:pPr>
              <w:spacing w:after="0"/>
              <w:rPr>
                <w:sz w:val="20"/>
                <w:szCs w:val="20"/>
                <w:color w:val="auto"/>
              </w:rPr>
            </w:pPr>
            <w:r>
              <w:rPr>
                <w:rFonts w:ascii="Arial" w:cs="Arial" w:eastAsia="Arial" w:hAnsi="Arial"/>
                <w:sz w:val="16"/>
                <w:szCs w:val="16"/>
                <w:color w:val="0000EE"/>
              </w:rPr>
              <w:t>Majority Voting Director Resignation Policy in</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top w:val="single" w:sz="8" w:color="0000EE"/>
            </w:tcBorders>
            <w:gridSpan w:val="21"/>
          </w:tcPr>
          <w:p>
            <w:pPr>
              <w:spacing w:after="0" w:line="142" w:lineRule="exact"/>
              <w:rPr>
                <w:sz w:val="20"/>
                <w:szCs w:val="20"/>
                <w:color w:val="auto"/>
              </w:rPr>
            </w:pPr>
            <w:r>
              <w:rPr>
                <w:rFonts w:ascii="Arial" w:cs="Arial" w:eastAsia="Arial" w:hAnsi="Arial"/>
                <w:sz w:val="16"/>
                <w:szCs w:val="16"/>
                <w:color w:val="0000EE"/>
              </w:rPr>
              <w:t>Uncontested Elections</w:t>
            </w: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gridSpan w:val="4"/>
            <w:shd w:val="clear" w:color="auto" w:fill="0000EE"/>
          </w:tcPr>
          <w:p>
            <w:pPr>
              <w:spacing w:after="0"/>
              <w:rPr>
                <w:sz w:val="2"/>
                <w:szCs w:val="2"/>
                <w:color w:val="auto"/>
              </w:rPr>
            </w:pPr>
          </w:p>
        </w:tc>
        <w:tc>
          <w:tcPr>
            <w:tcW w:w="160" w:type="dxa"/>
            <w:vAlign w:val="bottom"/>
            <w:tcBorders>
              <w:left w:val="single" w:sz="8" w:color="0000EE"/>
            </w:tcBorders>
            <w:gridSpan w:val="2"/>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gridSpan w:val="2"/>
            <w:vMerge w:val="restart"/>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0000EE"/>
                <w:w w:val="71"/>
              </w:rPr>
              <w:t>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11"/>
          </w:tcPr>
          <w:p>
            <w:pPr>
              <w:spacing w:after="0"/>
              <w:rPr>
                <w:sz w:val="20"/>
                <w:szCs w:val="20"/>
                <w:color w:val="auto"/>
              </w:rPr>
            </w:pPr>
            <w:r>
              <w:rPr>
                <w:rFonts w:ascii="Arial" w:cs="Arial" w:eastAsia="Arial" w:hAnsi="Arial"/>
                <w:sz w:val="16"/>
                <w:szCs w:val="16"/>
                <w:color w:val="0000EE"/>
                <w:w w:val="96"/>
              </w:rPr>
              <w:t>Board Leadership Structure</w:t>
            </w:r>
          </w:p>
        </w:tc>
        <w:tc>
          <w:tcPr>
            <w:tcW w:w="1540" w:type="dxa"/>
            <w:vAlign w:val="bottom"/>
            <w:gridSpan w:val="13"/>
          </w:tcPr>
          <w:p>
            <w:pPr>
              <w:spacing w:after="0"/>
              <w:rPr>
                <w:sz w:val="18"/>
                <w:szCs w:val="18"/>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gridSpan w:val="2"/>
            <w:vMerge w:val="continue"/>
          </w:tcPr>
          <w:p>
            <w:pPr>
              <w:spacing w:after="0"/>
              <w:rPr>
                <w:sz w:val="13"/>
                <w:szCs w:val="13"/>
                <w:color w:val="auto"/>
              </w:rPr>
            </w:pPr>
          </w:p>
        </w:tc>
        <w:tc>
          <w:tcPr>
            <w:tcW w:w="100" w:type="dxa"/>
            <w:vAlign w:val="bottom"/>
            <w:tcBorders>
              <w:bottom w:val="single" w:sz="8" w:color="0000EE"/>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11"/>
            <w:vMerge w:val="restart"/>
          </w:tcPr>
          <w:p>
            <w:pPr>
              <w:spacing w:after="0"/>
              <w:rPr>
                <w:sz w:val="20"/>
                <w:szCs w:val="20"/>
                <w:color w:val="auto"/>
              </w:rPr>
            </w:pPr>
            <w:r>
              <w:rPr>
                <w:rFonts w:ascii="Arial" w:cs="Arial" w:eastAsia="Arial" w:hAnsi="Arial"/>
                <w:sz w:val="16"/>
                <w:szCs w:val="16"/>
                <w:color w:val="0000EE"/>
              </w:rPr>
              <w:t>Risk Oversight</w:t>
            </w:r>
          </w:p>
        </w:tc>
        <w:tc>
          <w:tcPr>
            <w:tcW w:w="1540" w:type="dxa"/>
            <w:vAlign w:val="bottom"/>
            <w:gridSpan w:val="13"/>
            <w:vMerge w:val="restart"/>
          </w:tcPr>
          <w:p>
            <w:pPr>
              <w:spacing w:after="0"/>
              <w:rPr>
                <w:sz w:val="13"/>
                <w:szCs w:val="13"/>
                <w:color w:val="auto"/>
              </w:rPr>
            </w:pP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gridSpan w:val="11"/>
            <w:vMerge w:val="continue"/>
          </w:tcPr>
          <w:p>
            <w:pPr>
              <w:spacing w:after="0"/>
              <w:rPr>
                <w:sz w:val="2"/>
                <w:szCs w:val="2"/>
                <w:color w:val="auto"/>
              </w:rPr>
            </w:pPr>
          </w:p>
        </w:tc>
        <w:tc>
          <w:tcPr>
            <w:tcW w:w="1540" w:type="dxa"/>
            <w:vAlign w:val="bottom"/>
            <w:gridSpan w:val="13"/>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4"/>
          </w:tcPr>
          <w:p>
            <w:pPr>
              <w:spacing w:after="0"/>
              <w:rPr>
                <w:sz w:val="20"/>
                <w:szCs w:val="20"/>
                <w:color w:val="auto"/>
              </w:rPr>
            </w:pPr>
            <w:r>
              <w:rPr>
                <w:rFonts w:ascii="Arial" w:cs="Arial" w:eastAsia="Arial" w:hAnsi="Arial"/>
                <w:sz w:val="16"/>
                <w:szCs w:val="16"/>
                <w:color w:val="0000EE"/>
              </w:rPr>
              <w:t>Information Security Risk Oversight and</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6"/>
                <w:szCs w:val="16"/>
                <w:color w:val="0000EE"/>
                <w:w w:val="89"/>
              </w:rPr>
              <w:t>Management</w:t>
            </w:r>
          </w:p>
        </w:tc>
        <w:tc>
          <w:tcPr>
            <w:tcW w:w="1960" w:type="dxa"/>
            <w:vAlign w:val="bottom"/>
            <w:tcBorders>
              <w:top w:val="single" w:sz="8" w:color="0000EE"/>
            </w:tcBorders>
            <w:gridSpan w:val="1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8"/>
            <w:vMerge w:val="restart"/>
          </w:tcPr>
          <w:p>
            <w:pPr>
              <w:spacing w:after="0"/>
              <w:rPr>
                <w:sz w:val="20"/>
                <w:szCs w:val="20"/>
                <w:color w:val="auto"/>
              </w:rPr>
            </w:pPr>
            <w:r>
              <w:rPr>
                <w:rFonts w:ascii="Arial" w:cs="Arial" w:eastAsia="Arial" w:hAnsi="Arial"/>
                <w:sz w:val="16"/>
                <w:szCs w:val="16"/>
                <w:color w:val="0000EE"/>
              </w:rPr>
              <w:t>Director Independence</w:t>
            </w:r>
          </w:p>
        </w:tc>
        <w:tc>
          <w:tcPr>
            <w:tcW w:w="1820" w:type="dxa"/>
            <w:vAlign w:val="bottom"/>
            <w:gridSpan w:val="16"/>
            <w:vMerge w:val="restart"/>
          </w:tcPr>
          <w:p>
            <w:pPr>
              <w:spacing w:after="0"/>
              <w:rPr>
                <w:sz w:val="10"/>
                <w:szCs w:val="10"/>
                <w:color w:val="auto"/>
              </w:rPr>
            </w:pP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24</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gridSpan w:val="8"/>
            <w:vMerge w:val="continue"/>
          </w:tcPr>
          <w:p>
            <w:pPr>
              <w:spacing w:after="0"/>
              <w:rPr>
                <w:sz w:val="6"/>
                <w:szCs w:val="6"/>
                <w:color w:val="auto"/>
              </w:rPr>
            </w:pPr>
          </w:p>
        </w:tc>
        <w:tc>
          <w:tcPr>
            <w:tcW w:w="1820" w:type="dxa"/>
            <w:vAlign w:val="bottom"/>
            <w:gridSpan w:val="16"/>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13"/>
          </w:tcPr>
          <w:p>
            <w:pPr>
              <w:spacing w:after="0"/>
              <w:rPr>
                <w:sz w:val="20"/>
                <w:szCs w:val="20"/>
                <w:color w:val="auto"/>
              </w:rPr>
            </w:pPr>
            <w:r>
              <w:rPr>
                <w:rFonts w:ascii="Arial" w:cs="Arial" w:eastAsia="Arial" w:hAnsi="Arial"/>
                <w:sz w:val="16"/>
                <w:szCs w:val="16"/>
                <w:color w:val="0000EE"/>
                <w:w w:val="99"/>
              </w:rPr>
              <w:t>Board Meetings and Committees</w:t>
            </w:r>
          </w:p>
        </w:tc>
        <w:tc>
          <w:tcPr>
            <w:tcW w:w="1100" w:type="dxa"/>
            <w:vAlign w:val="bottom"/>
            <w:gridSpan w:val="11"/>
          </w:tcPr>
          <w:p>
            <w:pPr>
              <w:spacing w:after="0"/>
              <w:rPr>
                <w:sz w:val="18"/>
                <w:szCs w:val="18"/>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60" w:type="dxa"/>
            <w:vAlign w:val="bottom"/>
            <w:gridSpan w:val="24"/>
            <w:vMerge w:val="restart"/>
          </w:tcPr>
          <w:p>
            <w:pPr>
              <w:spacing w:after="0"/>
              <w:rPr>
                <w:sz w:val="20"/>
                <w:szCs w:val="20"/>
                <w:color w:val="auto"/>
              </w:rPr>
            </w:pPr>
            <w:r>
              <w:rPr>
                <w:rFonts w:ascii="Arial" w:cs="Arial" w:eastAsia="Arial" w:hAnsi="Arial"/>
                <w:sz w:val="16"/>
                <w:szCs w:val="16"/>
                <w:color w:val="0000EE"/>
              </w:rPr>
              <w:t>Attendance at Annual Meetings of Shareholders</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25</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60" w:type="dxa"/>
            <w:vAlign w:val="bottom"/>
            <w:gridSpan w:val="24"/>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80" w:type="dxa"/>
            <w:vAlign w:val="bottom"/>
            <w:gridSpan w:val="3"/>
            <w:vMerge w:val="restart"/>
          </w:tcPr>
          <w:p>
            <w:pPr>
              <w:ind w:left="80"/>
              <w:spacing w:after="0"/>
              <w:rPr>
                <w:sz w:val="20"/>
                <w:szCs w:val="20"/>
                <w:color w:val="auto"/>
              </w:rPr>
            </w:pPr>
            <w:r>
              <w:rPr>
                <w:rFonts w:ascii="Arial" w:cs="Arial" w:eastAsia="Arial" w:hAnsi="Arial"/>
                <w:sz w:val="15"/>
                <w:szCs w:val="15"/>
                <w:color w:val="0000EE"/>
                <w:w w:val="71"/>
              </w:rPr>
              <w:t>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4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rPr>
              <w:t>by the Board of Directors</w:t>
            </w:r>
          </w:p>
        </w:tc>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60" w:type="dxa"/>
            <w:vAlign w:val="bottom"/>
            <w:gridSpan w:val="24"/>
            <w:vMerge w:val="restart"/>
          </w:tcPr>
          <w:p>
            <w:pPr>
              <w:spacing w:after="0"/>
              <w:rPr>
                <w:sz w:val="20"/>
                <w:szCs w:val="20"/>
                <w:color w:val="auto"/>
              </w:rPr>
            </w:pPr>
            <w:r>
              <w:rPr>
                <w:rFonts w:ascii="Arial" w:cs="Arial" w:eastAsia="Arial" w:hAnsi="Arial"/>
                <w:sz w:val="16"/>
                <w:szCs w:val="16"/>
                <w:color w:val="0000EE"/>
              </w:rPr>
              <w:t>Contacting the Board of Directors</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25</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60" w:type="dxa"/>
            <w:vAlign w:val="bottom"/>
            <w:gridSpan w:val="24"/>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12"/>
          </w:tcPr>
          <w:p>
            <w:pPr>
              <w:spacing w:after="0"/>
              <w:rPr>
                <w:sz w:val="20"/>
                <w:szCs w:val="20"/>
                <w:color w:val="auto"/>
              </w:rPr>
            </w:pPr>
            <w:r>
              <w:rPr>
                <w:rFonts w:ascii="Arial" w:cs="Arial" w:eastAsia="Arial" w:hAnsi="Arial"/>
                <w:sz w:val="16"/>
                <w:szCs w:val="16"/>
                <w:color w:val="0000EE"/>
              </w:rPr>
              <w:t>Share Ownership Guidelines</w:t>
            </w:r>
          </w:p>
        </w:tc>
        <w:tc>
          <w:tcPr>
            <w:tcW w:w="300" w:type="dxa"/>
            <w:vAlign w:val="bottom"/>
          </w:tcPr>
          <w:p>
            <w:pPr>
              <w:spacing w:after="0"/>
              <w:rPr>
                <w:sz w:val="18"/>
                <w:szCs w:val="18"/>
                <w:color w:val="auto"/>
              </w:rPr>
            </w:pPr>
          </w:p>
        </w:tc>
        <w:tc>
          <w:tcPr>
            <w:tcW w:w="1100" w:type="dxa"/>
            <w:vAlign w:val="bottom"/>
            <w:gridSpan w:val="11"/>
          </w:tcPr>
          <w:p>
            <w:pPr>
              <w:spacing w:after="0"/>
              <w:rPr>
                <w:sz w:val="18"/>
                <w:szCs w:val="18"/>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3"/>
          </w:tcPr>
          <w:p>
            <w:pPr>
              <w:ind w:left="80"/>
              <w:spacing w:after="0"/>
              <w:rPr>
                <w:sz w:val="20"/>
                <w:szCs w:val="20"/>
                <w:color w:val="auto"/>
              </w:rPr>
            </w:pPr>
            <w:r>
              <w:rPr>
                <w:rFonts w:ascii="Arial" w:cs="Arial" w:eastAsia="Arial" w:hAnsi="Arial"/>
                <w:sz w:val="15"/>
                <w:szCs w:val="15"/>
                <w:color w:val="0000EE"/>
                <w:w w:val="71"/>
              </w:rPr>
              <w:t>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12"/>
          </w:tcPr>
          <w:p>
            <w:pPr>
              <w:spacing w:after="0"/>
              <w:rPr>
                <w:sz w:val="20"/>
                <w:szCs w:val="20"/>
                <w:color w:val="auto"/>
              </w:rPr>
            </w:pPr>
            <w:r>
              <w:rPr>
                <w:rFonts w:ascii="Arial" w:cs="Arial" w:eastAsia="Arial" w:hAnsi="Arial"/>
                <w:sz w:val="16"/>
                <w:szCs w:val="16"/>
                <w:color w:val="0000EE"/>
              </w:rPr>
              <w:t>Insider Trading Policy</w:t>
            </w:r>
          </w:p>
        </w:tc>
        <w:tc>
          <w:tcPr>
            <w:tcW w:w="1400" w:type="dxa"/>
            <w:vAlign w:val="bottom"/>
            <w:gridSpan w:val="12"/>
          </w:tcPr>
          <w:p>
            <w:pPr>
              <w:spacing w:after="0"/>
              <w:rPr>
                <w:sz w:val="18"/>
                <w:szCs w:val="18"/>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gridSpan w:val="3"/>
            <w:vMerge w:val="restart"/>
          </w:tcPr>
          <w:p>
            <w:pPr>
              <w:jc w:val="right"/>
              <w:spacing w:after="0"/>
              <w:rPr>
                <w:sz w:val="20"/>
                <w:szCs w:val="20"/>
                <w:color w:val="auto"/>
              </w:rPr>
            </w:pPr>
            <w:r>
              <w:rPr>
                <w:rFonts w:ascii="Arial" w:cs="Arial" w:eastAsia="Arial" w:hAnsi="Arial"/>
                <w:sz w:val="16"/>
                <w:szCs w:val="16"/>
                <w:color w:val="0000EE"/>
                <w:w w:val="89"/>
              </w:rPr>
              <w:t>10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18"/>
          </w:tcPr>
          <w:p>
            <w:pPr>
              <w:spacing w:after="0"/>
              <w:rPr>
                <w:sz w:val="20"/>
                <w:szCs w:val="20"/>
                <w:color w:val="auto"/>
              </w:rPr>
            </w:pPr>
            <w:r>
              <w:rPr>
                <w:rFonts w:ascii="Arial" w:cs="Arial" w:eastAsia="Arial" w:hAnsi="Arial"/>
                <w:sz w:val="16"/>
                <w:szCs w:val="16"/>
                <w:color w:val="0000EE"/>
                <w:w w:val="99"/>
              </w:rPr>
              <w:t>Prohibited Transactions in Our Securities</w:t>
            </w:r>
          </w:p>
        </w:tc>
        <w:tc>
          <w:tcPr>
            <w:tcW w:w="520" w:type="dxa"/>
            <w:vAlign w:val="bottom"/>
            <w:gridSpan w:val="6"/>
          </w:tcPr>
          <w:p>
            <w:pPr>
              <w:spacing w:after="0"/>
              <w:rPr>
                <w:sz w:val="16"/>
                <w:szCs w:val="16"/>
                <w:color w:val="auto"/>
              </w:rPr>
            </w:pPr>
          </w:p>
        </w:tc>
        <w:tc>
          <w:tcPr>
            <w:tcW w:w="660" w:type="dxa"/>
            <w:vAlign w:val="bottom"/>
            <w:gridSpan w:val="3"/>
          </w:tcPr>
          <w:p>
            <w:pPr>
              <w:jc w:val="center"/>
              <w:ind w:left="398"/>
              <w:spacing w:after="0"/>
              <w:rPr>
                <w:sz w:val="20"/>
                <w:szCs w:val="20"/>
                <w:color w:val="auto"/>
              </w:rPr>
            </w:pPr>
            <w:r>
              <w:rPr>
                <w:rFonts w:ascii="Arial" w:cs="Arial" w:eastAsia="Arial" w:hAnsi="Arial"/>
                <w:sz w:val="16"/>
                <w:szCs w:val="16"/>
                <w:color w:val="0000EE"/>
              </w:rPr>
              <w:t>26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480" w:type="dxa"/>
            <w:vAlign w:val="bottom"/>
            <w:tcBorders>
              <w:left w:val="single" w:sz="8" w:color="0000EE"/>
            </w:tcBorders>
            <w:gridSpan w:val="9"/>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Borders>
              <w:bottom w:val="single" w:sz="8" w:color="0000EE"/>
            </w:tcBorders>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60" w:type="dxa"/>
            <w:vAlign w:val="bottom"/>
            <w:gridSpan w:val="24"/>
          </w:tcPr>
          <w:p>
            <w:pPr>
              <w:spacing w:after="0" w:line="183" w:lineRule="exact"/>
              <w:rPr>
                <w:sz w:val="20"/>
                <w:szCs w:val="20"/>
                <w:color w:val="auto"/>
              </w:rPr>
            </w:pPr>
            <w:r>
              <w:rPr>
                <w:rFonts w:ascii="Arial" w:cs="Arial" w:eastAsia="Arial" w:hAnsi="Arial"/>
                <w:sz w:val="16"/>
                <w:szCs w:val="16"/>
                <w:color w:val="0000EE"/>
              </w:rPr>
              <w:t>Compensation Committee Interlocks and Insider</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0000EE"/>
            </w:tcBorders>
            <w:gridSpan w:val="4"/>
          </w:tcPr>
          <w:p>
            <w:pPr>
              <w:spacing w:after="0" w:line="20" w:lineRule="exact"/>
              <w:rPr>
                <w:sz w:val="1"/>
                <w:szCs w:val="1"/>
                <w:color w:val="auto"/>
              </w:rPr>
            </w:pPr>
          </w:p>
        </w:tc>
        <w:tc>
          <w:tcPr>
            <w:tcW w:w="1480" w:type="dxa"/>
            <w:vAlign w:val="bottom"/>
            <w:tcBorders>
              <w:bottom w:val="single" w:sz="8" w:color="0000EE"/>
            </w:tcBorders>
            <w:gridSpan w:val="9"/>
          </w:tcPr>
          <w:p>
            <w:pPr>
              <w:spacing w:after="0" w:line="20" w:lineRule="exact"/>
              <w:rPr>
                <w:sz w:val="1"/>
                <w:szCs w:val="1"/>
                <w:color w:val="auto"/>
              </w:rPr>
            </w:pPr>
          </w:p>
        </w:tc>
        <w:tc>
          <w:tcPr>
            <w:tcW w:w="700" w:type="dxa"/>
            <w:vAlign w:val="bottom"/>
            <w:tcBorders>
              <w:bottom w:val="single" w:sz="8" w:color="0000EE"/>
            </w:tcBorders>
            <w:gridSpan w:val="6"/>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4"/>
          </w:tcPr>
          <w:p>
            <w:pPr>
              <w:spacing w:after="0" w:line="20" w:lineRule="exact"/>
              <w:rPr>
                <w:sz w:val="1"/>
                <w:szCs w:val="1"/>
                <w:color w:val="auto"/>
              </w:rPr>
            </w:pPr>
          </w:p>
        </w:tc>
        <w:tc>
          <w:tcPr>
            <w:tcW w:w="660" w:type="dxa"/>
            <w:vAlign w:val="bottom"/>
            <w:gridSpan w:val="3"/>
            <w:vMerge w:val="restart"/>
          </w:tcPr>
          <w:p>
            <w:pPr>
              <w:jc w:val="center"/>
              <w:ind w:left="398"/>
              <w:spacing w:after="0" w:line="176" w:lineRule="exact"/>
              <w:rPr>
                <w:sz w:val="20"/>
                <w:szCs w:val="20"/>
                <w:color w:val="auto"/>
              </w:rPr>
            </w:pPr>
            <w:r>
              <w:rPr>
                <w:rFonts w:ascii="Arial" w:cs="Arial" w:eastAsia="Arial" w:hAnsi="Arial"/>
                <w:sz w:val="16"/>
                <w:szCs w:val="16"/>
                <w:color w:val="0000EE"/>
              </w:rPr>
              <w:t>26</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gridSpan w:val="3"/>
          </w:tcPr>
          <w:p>
            <w:pPr>
              <w:jc w:val="right"/>
              <w:spacing w:after="0" w:line="155" w:lineRule="exact"/>
              <w:rPr>
                <w:sz w:val="20"/>
                <w:szCs w:val="20"/>
                <w:color w:val="auto"/>
              </w:rPr>
            </w:pPr>
            <w:r>
              <w:rPr>
                <w:rFonts w:ascii="Arial" w:cs="Arial" w:eastAsia="Arial" w:hAnsi="Arial"/>
                <w:sz w:val="16"/>
                <w:szCs w:val="16"/>
                <w:color w:val="0000EE"/>
                <w:w w:val="89"/>
              </w:rPr>
              <w:t>10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60" w:type="dxa"/>
            <w:vAlign w:val="bottom"/>
            <w:gridSpan w:val="24"/>
          </w:tcPr>
          <w:p>
            <w:pPr>
              <w:spacing w:after="0" w:line="155" w:lineRule="exact"/>
              <w:rPr>
                <w:sz w:val="20"/>
                <w:szCs w:val="20"/>
                <w:color w:val="auto"/>
              </w:rPr>
            </w:pPr>
            <w:r>
              <w:rPr>
                <w:rFonts w:ascii="Arial" w:cs="Arial" w:eastAsia="Arial" w:hAnsi="Arial"/>
                <w:sz w:val="16"/>
                <w:szCs w:val="16"/>
                <w:color w:val="0000EE"/>
              </w:rPr>
              <w:t>Participation</w:t>
            </w:r>
          </w:p>
        </w:tc>
        <w:tc>
          <w:tcPr>
            <w:tcW w:w="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60" w:type="dxa"/>
            <w:vAlign w:val="bottom"/>
            <w:gridSpan w:val="24"/>
          </w:tcPr>
          <w:p>
            <w:pPr>
              <w:spacing w:after="0"/>
              <w:rPr>
                <w:sz w:val="20"/>
                <w:szCs w:val="20"/>
                <w:color w:val="auto"/>
              </w:rPr>
            </w:pPr>
            <w:r>
              <w:rPr>
                <w:rFonts w:ascii="Arial" w:cs="Arial" w:eastAsia="Arial" w:hAnsi="Arial"/>
                <w:sz w:val="16"/>
                <w:szCs w:val="16"/>
                <w:color w:val="0000EE"/>
              </w:rPr>
              <w:t>Process for Recommending Candidates for</w:t>
            </w:r>
          </w:p>
        </w:tc>
        <w:tc>
          <w:tcPr>
            <w:tcW w:w="660" w:type="dxa"/>
            <w:vAlign w:val="bottom"/>
            <w:gridSpan w:val="3"/>
            <w:vMerge w:val="restart"/>
          </w:tcPr>
          <w:p>
            <w:pPr>
              <w:jc w:val="center"/>
              <w:ind w:left="398"/>
              <w:spacing w:after="0"/>
              <w:rPr>
                <w:sz w:val="20"/>
                <w:szCs w:val="20"/>
                <w:color w:val="auto"/>
              </w:rPr>
            </w:pPr>
            <w:r>
              <w:rPr>
                <w:rFonts w:ascii="Arial" w:cs="Arial" w:eastAsia="Arial" w:hAnsi="Arial"/>
                <w:sz w:val="16"/>
                <w:szCs w:val="16"/>
                <w:color w:val="0000EE"/>
              </w:rPr>
              <w:t>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gridSpan w:val="3"/>
            <w:vMerge w:val="restart"/>
          </w:tcPr>
          <w:p>
            <w:pPr>
              <w:jc w:val="right"/>
              <w:spacing w:after="0"/>
              <w:rPr>
                <w:sz w:val="20"/>
                <w:szCs w:val="20"/>
                <w:color w:val="auto"/>
              </w:rPr>
            </w:pPr>
            <w:r>
              <w:rPr>
                <w:rFonts w:ascii="Arial" w:cs="Arial" w:eastAsia="Arial" w:hAnsi="Arial"/>
                <w:sz w:val="16"/>
                <w:szCs w:val="16"/>
                <w:color w:val="0000EE"/>
                <w:w w:val="89"/>
              </w:rPr>
              <w:t>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6"/>
                <w:szCs w:val="16"/>
                <w:color w:val="0000EE"/>
                <w:w w:val="98"/>
              </w:rPr>
              <w:t>Election to the Board of Directors</w:t>
            </w:r>
          </w:p>
        </w:tc>
        <w:tc>
          <w:tcPr>
            <w:tcW w:w="740" w:type="dxa"/>
            <w:vAlign w:val="bottom"/>
            <w:tcBorders>
              <w:top w:val="single" w:sz="8" w:color="0000EE"/>
            </w:tcBorders>
            <w:gridSpan w:val="7"/>
          </w:tcPr>
          <w:p>
            <w:pPr>
              <w:spacing w:after="0"/>
              <w:rPr>
                <w:sz w:val="14"/>
                <w:szCs w:val="14"/>
                <w:color w:val="auto"/>
              </w:rPr>
            </w:pPr>
          </w:p>
        </w:tc>
        <w:tc>
          <w:tcPr>
            <w:tcW w:w="360" w:type="dxa"/>
            <w:vAlign w:val="bottom"/>
            <w:gridSpan w:val="4"/>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Borders>
              <w:bottom w:val="single" w:sz="8" w:color="0000EE"/>
            </w:tcBorders>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20"/>
            <w:vMerge w:val="restart"/>
          </w:tcPr>
          <w:p>
            <w:pPr>
              <w:spacing w:after="0"/>
              <w:rPr>
                <w:sz w:val="20"/>
                <w:szCs w:val="20"/>
                <w:color w:val="auto"/>
              </w:rPr>
            </w:pPr>
            <w:r>
              <w:rPr>
                <w:rFonts w:ascii="Arial" w:cs="Arial" w:eastAsia="Arial" w:hAnsi="Arial"/>
                <w:sz w:val="22"/>
                <w:szCs w:val="22"/>
                <w:b w:val="1"/>
                <w:bCs w:val="1"/>
                <w:color w:val="0000EE"/>
                <w:w w:val="97"/>
              </w:rPr>
              <w:t>ENVIRONMENTAL, SOCIAL AND</w:t>
            </w:r>
          </w:p>
        </w:tc>
        <w:tc>
          <w:tcPr>
            <w:tcW w:w="400" w:type="dxa"/>
            <w:vAlign w:val="bottom"/>
            <w:gridSpan w:val="5"/>
            <w:vMerge w:val="restart"/>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60" w:type="dxa"/>
            <w:vAlign w:val="bottom"/>
            <w:tcBorders>
              <w:bottom w:val="single" w:sz="8" w:color="0000EE"/>
            </w:tcBorders>
            <w:gridSpan w:val="20"/>
            <w:vMerge w:val="continue"/>
          </w:tcPr>
          <w:p>
            <w:pPr>
              <w:spacing w:after="0"/>
              <w:rPr>
                <w:sz w:val="14"/>
                <w:szCs w:val="14"/>
                <w:color w:val="auto"/>
              </w:rPr>
            </w:pPr>
          </w:p>
        </w:tc>
        <w:tc>
          <w:tcPr>
            <w:tcW w:w="400" w:type="dxa"/>
            <w:vAlign w:val="bottom"/>
            <w:gridSpan w:val="5"/>
            <w:vMerge w:val="continue"/>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0" w:hanging="498"/>
        <w:spacing w:after="0"/>
        <w:tabs>
          <w:tab w:leader="none" w:pos="500" w:val="left"/>
        </w:tabs>
        <w:numPr>
          <w:ilvl w:val="0"/>
          <w:numId w:val="7"/>
        </w:numPr>
        <w:rPr>
          <w:rFonts w:ascii="Arial" w:cs="Arial" w:eastAsia="Arial" w:hAnsi="Arial"/>
          <w:sz w:val="16"/>
          <w:szCs w:val="16"/>
          <w:u w:val="single" w:color="auto"/>
          <w:color w:val="0000EE"/>
        </w:rPr>
      </w:pPr>
      <w:r>
        <w:rPr>
          <w:rFonts w:ascii="Arial" w:cs="Arial" w:eastAsia="Arial" w:hAnsi="Arial"/>
          <w:sz w:val="22"/>
          <w:szCs w:val="22"/>
          <w:b w:val="1"/>
          <w:bCs w:val="1"/>
          <w:u w:val="single" w:color="auto"/>
          <w:color w:val="0000EE"/>
        </w:rPr>
        <w:t>GOVERNANCE (ESG) PRACTICES</w:t>
      </w:r>
    </w:p>
    <w:tbl>
      <w:tblPr>
        <w:tblLayout w:type="fixed"/>
        <w:tblInd w:w="0" w:type="dxa"/>
        <w:tblCellMar>
          <w:top w:w="0" w:type="dxa"/>
          <w:left w:w="0" w:type="dxa"/>
          <w:bottom w:w="0" w:type="dxa"/>
          <w:right w:w="0" w:type="dxa"/>
        </w:tblCellMar>
      </w:tblPr>
      <w:tr>
        <w:trPr>
          <w:trHeight w:val="193"/>
        </w:trPr>
        <w:tc>
          <w:tcPr>
            <w:tcW w:w="20" w:type="dxa"/>
            <w:vAlign w:val="bottom"/>
            <w:vMerge w:val="restart"/>
          </w:tcPr>
          <w:p>
            <w:pPr>
              <w:spacing w:after="0"/>
              <w:rPr>
                <w:sz w:val="16"/>
                <w:szCs w:val="16"/>
                <w:color w:val="auto"/>
              </w:rPr>
            </w:pPr>
          </w:p>
        </w:tc>
        <w:tc>
          <w:tcPr>
            <w:tcW w:w="160" w:type="dxa"/>
            <w:vAlign w:val="bottom"/>
            <w:tcBorders>
              <w:bottom w:val="single" w:sz="8" w:color="0000EE"/>
            </w:tcBorders>
            <w:gridSpan w:val="2"/>
          </w:tcPr>
          <w:p>
            <w:pPr>
              <w:spacing w:after="0" w:line="173" w:lineRule="exact"/>
              <w:rPr>
                <w:sz w:val="20"/>
                <w:szCs w:val="20"/>
                <w:color w:val="auto"/>
              </w:rPr>
            </w:pPr>
            <w:r>
              <w:rPr>
                <w:rFonts w:ascii="Arial" w:cs="Arial" w:eastAsia="Arial" w:hAnsi="Arial"/>
                <w:sz w:val="16"/>
                <w:szCs w:val="16"/>
                <w:color w:val="0000EE"/>
                <w:w w:val="78"/>
              </w:rPr>
              <w:t>10</w:t>
            </w:r>
          </w:p>
        </w:tc>
        <w:tc>
          <w:tcPr>
            <w:tcW w:w="320" w:type="dxa"/>
            <w:vAlign w:val="bottom"/>
            <w:vMerge w:val="restart"/>
          </w:tcPr>
          <w:p>
            <w:pPr>
              <w:spacing w:after="0"/>
              <w:rPr>
                <w:sz w:val="16"/>
                <w:szCs w:val="16"/>
                <w:color w:val="auto"/>
              </w:rPr>
            </w:pPr>
          </w:p>
        </w:tc>
        <w:tc>
          <w:tcPr>
            <w:tcW w:w="2880" w:type="dxa"/>
            <w:vAlign w:val="bottom"/>
            <w:gridSpan w:val="7"/>
            <w:vMerge w:val="restart"/>
          </w:tcPr>
          <w:p>
            <w:pPr>
              <w:spacing w:after="0" w:line="200" w:lineRule="exact"/>
              <w:rPr>
                <w:sz w:val="20"/>
                <w:szCs w:val="20"/>
                <w:color w:val="auto"/>
              </w:rPr>
            </w:pPr>
            <w:r>
              <w:rPr>
                <w:rFonts w:ascii="Arial" w:cs="Arial" w:eastAsia="Arial" w:hAnsi="Arial"/>
                <w:sz w:val="22"/>
                <w:szCs w:val="22"/>
                <w:b w:val="1"/>
                <w:bCs w:val="1"/>
                <w:color w:val="0000EE"/>
              </w:rPr>
              <w:t>AND POLICIES</w:t>
            </w:r>
          </w:p>
        </w:tc>
        <w:tc>
          <w:tcPr>
            <w:tcW w:w="1560" w:type="dxa"/>
            <w:vAlign w:val="bottom"/>
            <w:gridSpan w:val="4"/>
            <w:vMerge w:val="restart"/>
          </w:tcPr>
          <w:p>
            <w:pPr>
              <w:jc w:val="center"/>
              <w:ind w:left="1277"/>
              <w:spacing w:after="0" w:line="200" w:lineRule="exact"/>
              <w:rPr>
                <w:sz w:val="20"/>
                <w:szCs w:val="20"/>
                <w:color w:val="auto"/>
              </w:rPr>
            </w:pPr>
            <w:r>
              <w:rPr>
                <w:rFonts w:ascii="Arial" w:cs="Arial" w:eastAsia="Arial" w:hAnsi="Arial"/>
                <w:sz w:val="18"/>
                <w:szCs w:val="18"/>
                <w:b w:val="1"/>
                <w:bCs w:val="1"/>
                <w:color w:val="0000EE"/>
                <w:w w:val="99"/>
              </w:rPr>
              <w:t>28</w:t>
            </w:r>
          </w:p>
        </w:tc>
        <w:tc>
          <w:tcPr>
            <w:tcW w:w="0" w:type="dxa"/>
            <w:vAlign w:val="bottom"/>
          </w:tcPr>
          <w:p>
            <w:pPr>
              <w:spacing w:after="0"/>
              <w:rPr>
                <w:sz w:val="1"/>
                <w:szCs w:val="1"/>
                <w:color w:val="auto"/>
              </w:rPr>
            </w:pPr>
          </w:p>
        </w:tc>
      </w:tr>
      <w:tr>
        <w:trPr>
          <w:trHeight w:val="40"/>
        </w:trPr>
        <w:tc>
          <w:tcPr>
            <w:tcW w:w="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2880" w:type="dxa"/>
            <w:vAlign w:val="bottom"/>
            <w:gridSpan w:val="7"/>
            <w:vMerge w:val="continue"/>
          </w:tcPr>
          <w:p>
            <w:pPr>
              <w:spacing w:after="0"/>
              <w:rPr>
                <w:sz w:val="3"/>
                <w:szCs w:val="3"/>
                <w:color w:val="auto"/>
              </w:rPr>
            </w:pPr>
          </w:p>
        </w:tc>
        <w:tc>
          <w:tcPr>
            <w:tcW w:w="15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 w:type="dxa"/>
            <w:vAlign w:val="bottom"/>
            <w:gridSpan w:val="4"/>
            <w:vMerge w:val="restart"/>
          </w:tcPr>
          <w:p>
            <w:pPr>
              <w:spacing w:after="0"/>
              <w:rPr>
                <w:sz w:val="20"/>
                <w:szCs w:val="20"/>
                <w:color w:val="auto"/>
              </w:rPr>
            </w:pPr>
            <w:r>
              <w:rPr>
                <w:rFonts w:ascii="Arial" w:cs="Arial" w:eastAsia="Arial" w:hAnsi="Arial"/>
                <w:sz w:val="16"/>
                <w:szCs w:val="16"/>
                <w:color w:val="0000EE"/>
              </w:rPr>
              <w:t>10</w:t>
            </w:r>
          </w:p>
        </w:tc>
        <w:tc>
          <w:tcPr>
            <w:tcW w:w="300" w:type="dxa"/>
            <w:vAlign w:val="bottom"/>
          </w:tcPr>
          <w:p>
            <w:pPr>
              <w:spacing w:after="0"/>
              <w:rPr>
                <w:sz w:val="15"/>
                <w:szCs w:val="15"/>
                <w:color w:val="auto"/>
              </w:rPr>
            </w:pPr>
          </w:p>
        </w:tc>
        <w:tc>
          <w:tcPr>
            <w:tcW w:w="580" w:type="dxa"/>
            <w:vAlign w:val="bottom"/>
            <w:gridSpan w:val="2"/>
          </w:tcPr>
          <w:p>
            <w:pPr>
              <w:spacing w:after="0" w:line="177" w:lineRule="exact"/>
              <w:rPr>
                <w:sz w:val="20"/>
                <w:szCs w:val="20"/>
                <w:color w:val="auto"/>
              </w:rPr>
            </w:pPr>
            <w:r>
              <w:rPr>
                <w:rFonts w:ascii="Arial" w:cs="Arial" w:eastAsia="Arial" w:hAnsi="Arial"/>
                <w:sz w:val="16"/>
                <w:szCs w:val="16"/>
                <w:color w:val="0000EE"/>
                <w:w w:val="98"/>
              </w:rPr>
              <w:t>General</w:t>
            </w:r>
          </w:p>
        </w:tc>
        <w:tc>
          <w:tcPr>
            <w:tcW w:w="2000" w:type="dxa"/>
            <w:vAlign w:val="bottom"/>
            <w:gridSpan w:val="4"/>
          </w:tcPr>
          <w:p>
            <w:pPr>
              <w:spacing w:after="0"/>
              <w:rPr>
                <w:sz w:val="15"/>
                <w:szCs w:val="15"/>
                <w:color w:val="auto"/>
              </w:rPr>
            </w:pPr>
          </w:p>
        </w:tc>
        <w:tc>
          <w:tcPr>
            <w:tcW w:w="1540" w:type="dxa"/>
            <w:vAlign w:val="bottom"/>
            <w:gridSpan w:val="3"/>
          </w:tcPr>
          <w:p>
            <w:pPr>
              <w:jc w:val="center"/>
              <w:ind w:left="1277"/>
              <w:spacing w:after="0" w:line="177" w:lineRule="exact"/>
              <w:rPr>
                <w:sz w:val="20"/>
                <w:szCs w:val="20"/>
                <w:color w:val="auto"/>
              </w:rPr>
            </w:pPr>
            <w:r>
              <w:rPr>
                <w:rFonts w:ascii="Arial" w:cs="Arial" w:eastAsia="Arial" w:hAnsi="Arial"/>
                <w:sz w:val="16"/>
                <w:szCs w:val="16"/>
                <w:color w:val="0000EE"/>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gridSpan w:val="4"/>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0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2580" w:type="dxa"/>
            <w:vAlign w:val="bottom"/>
            <w:gridSpan w:val="6"/>
            <w:vMerge w:val="restart"/>
          </w:tcPr>
          <w:p>
            <w:pPr>
              <w:spacing w:after="0"/>
              <w:rPr>
                <w:sz w:val="20"/>
                <w:szCs w:val="20"/>
                <w:color w:val="auto"/>
              </w:rPr>
            </w:pPr>
            <w:r>
              <w:rPr>
                <w:rFonts w:ascii="Arial" w:cs="Arial" w:eastAsia="Arial" w:hAnsi="Arial"/>
                <w:sz w:val="16"/>
                <w:szCs w:val="16"/>
                <w:color w:val="0000EE"/>
              </w:rPr>
              <w:t>Environmental</w:t>
            </w:r>
          </w:p>
        </w:tc>
        <w:tc>
          <w:tcPr>
            <w:tcW w:w="1540" w:type="dxa"/>
            <w:vAlign w:val="bottom"/>
            <w:gridSpan w:val="3"/>
            <w:vMerge w:val="restart"/>
          </w:tcPr>
          <w:p>
            <w:pPr>
              <w:jc w:val="center"/>
              <w:ind w:left="1277"/>
              <w:spacing w:after="0"/>
              <w:rPr>
                <w:sz w:val="20"/>
                <w:szCs w:val="20"/>
                <w:color w:val="auto"/>
              </w:rPr>
            </w:pPr>
            <w:r>
              <w:rPr>
                <w:rFonts w:ascii="Arial" w:cs="Arial" w:eastAsia="Arial" w:hAnsi="Arial"/>
                <w:sz w:val="16"/>
                <w:szCs w:val="16"/>
                <w:color w:val="0000EE"/>
              </w:rPr>
              <w:t>28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580" w:type="dxa"/>
            <w:vAlign w:val="bottom"/>
            <w:gridSpan w:val="6"/>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gridSpan w:val="3"/>
            <w:vMerge w:val="restart"/>
          </w:tcPr>
          <w:p>
            <w:pPr>
              <w:spacing w:after="0"/>
              <w:rPr>
                <w:sz w:val="20"/>
                <w:szCs w:val="20"/>
                <w:color w:val="auto"/>
              </w:rPr>
            </w:pPr>
            <w:r>
              <w:rPr>
                <w:rFonts w:ascii="Arial" w:cs="Arial" w:eastAsia="Arial" w:hAnsi="Arial"/>
                <w:sz w:val="16"/>
                <w:szCs w:val="16"/>
                <w:color w:val="0000EE"/>
                <w:w w:val="89"/>
              </w:rPr>
              <w:t>11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0000EE"/>
                <w:w w:val="96"/>
              </w:rPr>
              <w:t>Social</w:t>
            </w:r>
          </w:p>
        </w:tc>
        <w:tc>
          <w:tcPr>
            <w:tcW w:w="58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1540" w:type="dxa"/>
            <w:vAlign w:val="bottom"/>
            <w:gridSpan w:val="3"/>
          </w:tcPr>
          <w:p>
            <w:pPr>
              <w:jc w:val="center"/>
              <w:ind w:left="1277"/>
              <w:spacing w:after="0"/>
              <w:rPr>
                <w:sz w:val="20"/>
                <w:szCs w:val="20"/>
                <w:color w:val="auto"/>
              </w:rPr>
            </w:pPr>
            <w:r>
              <w:rPr>
                <w:rFonts w:ascii="Arial" w:cs="Arial" w:eastAsia="Arial" w:hAnsi="Arial"/>
                <w:sz w:val="16"/>
                <w:szCs w:val="16"/>
                <w:color w:val="0000EE"/>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gridSpan w:val="3"/>
            <w:vMerge w:val="restart"/>
          </w:tcPr>
          <w:p>
            <w:pPr>
              <w:spacing w:after="0"/>
              <w:rPr>
                <w:sz w:val="20"/>
                <w:szCs w:val="20"/>
                <w:color w:val="auto"/>
              </w:rPr>
            </w:pPr>
            <w:r>
              <w:rPr>
                <w:rFonts w:ascii="Arial" w:cs="Arial" w:eastAsia="Arial" w:hAnsi="Arial"/>
                <w:sz w:val="16"/>
                <w:szCs w:val="16"/>
                <w:color w:val="0000EE"/>
                <w:w w:val="98"/>
              </w:rPr>
              <w:t>Governance</w:t>
            </w:r>
          </w:p>
        </w:tc>
        <w:tc>
          <w:tcPr>
            <w:tcW w:w="1700" w:type="dxa"/>
            <w:vAlign w:val="bottom"/>
            <w:gridSpan w:val="3"/>
            <w:vMerge w:val="restart"/>
          </w:tcPr>
          <w:p>
            <w:pPr>
              <w:spacing w:after="0"/>
              <w:rPr>
                <w:sz w:val="5"/>
                <w:szCs w:val="5"/>
                <w:color w:val="auto"/>
              </w:rPr>
            </w:pPr>
          </w:p>
        </w:tc>
        <w:tc>
          <w:tcPr>
            <w:tcW w:w="1540" w:type="dxa"/>
            <w:vAlign w:val="bottom"/>
            <w:gridSpan w:val="3"/>
            <w:vMerge w:val="restart"/>
          </w:tcPr>
          <w:p>
            <w:pPr>
              <w:jc w:val="center"/>
              <w:ind w:left="1277"/>
              <w:spacing w:after="0"/>
              <w:rPr>
                <w:sz w:val="20"/>
                <w:szCs w:val="20"/>
                <w:color w:val="auto"/>
              </w:rPr>
            </w:pPr>
            <w:r>
              <w:rPr>
                <w:rFonts w:ascii="Arial" w:cs="Arial" w:eastAsia="Arial" w:hAnsi="Arial"/>
                <w:sz w:val="16"/>
                <w:szCs w:val="16"/>
                <w:color w:val="0000EE"/>
              </w:rPr>
              <w:t>30</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500"/>
        <w:spacing w:after="0"/>
        <w:rPr>
          <w:sz w:val="20"/>
          <w:szCs w:val="20"/>
          <w:color w:val="auto"/>
        </w:rPr>
      </w:pPr>
      <w:r>
        <w:rPr>
          <w:rFonts w:ascii="Arial" w:cs="Arial" w:eastAsia="Arial" w:hAnsi="Arial"/>
          <w:sz w:val="22"/>
          <w:szCs w:val="22"/>
          <w:b w:val="1"/>
          <w:bCs w:val="1"/>
          <w:u w:val="single" w:color="auto"/>
          <w:color w:val="0000EE"/>
        </w:rPr>
        <w:t>PROPOSAL TWO: RATIFICATION OF</w:t>
      </w:r>
    </w:p>
    <w:p>
      <w:pPr>
        <w:spacing w:after="0" w:line="12" w:lineRule="exact"/>
        <w:rPr>
          <w:sz w:val="20"/>
          <w:szCs w:val="20"/>
          <w:color w:val="auto"/>
        </w:rPr>
      </w:pPr>
    </w:p>
    <w:p>
      <w:pPr>
        <w:ind w:left="500" w:right="640" w:hanging="498"/>
        <w:spacing w:after="0" w:line="224" w:lineRule="auto"/>
        <w:tabs>
          <w:tab w:leader="none" w:pos="500" w:val="left"/>
        </w:tabs>
        <w:numPr>
          <w:ilvl w:val="0"/>
          <w:numId w:val="8"/>
        </w:numPr>
        <w:rPr>
          <w:rFonts w:ascii="Arial" w:cs="Arial" w:eastAsia="Arial" w:hAnsi="Arial"/>
          <w:sz w:val="15"/>
          <w:szCs w:val="15"/>
          <w:u w:val="single" w:color="auto"/>
          <w:color w:val="0000EE"/>
        </w:rPr>
      </w:pPr>
      <w:r>
        <w:rPr>
          <w:rFonts w:ascii="Arial" w:cs="Arial" w:eastAsia="Arial" w:hAnsi="Arial"/>
          <w:sz w:val="21"/>
          <w:szCs w:val="21"/>
          <w:b w:val="1"/>
          <w:bCs w:val="1"/>
          <w:u w:val="single" w:color="auto"/>
          <w:color w:val="0000EE"/>
        </w:rPr>
        <w:t xml:space="preserve">APPOINTMENT OF INDEPENDENT </w:t>
      </w:r>
      <w:r>
        <w:rPr>
          <w:rFonts w:ascii="Arial" w:cs="Arial" w:eastAsia="Arial" w:hAnsi="Arial"/>
          <w:sz w:val="21"/>
          <w:szCs w:val="21"/>
          <w:b w:val="1"/>
          <w:bCs w:val="1"/>
          <w:color w:val="0000EE"/>
        </w:rPr>
        <w:t>REGISTERED PUBLIC ACCOUNTING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bottom w:val="single" w:sz="8" w:color="0000EE"/>
            </w:tcBorders>
          </w:tcPr>
          <w:p>
            <w:pPr>
              <w:jc w:val="right"/>
              <w:spacing w:after="0" w:line="169" w:lineRule="exact"/>
              <w:rPr>
                <w:sz w:val="20"/>
                <w:szCs w:val="20"/>
                <w:color w:val="auto"/>
              </w:rPr>
            </w:pPr>
            <w:r>
              <w:rPr>
                <w:rFonts w:ascii="Arial" w:cs="Arial" w:eastAsia="Arial" w:hAnsi="Arial"/>
                <w:sz w:val="16"/>
                <w:szCs w:val="16"/>
                <w:color w:val="0000EE"/>
                <w:w w:val="89"/>
              </w:rPr>
              <w:t>12</w:t>
            </w:r>
          </w:p>
        </w:tc>
        <w:tc>
          <w:tcPr>
            <w:tcW w:w="320" w:type="dxa"/>
            <w:vAlign w:val="bottom"/>
            <w:vMerge w:val="restart"/>
          </w:tcPr>
          <w:p>
            <w:pPr>
              <w:spacing w:after="0"/>
              <w:rPr>
                <w:sz w:val="14"/>
                <w:szCs w:val="14"/>
                <w:color w:val="auto"/>
              </w:rPr>
            </w:pPr>
          </w:p>
        </w:tc>
        <w:tc>
          <w:tcPr>
            <w:tcW w:w="3800" w:type="dxa"/>
            <w:vAlign w:val="bottom"/>
            <w:tcBorders>
              <w:top w:val="single" w:sz="8" w:color="0000EE"/>
              <w:bottom w:val="single" w:sz="8" w:color="0000EE"/>
            </w:tcBorders>
            <w:gridSpan w:val="7"/>
            <w:vMerge w:val="restart"/>
          </w:tcPr>
          <w:p>
            <w:pPr>
              <w:spacing w:after="0" w:line="223" w:lineRule="exact"/>
              <w:rPr>
                <w:sz w:val="20"/>
                <w:szCs w:val="20"/>
                <w:color w:val="auto"/>
              </w:rPr>
            </w:pPr>
            <w:r>
              <w:rPr>
                <w:rFonts w:ascii="Arial" w:cs="Arial" w:eastAsia="Arial" w:hAnsi="Arial"/>
                <w:sz w:val="22"/>
                <w:szCs w:val="22"/>
                <w:b w:val="1"/>
                <w:bCs w:val="1"/>
                <w:color w:val="0000EE"/>
              </w:rPr>
              <w:t>FIRM</w:t>
            </w:r>
          </w:p>
        </w:tc>
        <w:tc>
          <w:tcPr>
            <w:tcW w:w="640" w:type="dxa"/>
            <w:vAlign w:val="bottom"/>
            <w:gridSpan w:val="4"/>
            <w:vMerge w:val="restart"/>
          </w:tcPr>
          <w:p>
            <w:pPr>
              <w:jc w:val="center"/>
              <w:ind w:left="357"/>
              <w:spacing w:after="0"/>
              <w:rPr>
                <w:sz w:val="20"/>
                <w:szCs w:val="20"/>
                <w:color w:val="auto"/>
              </w:rPr>
            </w:pPr>
            <w:r>
              <w:rPr>
                <w:rFonts w:ascii="Arial" w:cs="Arial" w:eastAsia="Arial" w:hAnsi="Arial"/>
                <w:sz w:val="18"/>
                <w:szCs w:val="18"/>
                <w:b w:val="1"/>
                <w:bCs w:val="1"/>
                <w:color w:val="0000EE"/>
                <w:w w:val="99"/>
              </w:rPr>
              <w:t>31</w:t>
            </w:r>
          </w:p>
        </w:tc>
        <w:tc>
          <w:tcPr>
            <w:tcW w:w="0" w:type="dxa"/>
            <w:vAlign w:val="bottom"/>
          </w:tcPr>
          <w:p>
            <w:pPr>
              <w:spacing w:after="0"/>
              <w:rPr>
                <w:sz w:val="1"/>
                <w:szCs w:val="1"/>
                <w:color w:val="auto"/>
              </w:rPr>
            </w:pPr>
          </w:p>
        </w:tc>
      </w:tr>
      <w:tr>
        <w:trPr>
          <w:trHeight w:val="54"/>
        </w:trPr>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12</w:t>
            </w:r>
          </w:p>
        </w:tc>
        <w:tc>
          <w:tcPr>
            <w:tcW w:w="320" w:type="dxa"/>
            <w:vAlign w:val="bottom"/>
            <w:vMerge w:val="continue"/>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1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180" w:type="dxa"/>
            <w:vAlign w:val="bottom"/>
            <w:tcBorders>
              <w:bottom w:val="single" w:sz="8" w:color="0000EE"/>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vMerge w:val="restart"/>
          </w:tcPr>
          <w:p>
            <w:pPr>
              <w:spacing w:after="0" w:line="183" w:lineRule="exact"/>
              <w:rPr>
                <w:sz w:val="20"/>
                <w:szCs w:val="20"/>
                <w:color w:val="auto"/>
              </w:rPr>
            </w:pPr>
            <w:r>
              <w:rPr>
                <w:rFonts w:ascii="Arial" w:cs="Arial" w:eastAsia="Arial" w:hAnsi="Arial"/>
                <w:sz w:val="16"/>
                <w:szCs w:val="16"/>
                <w:color w:val="0000EE"/>
                <w:w w:val="98"/>
              </w:rPr>
              <w:t>General</w:t>
            </w:r>
          </w:p>
        </w:tc>
        <w:tc>
          <w:tcPr>
            <w:tcW w:w="2920" w:type="dxa"/>
            <w:vAlign w:val="bottom"/>
            <w:gridSpan w:val="4"/>
            <w:vMerge w:val="restart"/>
          </w:tcPr>
          <w:p>
            <w:pPr>
              <w:spacing w:after="0"/>
              <w:rPr>
                <w:sz w:val="7"/>
                <w:szCs w:val="7"/>
                <w:color w:val="auto"/>
              </w:rPr>
            </w:pPr>
          </w:p>
        </w:tc>
        <w:tc>
          <w:tcPr>
            <w:tcW w:w="620" w:type="dxa"/>
            <w:vAlign w:val="bottom"/>
            <w:gridSpan w:val="3"/>
            <w:vMerge w:val="restart"/>
          </w:tcPr>
          <w:p>
            <w:pPr>
              <w:jc w:val="center"/>
              <w:ind w:left="357"/>
              <w:spacing w:after="0" w:line="183" w:lineRule="exact"/>
              <w:rPr>
                <w:sz w:val="20"/>
                <w:szCs w:val="20"/>
                <w:color w:val="auto"/>
              </w:rPr>
            </w:pPr>
            <w:r>
              <w:rPr>
                <w:rFonts w:ascii="Arial" w:cs="Arial" w:eastAsia="Arial" w:hAnsi="Arial"/>
                <w:sz w:val="16"/>
                <w:szCs w:val="16"/>
                <w:color w:val="0000EE"/>
              </w:rPr>
              <w:t>31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6"/>
                <w:szCs w:val="16"/>
                <w:color w:val="0000EE"/>
              </w:rPr>
              <w:t>Recommendation of the Board of Directors</w:t>
            </w:r>
          </w:p>
        </w:tc>
        <w:tc>
          <w:tcPr>
            <w:tcW w:w="620" w:type="dxa"/>
            <w:vAlign w:val="bottom"/>
            <w:gridSpan w:val="3"/>
          </w:tcPr>
          <w:p>
            <w:pPr>
              <w:jc w:val="center"/>
              <w:ind w:left="357"/>
              <w:spacing w:after="0"/>
              <w:rPr>
                <w:sz w:val="20"/>
                <w:szCs w:val="20"/>
                <w:color w:val="auto"/>
              </w:rPr>
            </w:pPr>
            <w:r>
              <w:rPr>
                <w:rFonts w:ascii="Arial" w:cs="Arial" w:eastAsia="Arial" w:hAnsi="Arial"/>
                <w:sz w:val="16"/>
                <w:szCs w:val="16"/>
                <w:color w:val="0000EE"/>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0000EE"/>
              </w:rPr>
              <w:t>Accounting Fees</w:t>
            </w:r>
          </w:p>
        </w:tc>
        <w:tc>
          <w:tcPr>
            <w:tcW w:w="440" w:type="dxa"/>
            <w:vAlign w:val="bottom"/>
            <w:gridSpan w:val="2"/>
          </w:tcPr>
          <w:p>
            <w:pPr>
              <w:spacing w:after="0"/>
              <w:rPr>
                <w:sz w:val="18"/>
                <w:szCs w:val="18"/>
                <w:color w:val="auto"/>
              </w:rPr>
            </w:pPr>
          </w:p>
        </w:tc>
        <w:tc>
          <w:tcPr>
            <w:tcW w:w="620" w:type="dxa"/>
            <w:vAlign w:val="bottom"/>
            <w:gridSpan w:val="3"/>
          </w:tcPr>
          <w:p>
            <w:pPr>
              <w:jc w:val="center"/>
              <w:ind w:left="357"/>
              <w:spacing w:after="0"/>
              <w:rPr>
                <w:sz w:val="20"/>
                <w:szCs w:val="20"/>
                <w:color w:val="auto"/>
              </w:rPr>
            </w:pPr>
            <w:r>
              <w:rPr>
                <w:rFonts w:ascii="Arial" w:cs="Arial" w:eastAsia="Arial" w:hAnsi="Arial"/>
                <w:sz w:val="16"/>
                <w:szCs w:val="16"/>
                <w:color w:val="0000EE"/>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gridSpan w:val="6"/>
          </w:tcPr>
          <w:p>
            <w:pPr>
              <w:spacing w:after="0"/>
              <w:rPr>
                <w:sz w:val="20"/>
                <w:szCs w:val="20"/>
                <w:color w:val="auto"/>
              </w:rPr>
            </w:pPr>
            <w:r>
              <w:rPr>
                <w:rFonts w:ascii="Arial" w:cs="Arial" w:eastAsia="Arial" w:hAnsi="Arial"/>
                <w:sz w:val="16"/>
                <w:szCs w:val="16"/>
                <w:color w:val="0000EE"/>
              </w:rPr>
              <w:t>Pre-Approval of Audit and Non-Audit Services</w:t>
            </w:r>
          </w:p>
        </w:tc>
        <w:tc>
          <w:tcPr>
            <w:tcW w:w="620" w:type="dxa"/>
            <w:vAlign w:val="bottom"/>
            <w:gridSpan w:val="3"/>
          </w:tcPr>
          <w:p>
            <w:pPr>
              <w:jc w:val="center"/>
              <w:ind w:left="357"/>
              <w:spacing w:after="0"/>
              <w:rPr>
                <w:sz w:val="20"/>
                <w:szCs w:val="20"/>
                <w:color w:val="auto"/>
              </w:rPr>
            </w:pPr>
            <w:r>
              <w:rPr>
                <w:rFonts w:ascii="Arial" w:cs="Arial" w:eastAsia="Arial" w:hAnsi="Arial"/>
                <w:sz w:val="16"/>
                <w:szCs w:val="16"/>
                <w:color w:val="0000EE"/>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860" w:space="380"/>
            <w:col w:w="4940"/>
          </w:cols>
          <w:pgMar w:left="1360" w:top="114" w:right="13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9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358"/>
        </w:trPr>
        <w:tc>
          <w:tcPr>
            <w:tcW w:w="3260" w:type="dxa"/>
            <w:vAlign w:val="bottom"/>
            <w:tcBorders>
              <w:bottom w:val="single" w:sz="8" w:color="0000EE"/>
            </w:tcBorders>
            <w:gridSpan w:val="18"/>
          </w:tcPr>
          <w:p>
            <w:pPr>
              <w:spacing w:after="0"/>
              <w:rPr>
                <w:sz w:val="20"/>
                <w:szCs w:val="20"/>
                <w:color w:val="auto"/>
              </w:rPr>
            </w:pPr>
            <w:r>
              <w:rPr>
                <w:rFonts w:ascii="Arial" w:cs="Arial" w:eastAsia="Arial" w:hAnsi="Arial"/>
                <w:sz w:val="22"/>
                <w:szCs w:val="22"/>
                <w:b w:val="1"/>
                <w:bCs w:val="1"/>
                <w:color w:val="0000EE"/>
                <w:w w:val="97"/>
              </w:rPr>
              <w:t>PROPOSAL THREE: ADVISORY</w:t>
            </w:r>
          </w:p>
        </w:tc>
        <w:tc>
          <w:tcPr>
            <w:tcW w:w="70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60" w:type="dxa"/>
            <w:vAlign w:val="bottom"/>
            <w:gridSpan w:val="26"/>
          </w:tcPr>
          <w:p>
            <w:pPr>
              <w:spacing w:after="0" w:line="223" w:lineRule="exact"/>
              <w:rPr>
                <w:sz w:val="20"/>
                <w:szCs w:val="20"/>
                <w:color w:val="auto"/>
              </w:rPr>
            </w:pPr>
            <w:r>
              <w:rPr>
                <w:rFonts w:ascii="Arial" w:cs="Arial" w:eastAsia="Arial" w:hAnsi="Arial"/>
                <w:sz w:val="22"/>
                <w:szCs w:val="22"/>
                <w:b w:val="1"/>
                <w:bCs w:val="1"/>
                <w:color w:val="0000EE"/>
                <w:w w:val="99"/>
              </w:rPr>
              <w:t>VOTE TO APPROVE COMPENSATION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60" w:type="dxa"/>
            <w:vAlign w:val="bottom"/>
            <w:tcBorders>
              <w:top w:val="single" w:sz="8" w:color="0000EE"/>
            </w:tcBorders>
            <w:gridSpan w:val="25"/>
          </w:tcPr>
          <w:p>
            <w:pPr>
              <w:spacing w:after="0" w:line="209" w:lineRule="exact"/>
              <w:rPr>
                <w:sz w:val="20"/>
                <w:szCs w:val="20"/>
                <w:color w:val="auto"/>
              </w:rPr>
            </w:pPr>
            <w:r>
              <w:rPr>
                <w:rFonts w:ascii="Arial" w:cs="Arial" w:eastAsia="Arial" w:hAnsi="Arial"/>
                <w:sz w:val="22"/>
                <w:szCs w:val="22"/>
                <w:b w:val="1"/>
                <w:bCs w:val="1"/>
                <w:color w:val="0000EE"/>
              </w:rPr>
              <w:t>OF NAMED EXECUTIVE OFFICERS</w:t>
            </w:r>
          </w:p>
        </w:tc>
        <w:tc>
          <w:tcPr>
            <w:tcW w:w="100" w:type="dxa"/>
            <w:vAlign w:val="bottom"/>
          </w:tcPr>
          <w:p>
            <w:pPr>
              <w:spacing w:after="0"/>
              <w:rPr>
                <w:sz w:val="21"/>
                <w:szCs w:val="21"/>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0000EE"/>
              </w:rPr>
              <w:t>32</w:t>
            </w:r>
          </w:p>
        </w:tc>
        <w:tc>
          <w:tcPr>
            <w:tcW w:w="0" w:type="dxa"/>
            <w:vAlign w:val="bottom"/>
          </w:tcPr>
          <w:p>
            <w:pPr>
              <w:spacing w:after="0"/>
              <w:rPr>
                <w:sz w:val="1"/>
                <w:szCs w:val="1"/>
                <w:color w:val="auto"/>
              </w:rPr>
            </w:pPr>
          </w:p>
        </w:tc>
      </w:tr>
      <w:tr>
        <w:trPr>
          <w:trHeight w:val="28"/>
        </w:trPr>
        <w:tc>
          <w:tcPr>
            <w:tcW w:w="2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580" w:type="dxa"/>
            <w:vAlign w:val="bottom"/>
            <w:gridSpan w:val="3"/>
          </w:tcPr>
          <w:p>
            <w:pPr>
              <w:spacing w:after="0" w:line="183" w:lineRule="exact"/>
              <w:rPr>
                <w:sz w:val="20"/>
                <w:szCs w:val="20"/>
                <w:color w:val="auto"/>
              </w:rPr>
            </w:pPr>
            <w:r>
              <w:rPr>
                <w:rFonts w:ascii="Arial" w:cs="Arial" w:eastAsia="Arial" w:hAnsi="Arial"/>
                <w:sz w:val="16"/>
                <w:szCs w:val="16"/>
                <w:color w:val="0000EE"/>
                <w:w w:val="98"/>
              </w:rPr>
              <w:t>General</w:t>
            </w:r>
          </w:p>
        </w:tc>
        <w:tc>
          <w:tcPr>
            <w:tcW w:w="3100" w:type="dxa"/>
            <w:vAlign w:val="bottom"/>
            <w:gridSpan w:val="22"/>
          </w:tcPr>
          <w:p>
            <w:pPr>
              <w:spacing w:after="0"/>
              <w:rPr>
                <w:sz w:val="15"/>
                <w:szCs w:val="15"/>
                <w:color w:val="auto"/>
              </w:rPr>
            </w:pPr>
          </w:p>
        </w:tc>
        <w:tc>
          <w:tcPr>
            <w:tcW w:w="460" w:type="dxa"/>
            <w:vAlign w:val="bottom"/>
            <w:gridSpan w:val="4"/>
          </w:tcPr>
          <w:p>
            <w:pPr>
              <w:jc w:val="right"/>
              <w:spacing w:after="0" w:line="183" w:lineRule="exact"/>
              <w:rPr>
                <w:sz w:val="20"/>
                <w:szCs w:val="20"/>
                <w:color w:val="auto"/>
              </w:rPr>
            </w:pPr>
            <w:r>
              <w:rPr>
                <w:rFonts w:ascii="Arial" w:cs="Arial" w:eastAsia="Arial" w:hAnsi="Arial"/>
                <w:sz w:val="16"/>
                <w:szCs w:val="16"/>
                <w:color w:val="0000EE"/>
              </w:rPr>
              <w:t>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3080" w:type="dxa"/>
            <w:vAlign w:val="bottom"/>
            <w:gridSpan w:val="18"/>
          </w:tcPr>
          <w:p>
            <w:pPr>
              <w:spacing w:after="0"/>
              <w:rPr>
                <w:sz w:val="20"/>
                <w:szCs w:val="20"/>
                <w:color w:val="auto"/>
              </w:rPr>
            </w:pPr>
            <w:r>
              <w:rPr>
                <w:rFonts w:ascii="Arial" w:cs="Arial" w:eastAsia="Arial" w:hAnsi="Arial"/>
                <w:sz w:val="16"/>
                <w:szCs w:val="16"/>
                <w:color w:val="0000EE"/>
              </w:rPr>
              <w:t>Recommendation of the Board of Directors</w:t>
            </w:r>
          </w:p>
        </w:tc>
        <w:tc>
          <w:tcPr>
            <w:tcW w:w="600" w:type="dxa"/>
            <w:vAlign w:val="bottom"/>
            <w:gridSpan w:val="7"/>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6"/>
                <w:szCs w:val="16"/>
                <w:color w:val="0000EE"/>
              </w:rPr>
              <w:t>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960" w:type="dxa"/>
            <w:vAlign w:val="bottom"/>
            <w:gridSpan w:val="26"/>
          </w:tcPr>
          <w:p>
            <w:pPr>
              <w:spacing w:after="0"/>
              <w:rPr>
                <w:sz w:val="20"/>
                <w:szCs w:val="20"/>
                <w:color w:val="auto"/>
              </w:rPr>
            </w:pPr>
            <w:r>
              <w:rPr>
                <w:rFonts w:ascii="Arial" w:cs="Arial" w:eastAsia="Arial" w:hAnsi="Arial"/>
                <w:sz w:val="22"/>
                <w:szCs w:val="22"/>
                <w:b w:val="1"/>
                <w:bCs w:val="1"/>
                <w:color w:val="0000EE"/>
              </w:rPr>
              <w:t>AUDIT COMMITTEE REPORT</w:t>
            </w: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0000EE"/>
              </w:rPr>
              <w:t>33</w:t>
            </w:r>
          </w:p>
        </w:tc>
        <w:tc>
          <w:tcPr>
            <w:tcW w:w="0" w:type="dxa"/>
            <w:vAlign w:val="bottom"/>
          </w:tcPr>
          <w:p>
            <w:pPr>
              <w:spacing w:after="0"/>
              <w:rPr>
                <w:sz w:val="1"/>
                <w:szCs w:val="1"/>
                <w:color w:val="auto"/>
              </w:rPr>
            </w:pPr>
          </w:p>
        </w:tc>
      </w:tr>
      <w:tr>
        <w:trPr>
          <w:trHeight w:val="28"/>
        </w:trPr>
        <w:tc>
          <w:tcPr>
            <w:tcW w:w="2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4"/>
        </w:trPr>
        <w:tc>
          <w:tcPr>
            <w:tcW w:w="3960" w:type="dxa"/>
            <w:vAlign w:val="bottom"/>
            <w:gridSpan w:val="26"/>
          </w:tcPr>
          <w:p>
            <w:pPr>
              <w:spacing w:after="0"/>
              <w:rPr>
                <w:sz w:val="20"/>
                <w:szCs w:val="20"/>
                <w:color w:val="auto"/>
              </w:rPr>
            </w:pPr>
            <w:r>
              <w:rPr>
                <w:rFonts w:ascii="Arial" w:cs="Arial" w:eastAsia="Arial" w:hAnsi="Arial"/>
                <w:sz w:val="22"/>
                <w:szCs w:val="22"/>
                <w:b w:val="1"/>
                <w:bCs w:val="1"/>
                <w:color w:val="0000EE"/>
              </w:rPr>
              <w:t>EXECUTIVE OFFICERS</w:t>
            </w: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0000EE"/>
              </w:rPr>
              <w:t>34</w:t>
            </w:r>
          </w:p>
        </w:tc>
        <w:tc>
          <w:tcPr>
            <w:tcW w:w="0" w:type="dxa"/>
            <w:vAlign w:val="bottom"/>
          </w:tcPr>
          <w:p>
            <w:pPr>
              <w:spacing w:after="0"/>
              <w:rPr>
                <w:sz w:val="1"/>
                <w:szCs w:val="1"/>
                <w:color w:val="auto"/>
              </w:rPr>
            </w:pPr>
          </w:p>
        </w:tc>
      </w:tr>
      <w:tr>
        <w:trPr>
          <w:trHeight w:val="28"/>
        </w:trPr>
        <w:tc>
          <w:tcPr>
            <w:tcW w:w="2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3960" w:type="dxa"/>
            <w:vAlign w:val="bottom"/>
            <w:gridSpan w:val="26"/>
          </w:tcPr>
          <w:p>
            <w:pPr>
              <w:spacing w:after="0"/>
              <w:rPr>
                <w:sz w:val="20"/>
                <w:szCs w:val="20"/>
                <w:color w:val="auto"/>
              </w:rPr>
            </w:pPr>
            <w:r>
              <w:rPr>
                <w:rFonts w:ascii="Arial" w:cs="Arial" w:eastAsia="Arial" w:hAnsi="Arial"/>
                <w:sz w:val="22"/>
                <w:szCs w:val="22"/>
                <w:b w:val="1"/>
                <w:bCs w:val="1"/>
                <w:color w:val="0000EE"/>
              </w:rPr>
              <w:t>EXECUTIVE COMPENSATION</w:t>
            </w: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0000EE"/>
              </w:rPr>
              <w:t>35</w:t>
            </w:r>
          </w:p>
        </w:tc>
        <w:tc>
          <w:tcPr>
            <w:tcW w:w="0" w:type="dxa"/>
            <w:vAlign w:val="bottom"/>
          </w:tcPr>
          <w:p>
            <w:pPr>
              <w:spacing w:after="0"/>
              <w:rPr>
                <w:sz w:val="1"/>
                <w:szCs w:val="1"/>
                <w:color w:val="auto"/>
              </w:rPr>
            </w:pPr>
          </w:p>
        </w:tc>
      </w:tr>
      <w:tr>
        <w:trPr>
          <w:trHeight w:val="28"/>
        </w:trPr>
        <w:tc>
          <w:tcPr>
            <w:tcW w:w="2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840" w:type="dxa"/>
            <w:vAlign w:val="bottom"/>
            <w:gridSpan w:val="15"/>
          </w:tcPr>
          <w:p>
            <w:pPr>
              <w:spacing w:after="0" w:line="183" w:lineRule="exact"/>
              <w:rPr>
                <w:sz w:val="20"/>
                <w:szCs w:val="20"/>
                <w:color w:val="auto"/>
              </w:rPr>
            </w:pPr>
            <w:r>
              <w:rPr>
                <w:rFonts w:ascii="Arial" w:cs="Arial" w:eastAsia="Arial" w:hAnsi="Arial"/>
                <w:sz w:val="16"/>
                <w:szCs w:val="16"/>
                <w:color w:val="0000EE"/>
              </w:rPr>
              <w:t>Compensation Discussion and Analysis</w:t>
            </w:r>
          </w:p>
        </w:tc>
        <w:tc>
          <w:tcPr>
            <w:tcW w:w="840" w:type="dxa"/>
            <w:vAlign w:val="bottom"/>
            <w:gridSpan w:val="10"/>
          </w:tcPr>
          <w:p>
            <w:pPr>
              <w:spacing w:after="0"/>
              <w:rPr>
                <w:sz w:val="15"/>
                <w:szCs w:val="15"/>
                <w:color w:val="auto"/>
              </w:rPr>
            </w:pPr>
          </w:p>
        </w:tc>
        <w:tc>
          <w:tcPr>
            <w:tcW w:w="460" w:type="dxa"/>
            <w:vAlign w:val="bottom"/>
            <w:gridSpan w:val="4"/>
          </w:tcPr>
          <w:p>
            <w:pPr>
              <w:jc w:val="right"/>
              <w:spacing w:after="0" w:line="183" w:lineRule="exact"/>
              <w:rPr>
                <w:sz w:val="20"/>
                <w:szCs w:val="20"/>
                <w:color w:val="auto"/>
              </w:rPr>
            </w:pPr>
            <w:r>
              <w:rPr>
                <w:rFonts w:ascii="Arial" w:cs="Arial" w:eastAsia="Arial" w:hAnsi="Arial"/>
                <w:sz w:val="16"/>
                <w:szCs w:val="16"/>
                <w:color w:val="0000EE"/>
              </w:rPr>
              <w:t>35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840" w:type="dxa"/>
            <w:vAlign w:val="bottom"/>
            <w:gridSpan w:val="15"/>
          </w:tcPr>
          <w:p>
            <w:pPr>
              <w:spacing w:after="0"/>
              <w:rPr>
                <w:sz w:val="20"/>
                <w:szCs w:val="20"/>
                <w:color w:val="auto"/>
              </w:rPr>
            </w:pPr>
            <w:r>
              <w:rPr>
                <w:rFonts w:ascii="Arial" w:cs="Arial" w:eastAsia="Arial" w:hAnsi="Arial"/>
                <w:sz w:val="16"/>
                <w:szCs w:val="16"/>
                <w:color w:val="0000EE"/>
              </w:rPr>
              <w:t>Compensation and Risk Assessment</w:t>
            </w:r>
          </w:p>
        </w:tc>
        <w:tc>
          <w:tcPr>
            <w:tcW w:w="840" w:type="dxa"/>
            <w:vAlign w:val="bottom"/>
            <w:gridSpan w:val="10"/>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6"/>
                <w:szCs w:val="16"/>
                <w:color w:val="0000EE"/>
              </w:rPr>
              <w:t>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00" w:type="dxa"/>
            <w:vAlign w:val="bottom"/>
            <w:gridSpan w:val="12"/>
          </w:tcPr>
          <w:p>
            <w:pPr>
              <w:spacing w:after="0"/>
              <w:rPr>
                <w:sz w:val="20"/>
                <w:szCs w:val="20"/>
                <w:color w:val="auto"/>
              </w:rPr>
            </w:pPr>
            <w:r>
              <w:rPr>
                <w:rFonts w:ascii="Arial" w:cs="Arial" w:eastAsia="Arial" w:hAnsi="Arial"/>
                <w:sz w:val="16"/>
                <w:szCs w:val="16"/>
                <w:color w:val="0000EE"/>
              </w:rPr>
              <w:t>Compensation Committee Report</w:t>
            </w:r>
          </w:p>
        </w:tc>
        <w:tc>
          <w:tcPr>
            <w:tcW w:w="1080" w:type="dxa"/>
            <w:vAlign w:val="bottom"/>
            <w:gridSpan w:val="13"/>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6"/>
                <w:szCs w:val="16"/>
                <w:color w:val="0000EE"/>
              </w:rPr>
              <w:t>46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220" w:type="dxa"/>
            <w:vAlign w:val="bottom"/>
            <w:gridSpan w:val="10"/>
          </w:tcPr>
          <w:p>
            <w:pPr>
              <w:spacing w:after="0"/>
              <w:rPr>
                <w:sz w:val="20"/>
                <w:szCs w:val="20"/>
                <w:color w:val="auto"/>
              </w:rPr>
            </w:pPr>
            <w:r>
              <w:rPr>
                <w:rFonts w:ascii="Arial" w:cs="Arial" w:eastAsia="Arial" w:hAnsi="Arial"/>
                <w:sz w:val="16"/>
                <w:szCs w:val="16"/>
                <w:color w:val="0000EE"/>
                <w:w w:val="99"/>
              </w:rPr>
              <w:t>Summary Compensation Table</w:t>
            </w:r>
          </w:p>
        </w:tc>
        <w:tc>
          <w:tcPr>
            <w:tcW w:w="180" w:type="dxa"/>
            <w:vAlign w:val="bottom"/>
          </w:tcPr>
          <w:p>
            <w:pPr>
              <w:spacing w:after="0"/>
              <w:rPr>
                <w:sz w:val="18"/>
                <w:szCs w:val="18"/>
                <w:color w:val="auto"/>
              </w:rPr>
            </w:pPr>
          </w:p>
        </w:tc>
        <w:tc>
          <w:tcPr>
            <w:tcW w:w="1280" w:type="dxa"/>
            <w:vAlign w:val="bottom"/>
            <w:gridSpan w:val="14"/>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6"/>
                <w:szCs w:val="16"/>
                <w:color w:val="0000EE"/>
              </w:rPr>
              <w:t>47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3180" w:type="dxa"/>
            <w:vAlign w:val="bottom"/>
            <w:gridSpan w:val="19"/>
          </w:tcPr>
          <w:p>
            <w:pPr>
              <w:spacing w:after="0"/>
              <w:rPr>
                <w:sz w:val="20"/>
                <w:szCs w:val="20"/>
                <w:color w:val="auto"/>
              </w:rPr>
            </w:pPr>
            <w:r>
              <w:rPr>
                <w:rFonts w:ascii="Arial" w:cs="Arial" w:eastAsia="Arial" w:hAnsi="Arial"/>
                <w:sz w:val="16"/>
                <w:szCs w:val="16"/>
                <w:color w:val="0000EE"/>
              </w:rPr>
              <w:t>Grants of Plan-Based Awards in Fiscal 2024</w:t>
            </w:r>
          </w:p>
        </w:tc>
        <w:tc>
          <w:tcPr>
            <w:tcW w:w="500" w:type="dxa"/>
            <w:vAlign w:val="bottom"/>
            <w:gridSpan w:val="6"/>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6"/>
                <w:szCs w:val="16"/>
                <w:color w:val="0000EE"/>
              </w:rPr>
              <w:t>49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3680" w:type="dxa"/>
            <w:vAlign w:val="bottom"/>
            <w:gridSpan w:val="25"/>
          </w:tcPr>
          <w:p>
            <w:pPr>
              <w:spacing w:after="0"/>
              <w:rPr>
                <w:sz w:val="20"/>
                <w:szCs w:val="20"/>
                <w:color w:val="auto"/>
              </w:rPr>
            </w:pPr>
            <w:r>
              <w:rPr>
                <w:rFonts w:ascii="Arial" w:cs="Arial" w:eastAsia="Arial" w:hAnsi="Arial"/>
                <w:sz w:val="16"/>
                <w:szCs w:val="16"/>
                <w:color w:val="0000EE"/>
              </w:rPr>
              <w:t>Outstanding Equity Awards at Fiscal 2024 Year-</w:t>
            </w:r>
          </w:p>
        </w:tc>
        <w:tc>
          <w:tcPr>
            <w:tcW w:w="460" w:type="dxa"/>
            <w:vAlign w:val="bottom"/>
            <w:gridSpan w:val="4"/>
            <w:vMerge w:val="restart"/>
          </w:tcPr>
          <w:p>
            <w:pPr>
              <w:jc w:val="right"/>
              <w:spacing w:after="0"/>
              <w:rPr>
                <w:sz w:val="20"/>
                <w:szCs w:val="20"/>
                <w:color w:val="auto"/>
              </w:rPr>
            </w:pPr>
            <w:r>
              <w:rPr>
                <w:rFonts w:ascii="Arial" w:cs="Arial" w:eastAsia="Arial" w:hAnsi="Arial"/>
                <w:sz w:val="16"/>
                <w:szCs w:val="16"/>
                <w:color w:val="0000EE"/>
              </w:rPr>
              <w:t>50</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0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98"/>
              </w:rPr>
              <w:t>End</w:t>
            </w:r>
          </w:p>
        </w:tc>
        <w:tc>
          <w:tcPr>
            <w:tcW w:w="3140" w:type="dxa"/>
            <w:vAlign w:val="bottom"/>
            <w:tcBorders>
              <w:top w:val="single" w:sz="8" w:color="0000EE"/>
            </w:tcBorders>
            <w:gridSpan w:val="21"/>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3680" w:type="dxa"/>
            <w:vAlign w:val="bottom"/>
            <w:gridSpan w:val="25"/>
          </w:tcPr>
          <w:p>
            <w:pPr>
              <w:spacing w:after="0"/>
              <w:rPr>
                <w:sz w:val="20"/>
                <w:szCs w:val="20"/>
                <w:color w:val="auto"/>
              </w:rPr>
            </w:pPr>
            <w:r>
              <w:rPr>
                <w:rFonts w:ascii="Arial" w:cs="Arial" w:eastAsia="Arial" w:hAnsi="Arial"/>
                <w:sz w:val="16"/>
                <w:szCs w:val="16"/>
                <w:color w:val="0000EE"/>
              </w:rPr>
              <w:t>Option Exercises and Shares Vested in Fiscal</w:t>
            </w:r>
          </w:p>
        </w:tc>
        <w:tc>
          <w:tcPr>
            <w:tcW w:w="460" w:type="dxa"/>
            <w:vAlign w:val="bottom"/>
            <w:gridSpan w:val="4"/>
            <w:vMerge w:val="restart"/>
          </w:tcPr>
          <w:p>
            <w:pPr>
              <w:jc w:val="right"/>
              <w:spacing w:after="0"/>
              <w:rPr>
                <w:sz w:val="20"/>
                <w:szCs w:val="20"/>
                <w:color w:val="auto"/>
              </w:rPr>
            </w:pPr>
            <w:r>
              <w:rPr>
                <w:rFonts w:ascii="Arial" w:cs="Arial" w:eastAsia="Arial" w:hAnsi="Arial"/>
                <w:sz w:val="16"/>
                <w:szCs w:val="16"/>
                <w:color w:val="0000EE"/>
              </w:rPr>
              <w:t>51</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6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5"/>
              </w:rPr>
              <w:t>2024</w:t>
            </w: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3680" w:type="dxa"/>
            <w:vAlign w:val="bottom"/>
            <w:gridSpan w:val="25"/>
          </w:tcPr>
          <w:p>
            <w:pPr>
              <w:spacing w:after="0"/>
              <w:rPr>
                <w:sz w:val="20"/>
                <w:szCs w:val="20"/>
                <w:color w:val="auto"/>
              </w:rPr>
            </w:pPr>
            <w:r>
              <w:rPr>
                <w:rFonts w:ascii="Arial" w:cs="Arial" w:eastAsia="Arial" w:hAnsi="Arial"/>
                <w:sz w:val="16"/>
                <w:szCs w:val="16"/>
                <w:color w:val="0000EE"/>
              </w:rPr>
              <w:t>Potential Payments Upon Termination or Change</w:t>
            </w:r>
          </w:p>
        </w:tc>
        <w:tc>
          <w:tcPr>
            <w:tcW w:w="460" w:type="dxa"/>
            <w:vAlign w:val="bottom"/>
            <w:gridSpan w:val="4"/>
            <w:vMerge w:val="restart"/>
          </w:tcPr>
          <w:p>
            <w:pPr>
              <w:jc w:val="right"/>
              <w:spacing w:after="0"/>
              <w:rPr>
                <w:sz w:val="20"/>
                <w:szCs w:val="20"/>
                <w:color w:val="auto"/>
              </w:rPr>
            </w:pPr>
            <w:r>
              <w:rPr>
                <w:rFonts w:ascii="Arial" w:cs="Arial" w:eastAsia="Arial" w:hAnsi="Arial"/>
                <w:sz w:val="16"/>
                <w:szCs w:val="16"/>
                <w:color w:val="0000EE"/>
              </w:rPr>
              <w:t>52</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520" w:type="dxa"/>
            <w:vAlign w:val="bottom"/>
            <w:tcBorders>
              <w:top w:val="single" w:sz="8" w:color="0000EE"/>
            </w:tcBorders>
            <w:gridSpan w:val="23"/>
          </w:tcPr>
          <w:p>
            <w:pPr>
              <w:spacing w:after="0" w:line="169" w:lineRule="exact"/>
              <w:rPr>
                <w:sz w:val="20"/>
                <w:szCs w:val="20"/>
                <w:color w:val="auto"/>
              </w:rPr>
            </w:pPr>
            <w:r>
              <w:rPr>
                <w:rFonts w:ascii="Arial" w:cs="Arial" w:eastAsia="Arial" w:hAnsi="Arial"/>
                <w:sz w:val="16"/>
                <w:szCs w:val="16"/>
                <w:color w:val="0000EE"/>
              </w:rPr>
              <w:t>of Control</w:t>
            </w:r>
          </w:p>
        </w:tc>
        <w:tc>
          <w:tcPr>
            <w:tcW w:w="160" w:type="dxa"/>
            <w:vAlign w:val="bottom"/>
            <w:gridSpan w:val="2"/>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960" w:type="dxa"/>
            <w:vAlign w:val="bottom"/>
            <w:gridSpan w:val="26"/>
          </w:tcPr>
          <w:p>
            <w:pPr>
              <w:spacing w:after="0"/>
              <w:rPr>
                <w:sz w:val="20"/>
                <w:szCs w:val="20"/>
                <w:color w:val="auto"/>
              </w:rPr>
            </w:pPr>
            <w:r>
              <w:rPr>
                <w:rFonts w:ascii="Arial" w:cs="Arial" w:eastAsia="Arial" w:hAnsi="Arial"/>
                <w:sz w:val="22"/>
                <w:szCs w:val="22"/>
                <w:b w:val="1"/>
                <w:bCs w:val="1"/>
                <w:color w:val="0000EE"/>
              </w:rPr>
              <w:t>ADDITIONAL COMPENSATION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Borders>
              <w:top w:val="single" w:sz="8" w:color="0000EE"/>
            </w:tcBorders>
            <w:gridSpan w:val="17"/>
          </w:tcPr>
          <w:p>
            <w:pPr>
              <w:spacing w:after="0" w:line="209" w:lineRule="exact"/>
              <w:rPr>
                <w:sz w:val="20"/>
                <w:szCs w:val="20"/>
                <w:color w:val="auto"/>
              </w:rPr>
            </w:pPr>
            <w:r>
              <w:rPr>
                <w:rFonts w:ascii="Arial" w:cs="Arial" w:eastAsia="Arial" w:hAnsi="Arial"/>
                <w:sz w:val="22"/>
                <w:szCs w:val="22"/>
                <w:b w:val="1"/>
                <w:bCs w:val="1"/>
                <w:color w:val="0000EE"/>
              </w:rPr>
              <w:t>MATTERS</w:t>
            </w:r>
          </w:p>
        </w:tc>
        <w:tc>
          <w:tcPr>
            <w:tcW w:w="420" w:type="dxa"/>
            <w:vAlign w:val="bottom"/>
            <w:gridSpan w:val="4"/>
          </w:tcPr>
          <w:p>
            <w:pPr>
              <w:spacing w:after="0"/>
              <w:rPr>
                <w:sz w:val="21"/>
                <w:szCs w:val="21"/>
                <w:color w:val="auto"/>
              </w:rPr>
            </w:pPr>
          </w:p>
        </w:tc>
        <w:tc>
          <w:tcPr>
            <w:tcW w:w="400" w:type="dxa"/>
            <w:vAlign w:val="bottom"/>
            <w:gridSpan w:val="5"/>
          </w:tcPr>
          <w:p>
            <w:pPr>
              <w:spacing w:after="0"/>
              <w:rPr>
                <w:sz w:val="21"/>
                <w:szCs w:val="21"/>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b w:val="1"/>
                <w:bCs w:val="1"/>
                <w:color w:val="0000EE"/>
              </w:rPr>
              <w:t>59</w:t>
            </w:r>
          </w:p>
        </w:tc>
        <w:tc>
          <w:tcPr>
            <w:tcW w:w="0" w:type="dxa"/>
            <w:vAlign w:val="bottom"/>
          </w:tcPr>
          <w:p>
            <w:pPr>
              <w:spacing w:after="0"/>
              <w:rPr>
                <w:sz w:val="1"/>
                <w:szCs w:val="1"/>
                <w:color w:val="auto"/>
              </w:rPr>
            </w:pPr>
          </w:p>
        </w:tc>
      </w:tr>
      <w:tr>
        <w:trPr>
          <w:trHeight w:val="28"/>
        </w:trPr>
        <w:tc>
          <w:tcPr>
            <w:tcW w:w="28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680" w:type="dxa"/>
            <w:vAlign w:val="bottom"/>
            <w:gridSpan w:val="25"/>
          </w:tcPr>
          <w:p>
            <w:pPr>
              <w:spacing w:after="0" w:line="183" w:lineRule="exact"/>
              <w:rPr>
                <w:sz w:val="20"/>
                <w:szCs w:val="20"/>
                <w:color w:val="auto"/>
              </w:rPr>
            </w:pPr>
            <w:r>
              <w:rPr>
                <w:rFonts w:ascii="Arial" w:cs="Arial" w:eastAsia="Arial" w:hAnsi="Arial"/>
                <w:sz w:val="16"/>
                <w:szCs w:val="16"/>
                <w:color w:val="0000EE"/>
              </w:rPr>
              <w:t>CEO Pay Ratio</w:t>
            </w:r>
          </w:p>
        </w:tc>
        <w:tc>
          <w:tcPr>
            <w:tcW w:w="460" w:type="dxa"/>
            <w:vAlign w:val="bottom"/>
            <w:gridSpan w:val="4"/>
          </w:tcPr>
          <w:p>
            <w:pPr>
              <w:jc w:val="right"/>
              <w:spacing w:after="0" w:line="183" w:lineRule="exact"/>
              <w:rPr>
                <w:sz w:val="20"/>
                <w:szCs w:val="20"/>
                <w:color w:val="auto"/>
              </w:rPr>
            </w:pPr>
            <w:r>
              <w:rPr>
                <w:rFonts w:ascii="Arial" w:cs="Arial" w:eastAsia="Arial" w:hAnsi="Arial"/>
                <w:sz w:val="16"/>
                <w:szCs w:val="16"/>
                <w:color w:val="0000EE"/>
              </w:rPr>
              <w:t>59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00" w:type="dxa"/>
            <w:vAlign w:val="bottom"/>
            <w:gridSpan w:val="12"/>
          </w:tcPr>
          <w:p>
            <w:pPr>
              <w:spacing w:after="0"/>
              <w:rPr>
                <w:sz w:val="20"/>
                <w:szCs w:val="20"/>
                <w:color w:val="auto"/>
              </w:rPr>
            </w:pPr>
            <w:r>
              <w:rPr>
                <w:rFonts w:ascii="Arial" w:cs="Arial" w:eastAsia="Arial" w:hAnsi="Arial"/>
                <w:sz w:val="16"/>
                <w:szCs w:val="16"/>
                <w:color w:val="0000EE"/>
                <w:w w:val="99"/>
              </w:rPr>
              <w:t>Pay Versus Performance Disclosure</w:t>
            </w:r>
          </w:p>
        </w:tc>
        <w:tc>
          <w:tcPr>
            <w:tcW w:w="1080" w:type="dxa"/>
            <w:vAlign w:val="bottom"/>
            <w:gridSpan w:val="13"/>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6"/>
                <w:szCs w:val="16"/>
                <w:color w:val="0000EE"/>
              </w:rPr>
              <w:t>59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3680" w:type="dxa"/>
            <w:vAlign w:val="bottom"/>
            <w:gridSpan w:val="25"/>
          </w:tcPr>
          <w:p>
            <w:pPr>
              <w:spacing w:after="0"/>
              <w:rPr>
                <w:sz w:val="20"/>
                <w:szCs w:val="20"/>
                <w:color w:val="auto"/>
              </w:rPr>
            </w:pPr>
            <w:r>
              <w:rPr>
                <w:rFonts w:ascii="Arial" w:cs="Arial" w:eastAsia="Arial" w:hAnsi="Arial"/>
                <w:sz w:val="16"/>
                <w:szCs w:val="16"/>
                <w:color w:val="0000EE"/>
              </w:rPr>
              <w:t>Policies and Practices Related to the Grant of</w:t>
            </w:r>
          </w:p>
        </w:tc>
        <w:tc>
          <w:tcPr>
            <w:tcW w:w="460" w:type="dxa"/>
            <w:vAlign w:val="bottom"/>
            <w:gridSpan w:val="4"/>
            <w:vMerge w:val="restart"/>
          </w:tcPr>
          <w:p>
            <w:pPr>
              <w:jc w:val="right"/>
              <w:spacing w:after="0"/>
              <w:rPr>
                <w:sz w:val="20"/>
                <w:szCs w:val="20"/>
                <w:color w:val="auto"/>
              </w:rPr>
            </w:pPr>
            <w:r>
              <w:rPr>
                <w:rFonts w:ascii="Arial" w:cs="Arial" w:eastAsia="Arial" w:hAnsi="Arial"/>
                <w:sz w:val="16"/>
                <w:szCs w:val="16"/>
                <w:color w:val="0000EE"/>
              </w:rPr>
              <w:t>63</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328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6"/>
                <w:szCs w:val="16"/>
                <w:color w:val="0000EE"/>
              </w:rPr>
              <w:t>Certain Equity Awards</w:t>
            </w:r>
          </w:p>
        </w:tc>
        <w:tc>
          <w:tcPr>
            <w:tcW w:w="400" w:type="dxa"/>
            <w:vAlign w:val="bottom"/>
            <w:gridSpan w:val="5"/>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6"/>
          </w:tcPr>
          <w:p>
            <w:pPr>
              <w:jc w:val="right"/>
              <w:spacing w:after="0"/>
              <w:rPr>
                <w:sz w:val="20"/>
                <w:szCs w:val="20"/>
                <w:color w:val="auto"/>
              </w:rPr>
            </w:pPr>
            <w:r>
              <w:rPr>
                <w:rFonts w:ascii="Arial" w:cs="Arial" w:eastAsia="Arial" w:hAnsi="Arial"/>
                <w:sz w:val="15"/>
                <w:szCs w:val="15"/>
                <w:color w:val="auto"/>
              </w:rPr>
              <w:t>Page</w:t>
            </w:r>
          </w:p>
        </w:tc>
        <w:tc>
          <w:tcPr>
            <w:tcW w:w="0" w:type="dxa"/>
            <w:vAlign w:val="bottom"/>
          </w:tcPr>
          <w:p>
            <w:pPr>
              <w:spacing w:after="0"/>
              <w:rPr>
                <w:sz w:val="1"/>
                <w:szCs w:val="1"/>
                <w:color w:val="auto"/>
              </w:rPr>
            </w:pPr>
          </w:p>
        </w:tc>
      </w:tr>
      <w:tr>
        <w:trPr>
          <w:trHeight w:val="358"/>
        </w:trPr>
        <w:tc>
          <w:tcPr>
            <w:tcW w:w="3920" w:type="dxa"/>
            <w:vAlign w:val="bottom"/>
            <w:gridSpan w:val="16"/>
          </w:tcPr>
          <w:p>
            <w:pPr>
              <w:spacing w:after="0"/>
              <w:rPr>
                <w:sz w:val="20"/>
                <w:szCs w:val="20"/>
                <w:color w:val="auto"/>
              </w:rPr>
            </w:pPr>
            <w:r>
              <w:rPr>
                <w:rFonts w:ascii="Arial" w:cs="Arial" w:eastAsia="Arial" w:hAnsi="Arial"/>
                <w:sz w:val="22"/>
                <w:szCs w:val="22"/>
                <w:b w:val="1"/>
                <w:bCs w:val="1"/>
                <w:color w:val="0000EE"/>
              </w:rPr>
              <w:t>CERTAIN RELATIONSHIPS AND</w:t>
            </w: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Borders>
              <w:top w:val="single" w:sz="8" w:color="0000EE"/>
            </w:tcBorders>
            <w:gridSpan w:val="13"/>
          </w:tcPr>
          <w:p>
            <w:pPr>
              <w:spacing w:after="0" w:line="209" w:lineRule="exact"/>
              <w:rPr>
                <w:sz w:val="20"/>
                <w:szCs w:val="20"/>
                <w:color w:val="auto"/>
              </w:rPr>
            </w:pPr>
            <w:r>
              <w:rPr>
                <w:rFonts w:ascii="Arial" w:cs="Arial" w:eastAsia="Arial" w:hAnsi="Arial"/>
                <w:sz w:val="22"/>
                <w:szCs w:val="22"/>
                <w:b w:val="1"/>
                <w:bCs w:val="1"/>
                <w:color w:val="0000EE"/>
              </w:rPr>
              <w:t>RELATED TRANSACTIONS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EE"/>
              </w:rPr>
              <w:t>64</w:t>
            </w:r>
          </w:p>
        </w:tc>
        <w:tc>
          <w:tcPr>
            <w:tcW w:w="0" w:type="dxa"/>
            <w:vAlign w:val="bottom"/>
          </w:tcPr>
          <w:p>
            <w:pPr>
              <w:spacing w:after="0"/>
              <w:rPr>
                <w:sz w:val="1"/>
                <w:szCs w:val="1"/>
                <w:color w:val="auto"/>
              </w:rPr>
            </w:pPr>
          </w:p>
        </w:tc>
      </w:tr>
      <w:tr>
        <w:trPr>
          <w:trHeight w:val="28"/>
        </w:trPr>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3620" w:type="dxa"/>
            <w:vAlign w:val="bottom"/>
            <w:gridSpan w:val="15"/>
          </w:tcPr>
          <w:p>
            <w:pPr>
              <w:spacing w:after="0" w:line="183" w:lineRule="exact"/>
              <w:rPr>
                <w:sz w:val="20"/>
                <w:szCs w:val="20"/>
                <w:color w:val="auto"/>
              </w:rPr>
            </w:pPr>
            <w:r>
              <w:rPr>
                <w:rFonts w:ascii="Arial" w:cs="Arial" w:eastAsia="Arial" w:hAnsi="Arial"/>
                <w:sz w:val="16"/>
                <w:szCs w:val="16"/>
                <w:color w:val="0000EE"/>
              </w:rPr>
              <w:t>Related Party Transactions</w:t>
            </w:r>
          </w:p>
        </w:tc>
        <w:tc>
          <w:tcPr>
            <w:tcW w:w="520" w:type="dxa"/>
            <w:vAlign w:val="bottom"/>
            <w:gridSpan w:val="6"/>
          </w:tcPr>
          <w:p>
            <w:pPr>
              <w:jc w:val="right"/>
              <w:spacing w:after="0" w:line="183" w:lineRule="exact"/>
              <w:rPr>
                <w:sz w:val="20"/>
                <w:szCs w:val="20"/>
                <w:color w:val="auto"/>
              </w:rPr>
            </w:pPr>
            <w:r>
              <w:rPr>
                <w:rFonts w:ascii="Arial" w:cs="Arial" w:eastAsia="Arial" w:hAnsi="Arial"/>
                <w:sz w:val="16"/>
                <w:szCs w:val="16"/>
                <w:color w:val="0000EE"/>
              </w:rPr>
              <w:t>64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3620" w:type="dxa"/>
            <w:vAlign w:val="bottom"/>
            <w:gridSpan w:val="15"/>
          </w:tcPr>
          <w:p>
            <w:pPr>
              <w:spacing w:after="0"/>
              <w:rPr>
                <w:sz w:val="20"/>
                <w:szCs w:val="20"/>
                <w:color w:val="auto"/>
              </w:rPr>
            </w:pPr>
            <w:r>
              <w:rPr>
                <w:rFonts w:ascii="Arial" w:cs="Arial" w:eastAsia="Arial" w:hAnsi="Arial"/>
                <w:sz w:val="16"/>
                <w:szCs w:val="16"/>
                <w:color w:val="0000EE"/>
              </w:rPr>
              <w:t>Policy for Approval of Related Party</w:t>
            </w:r>
          </w:p>
        </w:tc>
        <w:tc>
          <w:tcPr>
            <w:tcW w:w="520" w:type="dxa"/>
            <w:vAlign w:val="bottom"/>
            <w:gridSpan w:val="6"/>
            <w:vMerge w:val="restart"/>
          </w:tcPr>
          <w:p>
            <w:pPr>
              <w:jc w:val="right"/>
              <w:spacing w:after="0"/>
              <w:rPr>
                <w:sz w:val="20"/>
                <w:szCs w:val="20"/>
                <w:color w:val="auto"/>
              </w:rPr>
            </w:pPr>
            <w:r>
              <w:rPr>
                <w:rFonts w:ascii="Arial" w:cs="Arial" w:eastAsia="Arial" w:hAnsi="Arial"/>
                <w:sz w:val="16"/>
                <w:szCs w:val="16"/>
                <w:color w:val="0000EE"/>
              </w:rPr>
              <w:t>64</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92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8"/>
              </w:rPr>
              <w:t>Transactions</w:t>
            </w:r>
          </w:p>
        </w:tc>
        <w:tc>
          <w:tcPr>
            <w:tcW w:w="1680" w:type="dxa"/>
            <w:vAlign w:val="bottom"/>
            <w:tcBorders>
              <w:top w:val="single" w:sz="8" w:color="0000EE"/>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20" w:type="dxa"/>
            <w:vAlign w:val="bottom"/>
            <w:gridSpan w:val="16"/>
          </w:tcPr>
          <w:p>
            <w:pPr>
              <w:spacing w:after="0"/>
              <w:rPr>
                <w:sz w:val="20"/>
                <w:szCs w:val="20"/>
                <w:color w:val="auto"/>
              </w:rPr>
            </w:pPr>
            <w:r>
              <w:rPr>
                <w:rFonts w:ascii="Arial" w:cs="Arial" w:eastAsia="Arial" w:hAnsi="Arial"/>
                <w:sz w:val="22"/>
                <w:szCs w:val="22"/>
                <w:b w:val="1"/>
                <w:bCs w:val="1"/>
                <w:color w:val="0000EE"/>
              </w:rPr>
              <w:t>SECURITY OWNERSHIP BY</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0000EE"/>
            </w:tcBorders>
            <w:gridSpan w:val="9"/>
          </w:tcPr>
          <w:p>
            <w:pPr>
              <w:spacing w:after="0" w:line="223" w:lineRule="exact"/>
              <w:rPr>
                <w:sz w:val="20"/>
                <w:szCs w:val="20"/>
                <w:color w:val="auto"/>
              </w:rPr>
            </w:pPr>
            <w:r>
              <w:rPr>
                <w:rFonts w:ascii="Arial" w:cs="Arial" w:eastAsia="Arial" w:hAnsi="Arial"/>
                <w:sz w:val="22"/>
                <w:szCs w:val="22"/>
                <w:b w:val="1"/>
                <w:bCs w:val="1"/>
                <w:color w:val="0000EE"/>
                <w:w w:val="91"/>
              </w:rPr>
              <w:t>PRINCIPAL SHAREHOLDERS</w:t>
            </w:r>
          </w:p>
        </w:tc>
        <w:tc>
          <w:tcPr>
            <w:tcW w:w="140" w:type="dxa"/>
            <w:vAlign w:val="bottom"/>
            <w:gridSpan w:val="2"/>
          </w:tcPr>
          <w:p>
            <w:pPr>
              <w:spacing w:after="0"/>
              <w:rPr>
                <w:sz w:val="19"/>
                <w:szCs w:val="19"/>
                <w:color w:val="auto"/>
              </w:rPr>
            </w:pPr>
          </w:p>
        </w:tc>
        <w:tc>
          <w:tcPr>
            <w:tcW w:w="920" w:type="dxa"/>
            <w:vAlign w:val="bottom"/>
            <w:gridSpan w:val="5"/>
          </w:tcPr>
          <w:p>
            <w:pPr>
              <w:ind w:left="80"/>
              <w:spacing w:after="0" w:line="223" w:lineRule="exact"/>
              <w:rPr>
                <w:sz w:val="20"/>
                <w:szCs w:val="20"/>
                <w:color w:val="auto"/>
              </w:rPr>
            </w:pPr>
            <w:r>
              <w:rPr>
                <w:rFonts w:ascii="Arial" w:cs="Arial" w:eastAsia="Arial" w:hAnsi="Arial"/>
                <w:sz w:val="22"/>
                <w:szCs w:val="22"/>
                <w:b w:val="1"/>
                <w:bCs w:val="1"/>
                <w:color w:val="0000EE"/>
              </w:rPr>
              <w:t>AND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tcBorders>
              <w:top w:val="single" w:sz="8" w:color="0000EE"/>
            </w:tcBorders>
            <w:gridSpan w:val="14"/>
          </w:tcPr>
          <w:p>
            <w:pPr>
              <w:spacing w:after="0" w:line="209" w:lineRule="exact"/>
              <w:rPr>
                <w:sz w:val="20"/>
                <w:szCs w:val="20"/>
                <w:color w:val="auto"/>
              </w:rPr>
            </w:pPr>
            <w:r>
              <w:rPr>
                <w:rFonts w:ascii="Arial" w:cs="Arial" w:eastAsia="Arial" w:hAnsi="Arial"/>
                <w:sz w:val="22"/>
                <w:szCs w:val="22"/>
                <w:b w:val="1"/>
                <w:bCs w:val="1"/>
                <w:color w:val="0000EE"/>
              </w:rPr>
              <w:t>MANAGEMENT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EE"/>
              </w:rPr>
              <w:t>65</w:t>
            </w:r>
          </w:p>
        </w:tc>
        <w:tc>
          <w:tcPr>
            <w:tcW w:w="0" w:type="dxa"/>
            <w:vAlign w:val="bottom"/>
          </w:tcPr>
          <w:p>
            <w:pPr>
              <w:spacing w:after="0"/>
              <w:rPr>
                <w:sz w:val="1"/>
                <w:szCs w:val="1"/>
                <w:color w:val="auto"/>
              </w:rPr>
            </w:pPr>
          </w:p>
        </w:tc>
      </w:tr>
      <w:tr>
        <w:trPr>
          <w:trHeight w:val="28"/>
        </w:trPr>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920" w:type="dxa"/>
            <w:vAlign w:val="bottom"/>
            <w:gridSpan w:val="16"/>
          </w:tcPr>
          <w:p>
            <w:pPr>
              <w:spacing w:after="0"/>
              <w:rPr>
                <w:sz w:val="20"/>
                <w:szCs w:val="20"/>
                <w:color w:val="auto"/>
              </w:rPr>
            </w:pPr>
            <w:r>
              <w:rPr>
                <w:rFonts w:ascii="Arial" w:cs="Arial" w:eastAsia="Arial" w:hAnsi="Arial"/>
                <w:sz w:val="22"/>
                <w:szCs w:val="22"/>
                <w:b w:val="1"/>
                <w:bCs w:val="1"/>
                <w:color w:val="0000EE"/>
              </w:rPr>
              <w:t>EQUITY COMPENSATION PLAN</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Borders>
              <w:top w:val="single" w:sz="8" w:color="0000EE"/>
            </w:tcBorders>
            <w:gridSpan w:val="12"/>
          </w:tcPr>
          <w:p>
            <w:pPr>
              <w:spacing w:after="0" w:line="209" w:lineRule="exact"/>
              <w:rPr>
                <w:sz w:val="20"/>
                <w:szCs w:val="20"/>
                <w:color w:val="auto"/>
              </w:rPr>
            </w:pPr>
            <w:r>
              <w:rPr>
                <w:rFonts w:ascii="Arial" w:cs="Arial" w:eastAsia="Arial" w:hAnsi="Arial"/>
                <w:sz w:val="22"/>
                <w:szCs w:val="22"/>
                <w:b w:val="1"/>
                <w:bCs w:val="1"/>
                <w:color w:val="0000EE"/>
              </w:rPr>
              <w:t>INFORMATION</w:t>
            </w:r>
          </w:p>
        </w:tc>
        <w:tc>
          <w:tcPr>
            <w:tcW w:w="52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EE"/>
              </w:rPr>
              <w:t>66</w:t>
            </w:r>
          </w:p>
        </w:tc>
        <w:tc>
          <w:tcPr>
            <w:tcW w:w="0" w:type="dxa"/>
            <w:vAlign w:val="bottom"/>
          </w:tcPr>
          <w:p>
            <w:pPr>
              <w:spacing w:after="0"/>
              <w:rPr>
                <w:sz w:val="1"/>
                <w:szCs w:val="1"/>
                <w:color w:val="auto"/>
              </w:rPr>
            </w:pPr>
          </w:p>
        </w:tc>
      </w:tr>
      <w:tr>
        <w:trPr>
          <w:trHeight w:val="28"/>
        </w:trPr>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3920" w:type="dxa"/>
            <w:vAlign w:val="bottom"/>
            <w:gridSpan w:val="16"/>
          </w:tcPr>
          <w:p>
            <w:pPr>
              <w:spacing w:after="0"/>
              <w:rPr>
                <w:sz w:val="20"/>
                <w:szCs w:val="20"/>
                <w:color w:val="auto"/>
              </w:rPr>
            </w:pPr>
            <w:r>
              <w:rPr>
                <w:rFonts w:ascii="Arial" w:cs="Arial" w:eastAsia="Arial" w:hAnsi="Arial"/>
                <w:sz w:val="22"/>
                <w:szCs w:val="22"/>
                <w:b w:val="1"/>
                <w:bCs w:val="1"/>
                <w:color w:val="0000EE"/>
              </w:rPr>
              <w:t>DELINQUENT SECTION 16(a)</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0000EE"/>
            </w:tcBorders>
            <w:gridSpan w:val="11"/>
          </w:tcPr>
          <w:p>
            <w:pPr>
              <w:spacing w:after="0" w:line="209" w:lineRule="exact"/>
              <w:rPr>
                <w:sz w:val="20"/>
                <w:szCs w:val="20"/>
                <w:color w:val="auto"/>
              </w:rPr>
            </w:pPr>
            <w:r>
              <w:rPr>
                <w:rFonts w:ascii="Arial" w:cs="Arial" w:eastAsia="Arial" w:hAnsi="Arial"/>
                <w:sz w:val="22"/>
                <w:szCs w:val="22"/>
                <w:b w:val="1"/>
                <w:bCs w:val="1"/>
                <w:color w:val="0000EE"/>
              </w:rPr>
              <w:t>REPORTS</w:t>
            </w:r>
          </w:p>
        </w:tc>
        <w:tc>
          <w:tcPr>
            <w:tcW w:w="780" w:type="dxa"/>
            <w:vAlign w:val="bottom"/>
            <w:gridSpan w:val="4"/>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EE"/>
              </w:rPr>
              <w:t>66</w:t>
            </w:r>
          </w:p>
        </w:tc>
        <w:tc>
          <w:tcPr>
            <w:tcW w:w="0" w:type="dxa"/>
            <w:vAlign w:val="bottom"/>
          </w:tcPr>
          <w:p>
            <w:pPr>
              <w:spacing w:after="0"/>
              <w:rPr>
                <w:sz w:val="1"/>
                <w:szCs w:val="1"/>
                <w:color w:val="auto"/>
              </w:rPr>
            </w:pPr>
          </w:p>
        </w:tc>
      </w:tr>
      <w:tr>
        <w:trPr>
          <w:trHeight w:val="28"/>
        </w:trPr>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4"/>
        </w:trPr>
        <w:tc>
          <w:tcPr>
            <w:tcW w:w="3920" w:type="dxa"/>
            <w:vAlign w:val="bottom"/>
            <w:gridSpan w:val="16"/>
          </w:tcPr>
          <w:p>
            <w:pPr>
              <w:spacing w:after="0"/>
              <w:rPr>
                <w:sz w:val="20"/>
                <w:szCs w:val="20"/>
                <w:color w:val="auto"/>
              </w:rPr>
            </w:pPr>
            <w:r>
              <w:rPr>
                <w:rFonts w:ascii="Arial" w:cs="Arial" w:eastAsia="Arial" w:hAnsi="Arial"/>
                <w:sz w:val="22"/>
                <w:szCs w:val="22"/>
                <w:b w:val="1"/>
                <w:bCs w:val="1"/>
                <w:color w:val="0000EE"/>
              </w:rPr>
              <w:t>OTHER MATTERS</w:t>
            </w:r>
          </w:p>
        </w:tc>
        <w:tc>
          <w:tcPr>
            <w:tcW w:w="5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EE"/>
              </w:rPr>
              <w:t>66</w:t>
            </w:r>
          </w:p>
        </w:tc>
        <w:tc>
          <w:tcPr>
            <w:tcW w:w="0" w:type="dxa"/>
            <w:vAlign w:val="bottom"/>
          </w:tcPr>
          <w:p>
            <w:pPr>
              <w:spacing w:after="0"/>
              <w:rPr>
                <w:sz w:val="1"/>
                <w:szCs w:val="1"/>
                <w:color w:val="auto"/>
              </w:rPr>
            </w:pPr>
          </w:p>
        </w:tc>
      </w:tr>
      <w:tr>
        <w:trPr>
          <w:trHeight w:val="28"/>
        </w:trPr>
        <w:tc>
          <w:tcPr>
            <w:tcW w:w="300" w:type="dxa"/>
            <w:vAlign w:val="bottom"/>
            <w:tcBorders>
              <w:top w:val="single" w:sz="8" w:color="0000EE"/>
              <w:bottom w:val="single" w:sz="8" w:color="auto"/>
            </w:tcBorders>
          </w:tcPr>
          <w:p>
            <w:pPr>
              <w:spacing w:after="0"/>
              <w:rPr>
                <w:sz w:val="2"/>
                <w:szCs w:val="2"/>
                <w:color w:val="auto"/>
              </w:rPr>
            </w:pPr>
          </w:p>
        </w:tc>
        <w:tc>
          <w:tcPr>
            <w:tcW w:w="7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3920" w:type="dxa"/>
            <w:vAlign w:val="bottom"/>
            <w:gridSpan w:val="16"/>
          </w:tcPr>
          <w:p>
            <w:pPr>
              <w:spacing w:after="0"/>
              <w:rPr>
                <w:sz w:val="20"/>
                <w:szCs w:val="20"/>
                <w:color w:val="auto"/>
              </w:rPr>
            </w:pPr>
            <w:r>
              <w:rPr>
                <w:rFonts w:ascii="Arial" w:cs="Arial" w:eastAsia="Arial" w:hAnsi="Arial"/>
                <w:sz w:val="22"/>
                <w:szCs w:val="22"/>
                <w:b w:val="1"/>
                <w:bCs w:val="1"/>
                <w:color w:val="0000EE"/>
              </w:rPr>
              <w:t>APPENDIX A – GAAP TO NON-GAAP</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Borders>
              <w:top w:val="single" w:sz="8" w:color="0000EE"/>
            </w:tcBorders>
            <w:gridSpan w:val="15"/>
          </w:tcPr>
          <w:p>
            <w:pPr>
              <w:spacing w:after="0" w:line="209" w:lineRule="exact"/>
              <w:rPr>
                <w:sz w:val="20"/>
                <w:szCs w:val="20"/>
                <w:color w:val="auto"/>
              </w:rPr>
            </w:pPr>
            <w:r>
              <w:rPr>
                <w:rFonts w:ascii="Arial" w:cs="Arial" w:eastAsia="Arial" w:hAnsi="Arial"/>
                <w:sz w:val="22"/>
                <w:szCs w:val="22"/>
                <w:b w:val="1"/>
                <w:bCs w:val="1"/>
                <w:color w:val="0000EE"/>
              </w:rPr>
              <w:t>RECONCILIATION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b w:val="1"/>
                <w:bCs w:val="1"/>
                <w:color w:val="0000EE"/>
                <w:w w:val="96"/>
              </w:rPr>
              <w:t>A-1</w:t>
            </w:r>
          </w:p>
        </w:tc>
        <w:tc>
          <w:tcPr>
            <w:tcW w:w="0" w:type="dxa"/>
            <w:vAlign w:val="bottom"/>
          </w:tcPr>
          <w:p>
            <w:pPr>
              <w:spacing w:after="0"/>
              <w:rPr>
                <w:sz w:val="1"/>
                <w:szCs w:val="1"/>
                <w:color w:val="auto"/>
              </w:rPr>
            </w:pPr>
          </w:p>
        </w:tc>
      </w:tr>
      <w:tr>
        <w:trPr>
          <w:trHeight w:val="20"/>
        </w:trPr>
        <w:tc>
          <w:tcPr>
            <w:tcW w:w="30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1200150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20" w:space="320"/>
            <w:col w:w="4440"/>
          </w:cols>
          <w:pgMar w:left="1360" w:top="114" w:right="1359" w:bottom="1440" w:gutter="0" w:footer="0" w:header="0"/>
        </w:sectPr>
      </w:pPr>
    </w:p>
    <w:bookmarkStart w:id="6" w:name="page7"/>
    <w:bookmarkEnd w:id="6"/>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100965</wp:posOffset>
            </wp:positionV>
            <wp:extent cx="5996305" cy="7093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6305"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Arial" w:cs="Arial" w:eastAsia="Arial" w:hAnsi="Arial"/>
          <w:sz w:val="39"/>
          <w:szCs w:val="39"/>
          <w:b w:val="1"/>
          <w:bCs w:val="1"/>
          <w:color w:val="578255"/>
        </w:rPr>
        <w:t>2024 PROXY STATEMENT SUMMARY</w:t>
      </w:r>
    </w:p>
    <w:p>
      <w:pPr>
        <w:spacing w:after="0" w:line="371"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auto"/>
        </w:rPr>
        <w:t>2024 Annual General Meeting</w:t>
      </w:r>
    </w:p>
    <w:p>
      <w:pPr>
        <w:sectPr>
          <w:pgSz w:w="11900" w:h="16838" w:orient="portrait"/>
          <w:cols w:equalWidth="0" w:num="1">
            <w:col w:w="11020"/>
          </w:cols>
          <w:pgMar w:left="440" w:top="114" w:right="439" w:bottom="1440" w:gutter="0" w:footer="0" w:header="0"/>
        </w:sectPr>
      </w:pPr>
    </w:p>
    <w:p>
      <w:pPr>
        <w:spacing w:after="0" w:line="30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Thursday, December 12, 2024</w:t>
      </w:r>
    </w:p>
    <w:p>
      <w:pPr>
        <w:spacing w:after="0" w:line="102" w:lineRule="exact"/>
        <w:rPr>
          <w:sz w:val="20"/>
          <w:szCs w:val="20"/>
          <w:color w:val="auto"/>
        </w:rPr>
      </w:pPr>
    </w:p>
    <w:p>
      <w:pPr>
        <w:sectPr>
          <w:pgSz w:w="11900" w:h="16838" w:orient="portrait"/>
          <w:cols w:equalWidth="0" w:num="2">
            <w:col w:w="2420" w:space="720"/>
            <w:col w:w="7880"/>
          </w:cols>
          <w:pgMar w:left="440" w:top="114" w:right="439" w:bottom="1440" w:gutter="0" w:footer="0" w:header="0"/>
          <w:type w:val="continuous"/>
        </w:sectPr>
      </w:pPr>
    </w:p>
    <w:p>
      <w:pPr>
        <w:ind w:left="102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9:00 a.m. Pacific Standard Time</w:t>
      </w:r>
    </w:p>
    <w:p>
      <w:pPr>
        <w:spacing w:after="0" w:line="102" w:lineRule="exact"/>
        <w:rPr>
          <w:sz w:val="20"/>
          <w:szCs w:val="20"/>
          <w:color w:val="auto"/>
        </w:rPr>
      </w:pPr>
    </w:p>
    <w:p>
      <w:pPr>
        <w:sectPr>
          <w:pgSz w:w="11900" w:h="16838" w:orient="portrait"/>
          <w:cols w:equalWidth="0" w:num="2">
            <w:col w:w="2420" w:space="720"/>
            <w:col w:w="7880"/>
          </w:cols>
          <w:pgMar w:left="440" w:top="114" w:right="439" w:bottom="1440" w:gutter="0" w:footer="0" w:header="0"/>
          <w:type w:val="continuous"/>
        </w:sectPr>
      </w:pPr>
    </w:p>
    <w:p>
      <w:pPr>
        <w:ind w:left="102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Online via the Internet at </w:t>
      </w:r>
      <w:r>
        <w:rPr>
          <w:rFonts w:ascii="Arial" w:cs="Arial" w:eastAsia="Arial" w:hAnsi="Arial"/>
          <w:sz w:val="16"/>
          <w:szCs w:val="16"/>
          <w:b w:val="1"/>
          <w:bCs w:val="1"/>
          <w:color w:val="578255"/>
        </w:rPr>
        <w:t>www.virtualshareholdermeeting.com/FN2024</w:t>
      </w:r>
    </w:p>
    <w:p>
      <w:pPr>
        <w:spacing w:after="0" w:line="113" w:lineRule="exact"/>
        <w:rPr>
          <w:sz w:val="20"/>
          <w:szCs w:val="20"/>
          <w:color w:val="auto"/>
        </w:rPr>
      </w:pPr>
    </w:p>
    <w:p>
      <w:pPr>
        <w:sectPr>
          <w:pgSz w:w="11900" w:h="16838" w:orient="portrait"/>
          <w:cols w:equalWidth="0" w:num="2">
            <w:col w:w="2420" w:space="720"/>
            <w:col w:w="7880"/>
          </w:cols>
          <w:pgMar w:left="440" w:top="114" w:right="439" w:bottom="1440" w:gutter="0" w:footer="0" w:header="0"/>
          <w:type w:val="continuous"/>
        </w:sectPr>
      </w:pPr>
    </w:p>
    <w:p>
      <w:pPr>
        <w:jc w:val="center"/>
        <w:ind w:left="68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October 16, 2024</w:t>
      </w:r>
    </w:p>
    <w:p>
      <w:pPr>
        <w:spacing w:after="0" w:line="102" w:lineRule="exact"/>
        <w:rPr>
          <w:sz w:val="20"/>
          <w:szCs w:val="20"/>
          <w:color w:val="auto"/>
        </w:rPr>
      </w:pPr>
    </w:p>
    <w:p>
      <w:pPr>
        <w:sectPr>
          <w:pgSz w:w="11900" w:h="16838" w:orient="portrait"/>
          <w:cols w:equalWidth="0" w:num="2">
            <w:col w:w="2420" w:space="720"/>
            <w:col w:w="7880"/>
          </w:cols>
          <w:pgMar w:left="440" w:top="114" w:right="439" w:bottom="1440" w:gutter="0" w:footer="0" w:header="0"/>
          <w:type w:val="continuous"/>
        </w:sectPr>
      </w:pPr>
    </w:p>
    <w:p>
      <w:pPr>
        <w:ind w:left="1020"/>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jc w:val="both"/>
        <w:ind w:right="960"/>
        <w:spacing w:after="0" w:line="239" w:lineRule="auto"/>
        <w:rPr>
          <w:sz w:val="20"/>
          <w:szCs w:val="20"/>
          <w:color w:val="auto"/>
        </w:rPr>
      </w:pPr>
      <w:r>
        <w:rPr>
          <w:rFonts w:ascii="Arial" w:cs="Arial" w:eastAsia="Arial" w:hAnsi="Arial"/>
          <w:sz w:val="17"/>
          <w:szCs w:val="17"/>
          <w:color w:val="auto"/>
        </w:rPr>
        <w:t>Shareholders as of the record date are entitled to vote. Shareholders may cast one vote for each ordinary share held by them as of the record date on all matters properly presented at the Annual Meeting. At the close of business on the record date, there were 36,267,888 ordinary shares outstanding and entitled to vote at the Annual Meeting, as well as 3,312,220 ordinary shares outstanding and held as treasury shares (which are not entitled to vote).</w:t>
      </w:r>
    </w:p>
    <w:p>
      <w:pPr>
        <w:spacing w:after="0" w:line="74" w:lineRule="exact"/>
        <w:rPr>
          <w:sz w:val="20"/>
          <w:szCs w:val="20"/>
          <w:color w:val="auto"/>
        </w:rPr>
      </w:pPr>
    </w:p>
    <w:p>
      <w:pPr>
        <w:sectPr>
          <w:pgSz w:w="11900" w:h="16838" w:orient="portrait"/>
          <w:cols w:equalWidth="0" w:num="2">
            <w:col w:w="2420" w:space="720"/>
            <w:col w:w="7880"/>
          </w:cols>
          <w:pgMar w:left="440" w:top="114" w:right="439" w:bottom="1440" w:gutter="0" w:footer="0" w:header="0"/>
          <w:type w:val="continuous"/>
        </w:sectPr>
      </w:pPr>
    </w:p>
    <w:p>
      <w:pPr>
        <w:ind w:left="1020"/>
        <w:spacing w:after="0"/>
        <w:rPr>
          <w:sz w:val="20"/>
          <w:szCs w:val="20"/>
          <w:color w:val="auto"/>
        </w:rPr>
      </w:pPr>
      <w:r>
        <w:rPr>
          <w:rFonts w:ascii="Arial" w:cs="Arial" w:eastAsia="Arial" w:hAnsi="Arial"/>
          <w:sz w:val="16"/>
          <w:szCs w:val="16"/>
          <w:b w:val="1"/>
          <w:bCs w:val="1"/>
          <w:color w:val="auto"/>
        </w:rPr>
        <w:t>Admission to Meeting:</w:t>
      </w:r>
    </w:p>
    <w:p>
      <w:pPr>
        <w:spacing w:after="0" w:line="20" w:lineRule="exact"/>
        <w:rPr>
          <w:sz w:val="20"/>
          <w:szCs w:val="20"/>
          <w:color w:val="auto"/>
        </w:rPr>
      </w:pPr>
      <w:r>
        <w:rPr>
          <w:sz w:val="20"/>
          <w:szCs w:val="20"/>
          <w:color w:val="auto"/>
        </w:rPr>
        <w:br w:type="column"/>
      </w:r>
    </w:p>
    <w:p>
      <w:pPr>
        <w:jc w:val="both"/>
        <w:ind w:right="960"/>
        <w:spacing w:after="0" w:line="239" w:lineRule="auto"/>
        <w:rPr>
          <w:sz w:val="20"/>
          <w:szCs w:val="20"/>
          <w:color w:val="auto"/>
        </w:rPr>
      </w:pPr>
      <w:r>
        <w:rPr>
          <w:rFonts w:ascii="Arial" w:cs="Arial" w:eastAsia="Arial" w:hAnsi="Arial"/>
          <w:sz w:val="17"/>
          <w:szCs w:val="17"/>
          <w:color w:val="auto"/>
        </w:rPr>
        <w:t xml:space="preserve">You are entitled to attend the Annual Meeting online, vote and submit questions during the meeting by visiting </w:t>
      </w:r>
      <w:r>
        <w:rPr>
          <w:rFonts w:ascii="Arial" w:cs="Arial" w:eastAsia="Arial" w:hAnsi="Arial"/>
          <w:sz w:val="17"/>
          <w:szCs w:val="17"/>
          <w:b w:val="1"/>
          <w:bCs w:val="1"/>
          <w:color w:val="578255"/>
        </w:rPr>
        <w:t>www.virtualshareholdermeeting.com/FN2024</w:t>
      </w:r>
      <w:r>
        <w:rPr>
          <w:rFonts w:ascii="Arial" w:cs="Arial" w:eastAsia="Arial" w:hAnsi="Arial"/>
          <w:sz w:val="17"/>
          <w:szCs w:val="17"/>
          <w:color w:val="auto"/>
        </w:rPr>
        <w:t xml:space="preserve"> and entering the 16-digit control number included on your Notice of Internet Availability of Proxy Materials, voting instruction form or proxy card (if you requested printed materials). You will only be entitled to vote and submit questions at the Annual Meeting if you are a shareholder as of the record date.</w:t>
      </w:r>
    </w:p>
    <w:p>
      <w:pPr>
        <w:spacing w:after="0" w:line="200" w:lineRule="exact"/>
        <w:rPr>
          <w:sz w:val="20"/>
          <w:szCs w:val="20"/>
          <w:color w:val="auto"/>
        </w:rPr>
      </w:pPr>
    </w:p>
    <w:p>
      <w:pPr>
        <w:sectPr>
          <w:pgSz w:w="11900" w:h="16838" w:orient="portrait"/>
          <w:cols w:equalWidth="0" w:num="2">
            <w:col w:w="2840" w:space="300"/>
            <w:col w:w="7880"/>
          </w:cols>
          <w:pgMar w:left="440" w:top="114" w:right="439" w:bottom="1440" w:gutter="0" w:footer="0" w:header="0"/>
          <w:type w:val="continuous"/>
        </w:sectPr>
      </w:pPr>
    </w:p>
    <w:p>
      <w:pPr>
        <w:spacing w:after="0" w:line="88"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auto"/>
        </w:rPr>
        <w:t>Matters to Be Voted on at the Annual Meeting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0" w:type="dxa"/>
            <w:vAlign w:val="bottom"/>
          </w:tcPr>
          <w:p>
            <w:pPr>
              <w:spacing w:after="0"/>
              <w:rPr>
                <w:sz w:val="23"/>
                <w:szCs w:val="23"/>
                <w:color w:val="auto"/>
              </w:rPr>
            </w:pPr>
          </w:p>
        </w:tc>
        <w:tc>
          <w:tcPr>
            <w:tcW w:w="180" w:type="dxa"/>
            <w:vAlign w:val="bottom"/>
            <w:tcBorders>
              <w:right w:val="single" w:sz="8" w:color="819F7C"/>
            </w:tcBorders>
          </w:tcPr>
          <w:p>
            <w:pPr>
              <w:spacing w:after="0"/>
              <w:rPr>
                <w:sz w:val="23"/>
                <w:szCs w:val="23"/>
                <w:color w:val="auto"/>
              </w:rPr>
            </w:pPr>
          </w:p>
        </w:tc>
        <w:tc>
          <w:tcPr>
            <w:tcW w:w="2400" w:type="dxa"/>
            <w:vAlign w:val="bottom"/>
            <w:shd w:val="clear" w:color="auto" w:fill="819F7C"/>
          </w:tcPr>
          <w:p>
            <w:pPr>
              <w:spacing w:after="0"/>
              <w:rPr>
                <w:sz w:val="23"/>
                <w:szCs w:val="23"/>
                <w:color w:val="auto"/>
              </w:rPr>
            </w:pPr>
          </w:p>
        </w:tc>
        <w:tc>
          <w:tcPr>
            <w:tcW w:w="1560" w:type="dxa"/>
            <w:vAlign w:val="bottom"/>
            <w:shd w:val="clear" w:color="auto" w:fill="819F7C"/>
          </w:tcPr>
          <w:p>
            <w:pPr>
              <w:spacing w:after="0"/>
              <w:rPr>
                <w:sz w:val="23"/>
                <w:szCs w:val="23"/>
                <w:color w:val="auto"/>
              </w:rPr>
            </w:pPr>
          </w:p>
        </w:tc>
        <w:tc>
          <w:tcPr>
            <w:tcW w:w="1820" w:type="dxa"/>
            <w:vAlign w:val="bottom"/>
            <w:shd w:val="clear" w:color="auto" w:fill="819F7C"/>
          </w:tcPr>
          <w:p>
            <w:pPr>
              <w:spacing w:after="0"/>
              <w:rPr>
                <w:sz w:val="23"/>
                <w:szCs w:val="23"/>
                <w:color w:val="auto"/>
              </w:rPr>
            </w:pPr>
          </w:p>
        </w:tc>
        <w:tc>
          <w:tcPr>
            <w:tcW w:w="1580" w:type="dxa"/>
            <w:vAlign w:val="bottom"/>
            <w:shd w:val="clear" w:color="auto" w:fill="819F7C"/>
          </w:tcPr>
          <w:p>
            <w:pPr>
              <w:jc w:val="center"/>
              <w:ind w:left="15"/>
              <w:spacing w:after="0"/>
              <w:rPr>
                <w:sz w:val="20"/>
                <w:szCs w:val="20"/>
                <w:color w:val="auto"/>
              </w:rPr>
            </w:pPr>
            <w:r>
              <w:rPr>
                <w:rFonts w:ascii="Arial" w:cs="Arial" w:eastAsia="Arial" w:hAnsi="Arial"/>
                <w:sz w:val="17"/>
                <w:szCs w:val="17"/>
                <w:b w:val="1"/>
                <w:bCs w:val="1"/>
                <w:color w:val="FFFFFF"/>
                <w:w w:val="97"/>
              </w:rPr>
              <w:t>Board</w:t>
            </w:r>
          </w:p>
        </w:tc>
        <w:tc>
          <w:tcPr>
            <w:tcW w:w="1760" w:type="dxa"/>
            <w:vAlign w:val="bottom"/>
            <w:gridSpan w:val="3"/>
            <w:shd w:val="clear" w:color="auto" w:fill="819F7C"/>
          </w:tcPr>
          <w:p>
            <w:pPr>
              <w:jc w:val="center"/>
              <w:spacing w:after="0"/>
              <w:rPr>
                <w:sz w:val="20"/>
                <w:szCs w:val="20"/>
                <w:color w:val="auto"/>
              </w:rPr>
            </w:pPr>
            <w:r>
              <w:rPr>
                <w:rFonts w:ascii="Arial" w:cs="Arial" w:eastAsia="Arial" w:hAnsi="Arial"/>
                <w:sz w:val="17"/>
                <w:szCs w:val="17"/>
                <w:b w:val="1"/>
                <w:bCs w:val="1"/>
                <w:color w:val="FFFFFF"/>
              </w:rPr>
              <w:t>Page Reference for</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5"/>
        </w:trPr>
        <w:tc>
          <w:tcPr>
            <w:tcW w:w="800" w:type="dxa"/>
            <w:vAlign w:val="bottom"/>
          </w:tcPr>
          <w:p>
            <w:pPr>
              <w:spacing w:after="0"/>
              <w:rPr>
                <w:sz w:val="21"/>
                <w:szCs w:val="21"/>
                <w:color w:val="auto"/>
              </w:rPr>
            </w:pPr>
          </w:p>
        </w:tc>
        <w:tc>
          <w:tcPr>
            <w:tcW w:w="180" w:type="dxa"/>
            <w:vAlign w:val="bottom"/>
            <w:tcBorders>
              <w:right w:val="single" w:sz="8" w:color="819F7C"/>
            </w:tcBorders>
          </w:tcPr>
          <w:p>
            <w:pPr>
              <w:spacing w:after="0"/>
              <w:rPr>
                <w:sz w:val="21"/>
                <w:szCs w:val="21"/>
                <w:color w:val="auto"/>
              </w:rPr>
            </w:pPr>
          </w:p>
        </w:tc>
        <w:tc>
          <w:tcPr>
            <w:tcW w:w="2400" w:type="dxa"/>
            <w:vAlign w:val="bottom"/>
            <w:tcBorders>
              <w:bottom w:val="single" w:sz="8" w:color="819F7C"/>
            </w:tcBorders>
            <w:shd w:val="clear" w:color="auto" w:fill="819F7C"/>
          </w:tcPr>
          <w:p>
            <w:pPr>
              <w:ind w:left="40"/>
              <w:spacing w:after="0"/>
              <w:rPr>
                <w:sz w:val="20"/>
                <w:szCs w:val="20"/>
                <w:color w:val="auto"/>
              </w:rPr>
            </w:pPr>
            <w:r>
              <w:rPr>
                <w:rFonts w:ascii="Arial" w:cs="Arial" w:eastAsia="Arial" w:hAnsi="Arial"/>
                <w:sz w:val="17"/>
                <w:szCs w:val="17"/>
                <w:b w:val="1"/>
                <w:bCs w:val="1"/>
                <w:color w:val="FFFFFF"/>
              </w:rPr>
              <w:t>Matter</w:t>
            </w:r>
          </w:p>
        </w:tc>
        <w:tc>
          <w:tcPr>
            <w:tcW w:w="1560" w:type="dxa"/>
            <w:vAlign w:val="bottom"/>
            <w:tcBorders>
              <w:bottom w:val="single" w:sz="8" w:color="819F7C"/>
            </w:tcBorders>
            <w:shd w:val="clear" w:color="auto" w:fill="819F7C"/>
          </w:tcPr>
          <w:p>
            <w:pPr>
              <w:spacing w:after="0"/>
              <w:rPr>
                <w:sz w:val="21"/>
                <w:szCs w:val="21"/>
                <w:color w:val="auto"/>
              </w:rPr>
            </w:pPr>
          </w:p>
        </w:tc>
        <w:tc>
          <w:tcPr>
            <w:tcW w:w="1820" w:type="dxa"/>
            <w:vAlign w:val="bottom"/>
            <w:tcBorders>
              <w:bottom w:val="single" w:sz="8" w:color="819F7C"/>
            </w:tcBorders>
            <w:shd w:val="clear" w:color="auto" w:fill="819F7C"/>
          </w:tcPr>
          <w:p>
            <w:pPr>
              <w:spacing w:after="0"/>
              <w:rPr>
                <w:sz w:val="21"/>
                <w:szCs w:val="21"/>
                <w:color w:val="auto"/>
              </w:rPr>
            </w:pPr>
          </w:p>
        </w:tc>
        <w:tc>
          <w:tcPr>
            <w:tcW w:w="1580" w:type="dxa"/>
            <w:vAlign w:val="bottom"/>
            <w:tcBorders>
              <w:bottom w:val="single" w:sz="8" w:color="819F7C"/>
            </w:tcBorders>
            <w:shd w:val="clear" w:color="auto" w:fill="819F7C"/>
          </w:tcPr>
          <w:p>
            <w:pPr>
              <w:jc w:val="center"/>
              <w:ind w:left="15"/>
              <w:spacing w:after="0"/>
              <w:rPr>
                <w:sz w:val="20"/>
                <w:szCs w:val="20"/>
                <w:color w:val="auto"/>
              </w:rPr>
            </w:pPr>
            <w:r>
              <w:rPr>
                <w:rFonts w:ascii="Arial" w:cs="Arial" w:eastAsia="Arial" w:hAnsi="Arial"/>
                <w:sz w:val="17"/>
                <w:szCs w:val="17"/>
                <w:b w:val="1"/>
                <w:bCs w:val="1"/>
                <w:color w:val="FFFFFF"/>
              </w:rPr>
              <w:t>Recommendation</w:t>
            </w:r>
          </w:p>
        </w:tc>
        <w:tc>
          <w:tcPr>
            <w:tcW w:w="1760" w:type="dxa"/>
            <w:vAlign w:val="bottom"/>
            <w:tcBorders>
              <w:bottom w:val="single" w:sz="8" w:color="819F7C"/>
            </w:tcBorders>
            <w:gridSpan w:val="3"/>
            <w:shd w:val="clear" w:color="auto" w:fill="819F7C"/>
          </w:tcPr>
          <w:p>
            <w:pPr>
              <w:jc w:val="center"/>
              <w:spacing w:after="0"/>
              <w:rPr>
                <w:sz w:val="20"/>
                <w:szCs w:val="20"/>
                <w:color w:val="auto"/>
              </w:rPr>
            </w:pPr>
            <w:r>
              <w:rPr>
                <w:rFonts w:ascii="Arial" w:cs="Arial" w:eastAsia="Arial" w:hAnsi="Arial"/>
                <w:sz w:val="17"/>
                <w:szCs w:val="17"/>
                <w:b w:val="1"/>
                <w:bCs w:val="1"/>
                <w:color w:val="FFFFFF"/>
              </w:rPr>
              <w:t>More Information</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800" w:type="dxa"/>
            <w:vAlign w:val="bottom"/>
          </w:tcPr>
          <w:p>
            <w:pPr>
              <w:spacing w:after="0"/>
              <w:rPr>
                <w:sz w:val="18"/>
                <w:szCs w:val="18"/>
                <w:color w:val="auto"/>
              </w:rPr>
            </w:pPr>
          </w:p>
        </w:tc>
        <w:tc>
          <w:tcPr>
            <w:tcW w:w="180" w:type="dxa"/>
            <w:vAlign w:val="bottom"/>
            <w:tcBorders>
              <w:right w:val="single" w:sz="8" w:color="E5E9E3"/>
            </w:tcBorders>
          </w:tcPr>
          <w:p>
            <w:pPr>
              <w:spacing w:after="0"/>
              <w:rPr>
                <w:sz w:val="18"/>
                <w:szCs w:val="18"/>
                <w:color w:val="auto"/>
              </w:rPr>
            </w:pPr>
          </w:p>
        </w:tc>
        <w:tc>
          <w:tcPr>
            <w:tcW w:w="3960" w:type="dxa"/>
            <w:vAlign w:val="bottom"/>
            <w:gridSpan w:val="2"/>
            <w:shd w:val="clear" w:color="auto" w:fill="E5E9E3"/>
          </w:tcPr>
          <w:p>
            <w:pPr>
              <w:ind w:left="40"/>
              <w:spacing w:after="0"/>
              <w:rPr>
                <w:sz w:val="20"/>
                <w:szCs w:val="20"/>
                <w:color w:val="auto"/>
              </w:rPr>
            </w:pPr>
            <w:r>
              <w:rPr>
                <w:rFonts w:ascii="Arial" w:cs="Arial" w:eastAsia="Arial" w:hAnsi="Arial"/>
                <w:sz w:val="17"/>
                <w:szCs w:val="17"/>
                <w:b w:val="1"/>
                <w:bCs w:val="1"/>
                <w:color w:val="auto"/>
              </w:rPr>
              <w:t xml:space="preserve">Proposal 1:   </w:t>
            </w:r>
            <w:r>
              <w:rPr>
                <w:rFonts w:ascii="Arial" w:cs="Arial" w:eastAsia="Arial" w:hAnsi="Arial"/>
                <w:sz w:val="17"/>
                <w:szCs w:val="17"/>
                <w:color w:val="auto"/>
              </w:rPr>
              <w:t>Election of three Class III directors</w:t>
            </w:r>
          </w:p>
        </w:tc>
        <w:tc>
          <w:tcPr>
            <w:tcW w:w="1820" w:type="dxa"/>
            <w:vAlign w:val="bottom"/>
            <w:shd w:val="clear" w:color="auto" w:fill="E5E9E3"/>
          </w:tcPr>
          <w:p>
            <w:pPr>
              <w:spacing w:after="0"/>
              <w:rPr>
                <w:sz w:val="18"/>
                <w:szCs w:val="18"/>
                <w:color w:val="auto"/>
              </w:rPr>
            </w:pPr>
          </w:p>
        </w:tc>
        <w:tc>
          <w:tcPr>
            <w:tcW w:w="1580" w:type="dxa"/>
            <w:vAlign w:val="bottom"/>
            <w:shd w:val="clear" w:color="auto" w:fill="E5E9E3"/>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b w:val="1"/>
                <w:bCs w:val="1"/>
                <w:color w:val="auto"/>
                <w:w w:val="99"/>
              </w:rPr>
              <w:t>FOR</w:t>
            </w:r>
            <w:r>
              <w:rPr>
                <w:rFonts w:ascii="Arial" w:cs="Arial" w:eastAsia="Arial" w:hAnsi="Arial"/>
                <w:sz w:val="17"/>
                <w:szCs w:val="17"/>
                <w:color w:val="auto"/>
                <w:w w:val="99"/>
              </w:rPr>
              <w:t>” each</w:t>
            </w:r>
          </w:p>
        </w:tc>
        <w:tc>
          <w:tcPr>
            <w:tcW w:w="1760" w:type="dxa"/>
            <w:vAlign w:val="bottom"/>
            <w:gridSpan w:val="3"/>
            <w:shd w:val="clear" w:color="auto" w:fill="E5E9E3"/>
          </w:tcPr>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color w:val="0000EE"/>
              </w:rPr>
              <w:t>14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180" w:type="dxa"/>
            <w:vAlign w:val="bottom"/>
            <w:tcBorders>
              <w:right w:val="single" w:sz="8" w:color="E5E9E3"/>
            </w:tcBorders>
          </w:tcPr>
          <w:p>
            <w:pPr>
              <w:spacing w:after="0"/>
              <w:rPr>
                <w:sz w:val="20"/>
                <w:szCs w:val="20"/>
                <w:color w:val="auto"/>
              </w:rPr>
            </w:pPr>
          </w:p>
        </w:tc>
        <w:tc>
          <w:tcPr>
            <w:tcW w:w="2400" w:type="dxa"/>
            <w:vAlign w:val="bottom"/>
            <w:tcBorders>
              <w:top w:val="single" w:sz="8" w:color="E5E9E3"/>
              <w:bottom w:val="single" w:sz="8" w:color="E5E9E3"/>
            </w:tcBorders>
            <w:shd w:val="clear" w:color="auto" w:fill="E5E9E3"/>
          </w:tcPr>
          <w:p>
            <w:pPr>
              <w:spacing w:after="0"/>
              <w:rPr>
                <w:sz w:val="20"/>
                <w:szCs w:val="20"/>
                <w:color w:val="auto"/>
              </w:rPr>
            </w:pPr>
          </w:p>
        </w:tc>
        <w:tc>
          <w:tcPr>
            <w:tcW w:w="1560" w:type="dxa"/>
            <w:vAlign w:val="bottom"/>
            <w:tcBorders>
              <w:top w:val="single" w:sz="8" w:color="E5E9E3"/>
              <w:bottom w:val="single" w:sz="8" w:color="E5E9E3"/>
            </w:tcBorders>
            <w:shd w:val="clear" w:color="auto" w:fill="E5E9E3"/>
          </w:tcPr>
          <w:p>
            <w:pPr>
              <w:spacing w:after="0"/>
              <w:rPr>
                <w:sz w:val="20"/>
                <w:szCs w:val="20"/>
                <w:color w:val="auto"/>
              </w:rPr>
            </w:pPr>
          </w:p>
        </w:tc>
        <w:tc>
          <w:tcPr>
            <w:tcW w:w="1820" w:type="dxa"/>
            <w:vAlign w:val="bottom"/>
            <w:tcBorders>
              <w:top w:val="single" w:sz="8" w:color="E5E9E3"/>
              <w:bottom w:val="single" w:sz="8" w:color="E5E9E3"/>
            </w:tcBorders>
            <w:shd w:val="clear" w:color="auto" w:fill="E5E9E3"/>
          </w:tcPr>
          <w:p>
            <w:pPr>
              <w:spacing w:after="0"/>
              <w:rPr>
                <w:sz w:val="20"/>
                <w:szCs w:val="20"/>
                <w:color w:val="auto"/>
              </w:rPr>
            </w:pPr>
          </w:p>
        </w:tc>
        <w:tc>
          <w:tcPr>
            <w:tcW w:w="1580" w:type="dxa"/>
            <w:vAlign w:val="bottom"/>
            <w:tcBorders>
              <w:top w:val="single" w:sz="8" w:color="E5E9E3"/>
              <w:bottom w:val="single" w:sz="8" w:color="E5E9E3"/>
            </w:tcBorders>
            <w:shd w:val="clear" w:color="auto" w:fill="E5E9E3"/>
          </w:tcPr>
          <w:p>
            <w:pPr>
              <w:jc w:val="center"/>
              <w:ind w:left="15"/>
              <w:spacing w:after="0"/>
              <w:rPr>
                <w:sz w:val="20"/>
                <w:szCs w:val="20"/>
                <w:color w:val="auto"/>
              </w:rPr>
            </w:pPr>
            <w:r>
              <w:rPr>
                <w:rFonts w:ascii="Arial" w:cs="Arial" w:eastAsia="Arial" w:hAnsi="Arial"/>
                <w:sz w:val="17"/>
                <w:szCs w:val="17"/>
                <w:color w:val="auto"/>
                <w:w w:val="98"/>
              </w:rPr>
              <w:t>nominee</w:t>
            </w:r>
          </w:p>
        </w:tc>
        <w:tc>
          <w:tcPr>
            <w:tcW w:w="1040" w:type="dxa"/>
            <w:vAlign w:val="bottom"/>
            <w:tcBorders>
              <w:top w:val="single" w:sz="8" w:color="E5E9E3"/>
              <w:bottom w:val="single" w:sz="8" w:color="E5E9E3"/>
            </w:tcBorders>
            <w:shd w:val="clear" w:color="auto" w:fill="E5E9E3"/>
          </w:tcPr>
          <w:p>
            <w:pPr>
              <w:spacing w:after="0"/>
              <w:rPr>
                <w:sz w:val="20"/>
                <w:szCs w:val="20"/>
                <w:color w:val="auto"/>
              </w:rPr>
            </w:pPr>
          </w:p>
        </w:tc>
        <w:tc>
          <w:tcPr>
            <w:tcW w:w="200" w:type="dxa"/>
            <w:vAlign w:val="bottom"/>
            <w:tcBorders>
              <w:top w:val="single" w:sz="8" w:color="0000EE"/>
              <w:bottom w:val="single" w:sz="8" w:color="E5E9E3"/>
            </w:tcBorders>
            <w:shd w:val="clear" w:color="auto" w:fill="E5E9E3"/>
          </w:tcPr>
          <w:p>
            <w:pPr>
              <w:spacing w:after="0"/>
              <w:rPr>
                <w:sz w:val="20"/>
                <w:szCs w:val="20"/>
                <w:color w:val="auto"/>
              </w:rPr>
            </w:pPr>
          </w:p>
        </w:tc>
        <w:tc>
          <w:tcPr>
            <w:tcW w:w="520" w:type="dxa"/>
            <w:vAlign w:val="bottom"/>
            <w:tcBorders>
              <w:top w:val="single" w:sz="8" w:color="E5E9E3"/>
              <w:bottom w:val="single" w:sz="8" w:color="E5E9E3"/>
            </w:tcBorders>
            <w:shd w:val="clear" w:color="auto" w:fill="E5E9E3"/>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3"/>
          </w:tcPr>
          <w:p>
            <w:pPr>
              <w:ind w:left="40"/>
              <w:spacing w:after="0"/>
              <w:rPr>
                <w:sz w:val="20"/>
                <w:szCs w:val="20"/>
                <w:color w:val="auto"/>
              </w:rPr>
            </w:pPr>
            <w:r>
              <w:rPr>
                <w:rFonts w:ascii="Arial" w:cs="Arial" w:eastAsia="Arial" w:hAnsi="Arial"/>
                <w:sz w:val="17"/>
                <w:szCs w:val="17"/>
                <w:b w:val="1"/>
                <w:bCs w:val="1"/>
                <w:color w:val="auto"/>
              </w:rPr>
              <w:t xml:space="preserve">Proposal 2:   </w:t>
            </w:r>
            <w:r>
              <w:rPr>
                <w:rFonts w:ascii="Arial" w:cs="Arial" w:eastAsia="Arial" w:hAnsi="Arial"/>
                <w:sz w:val="17"/>
                <w:szCs w:val="17"/>
                <w:color w:val="auto"/>
              </w:rPr>
              <w:t>Ratification of the appointment of PricewaterhouseCoopers</w:t>
            </w:r>
          </w:p>
        </w:tc>
        <w:tc>
          <w:tcPr>
            <w:tcW w:w="1580" w:type="dxa"/>
            <w:vAlign w:val="bottom"/>
          </w:tcPr>
          <w:p>
            <w:pPr>
              <w:jc w:val="center"/>
              <w:ind w:lef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w:t>
            </w:r>
          </w:p>
        </w:tc>
        <w:tc>
          <w:tcPr>
            <w:tcW w:w="1900" w:type="dxa"/>
            <w:vAlign w:val="bottom"/>
            <w:gridSpan w:val="4"/>
          </w:tcPr>
          <w:p>
            <w:pPr>
              <w:jc w:val="center"/>
              <w:ind w:right="6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color w:val="0000EE"/>
              </w:rPr>
              <w:t>31</w:t>
            </w:r>
          </w:p>
        </w:tc>
        <w:tc>
          <w:tcPr>
            <w:tcW w:w="780" w:type="dxa"/>
            <w:vAlign w:val="bottom"/>
          </w:tcPr>
          <w:p>
            <w:pPr>
              <w:spacing w:after="0"/>
              <w:rPr>
                <w:sz w:val="18"/>
                <w:szCs w:val="18"/>
                <w:color w:val="auto"/>
              </w:rPr>
            </w:pPr>
          </w:p>
        </w:tc>
      </w:tr>
      <w:tr>
        <w:trPr>
          <w:trHeight w:val="174"/>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80" w:type="dxa"/>
            <w:vAlign w:val="bottom"/>
            <w:gridSpan w:val="3"/>
          </w:tcPr>
          <w:p>
            <w:pPr>
              <w:ind w:left="1200"/>
              <w:spacing w:after="0" w:line="174" w:lineRule="exact"/>
              <w:rPr>
                <w:sz w:val="20"/>
                <w:szCs w:val="20"/>
                <w:color w:val="auto"/>
              </w:rPr>
            </w:pPr>
            <w:r>
              <w:rPr>
                <w:rFonts w:ascii="Arial" w:cs="Arial" w:eastAsia="Arial" w:hAnsi="Arial"/>
                <w:sz w:val="17"/>
                <w:szCs w:val="17"/>
                <w:color w:val="auto"/>
              </w:rPr>
              <w:t>ABAS Ltd. as Fabrinet’s independent auditor for the fiscal</w:t>
            </w:r>
          </w:p>
        </w:tc>
        <w:tc>
          <w:tcPr>
            <w:tcW w:w="1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5"/>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gridSpan w:val="2"/>
          </w:tcPr>
          <w:p>
            <w:pPr>
              <w:jc w:val="right"/>
              <w:ind w:right="655"/>
              <w:spacing w:after="0"/>
              <w:rPr>
                <w:sz w:val="20"/>
                <w:szCs w:val="20"/>
                <w:color w:val="auto"/>
              </w:rPr>
            </w:pPr>
            <w:r>
              <w:rPr>
                <w:rFonts w:ascii="Arial" w:cs="Arial" w:eastAsia="Arial" w:hAnsi="Arial"/>
                <w:sz w:val="17"/>
                <w:szCs w:val="17"/>
                <w:color w:val="auto"/>
              </w:rPr>
              <w:t>year ending June 27, 2025</w:t>
            </w:r>
          </w:p>
        </w:tc>
        <w:tc>
          <w:tcPr>
            <w:tcW w:w="1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0"/>
        </w:trPr>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780" w:type="dxa"/>
            <w:vAlign w:val="bottom"/>
            <w:gridSpan w:val="3"/>
          </w:tcPr>
          <w:p>
            <w:pPr>
              <w:spacing w:after="0"/>
              <w:rPr>
                <w:sz w:val="3"/>
                <w:szCs w:val="3"/>
                <w:color w:val="auto"/>
              </w:rPr>
            </w:pPr>
          </w:p>
        </w:tc>
        <w:tc>
          <w:tcPr>
            <w:tcW w:w="1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16"/>
        </w:trPr>
        <w:tc>
          <w:tcPr>
            <w:tcW w:w="800" w:type="dxa"/>
            <w:vAlign w:val="bottom"/>
          </w:tcPr>
          <w:p>
            <w:pPr>
              <w:spacing w:after="0"/>
              <w:rPr>
                <w:sz w:val="18"/>
                <w:szCs w:val="18"/>
                <w:color w:val="auto"/>
              </w:rPr>
            </w:pPr>
          </w:p>
        </w:tc>
        <w:tc>
          <w:tcPr>
            <w:tcW w:w="180" w:type="dxa"/>
            <w:vAlign w:val="bottom"/>
            <w:tcBorders>
              <w:right w:val="single" w:sz="8" w:color="E5E9E3"/>
            </w:tcBorders>
          </w:tcPr>
          <w:p>
            <w:pPr>
              <w:spacing w:after="0"/>
              <w:rPr>
                <w:sz w:val="18"/>
                <w:szCs w:val="18"/>
                <w:color w:val="auto"/>
              </w:rPr>
            </w:pPr>
          </w:p>
        </w:tc>
        <w:tc>
          <w:tcPr>
            <w:tcW w:w="5780" w:type="dxa"/>
            <w:vAlign w:val="bottom"/>
            <w:gridSpan w:val="3"/>
            <w:shd w:val="clear" w:color="auto" w:fill="E5E9E3"/>
          </w:tcPr>
          <w:p>
            <w:pPr>
              <w:ind w:left="40"/>
              <w:spacing w:after="0"/>
              <w:rPr>
                <w:sz w:val="20"/>
                <w:szCs w:val="20"/>
                <w:color w:val="auto"/>
              </w:rPr>
            </w:pPr>
            <w:r>
              <w:rPr>
                <w:rFonts w:ascii="Arial" w:cs="Arial" w:eastAsia="Arial" w:hAnsi="Arial"/>
                <w:sz w:val="17"/>
                <w:szCs w:val="17"/>
                <w:b w:val="1"/>
                <w:bCs w:val="1"/>
                <w:color w:val="auto"/>
              </w:rPr>
              <w:t xml:space="preserve">Proposal 3:   </w:t>
            </w:r>
            <w:r>
              <w:rPr>
                <w:rFonts w:ascii="Arial" w:cs="Arial" w:eastAsia="Arial" w:hAnsi="Arial"/>
                <w:sz w:val="17"/>
                <w:szCs w:val="17"/>
                <w:color w:val="auto"/>
              </w:rPr>
              <w:t>Advisory vote to approve named executive officer</w:t>
            </w:r>
          </w:p>
        </w:tc>
        <w:tc>
          <w:tcPr>
            <w:tcW w:w="1580" w:type="dxa"/>
            <w:vAlign w:val="bottom"/>
            <w:shd w:val="clear" w:color="auto" w:fill="E5E9E3"/>
          </w:tcPr>
          <w:p>
            <w:pPr>
              <w:jc w:val="center"/>
              <w:ind w:lef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w:t>
            </w:r>
          </w:p>
        </w:tc>
        <w:tc>
          <w:tcPr>
            <w:tcW w:w="1760" w:type="dxa"/>
            <w:vAlign w:val="bottom"/>
            <w:gridSpan w:val="3"/>
            <w:shd w:val="clear" w:color="auto" w:fill="E5E9E3"/>
          </w:tcPr>
          <w:p>
            <w:pPr>
              <w:jc w:val="center"/>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color w:val="0000EE"/>
              </w:rPr>
              <w:t>32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180" w:type="dxa"/>
            <w:vAlign w:val="bottom"/>
            <w:tcBorders>
              <w:right w:val="single" w:sz="8" w:color="E5E9E3"/>
            </w:tcBorders>
          </w:tcPr>
          <w:p>
            <w:pPr>
              <w:spacing w:after="0"/>
              <w:rPr>
                <w:sz w:val="20"/>
                <w:szCs w:val="20"/>
                <w:color w:val="auto"/>
              </w:rPr>
            </w:pPr>
          </w:p>
        </w:tc>
        <w:tc>
          <w:tcPr>
            <w:tcW w:w="2400" w:type="dxa"/>
            <w:vAlign w:val="bottom"/>
            <w:tcBorders>
              <w:top w:val="single" w:sz="8" w:color="E5E9E3"/>
              <w:bottom w:val="single" w:sz="8" w:color="E5E9E3"/>
            </w:tcBorders>
            <w:shd w:val="clear" w:color="auto" w:fill="E5E9E3"/>
          </w:tcPr>
          <w:p>
            <w:pPr>
              <w:ind w:left="1200"/>
              <w:spacing w:after="0"/>
              <w:rPr>
                <w:sz w:val="20"/>
                <w:szCs w:val="20"/>
                <w:color w:val="auto"/>
              </w:rPr>
            </w:pPr>
            <w:r>
              <w:rPr>
                <w:rFonts w:ascii="Arial" w:cs="Arial" w:eastAsia="Arial" w:hAnsi="Arial"/>
                <w:sz w:val="17"/>
                <w:szCs w:val="17"/>
                <w:color w:val="auto"/>
              </w:rPr>
              <w:t>compensation</w:t>
            </w:r>
          </w:p>
        </w:tc>
        <w:tc>
          <w:tcPr>
            <w:tcW w:w="1560" w:type="dxa"/>
            <w:vAlign w:val="bottom"/>
            <w:tcBorders>
              <w:top w:val="single" w:sz="8" w:color="E5E9E3"/>
              <w:bottom w:val="single" w:sz="8" w:color="E5E9E3"/>
            </w:tcBorders>
            <w:shd w:val="clear" w:color="auto" w:fill="E5E9E3"/>
          </w:tcPr>
          <w:p>
            <w:pPr>
              <w:spacing w:after="0"/>
              <w:rPr>
                <w:sz w:val="20"/>
                <w:szCs w:val="20"/>
                <w:color w:val="auto"/>
              </w:rPr>
            </w:pPr>
          </w:p>
        </w:tc>
        <w:tc>
          <w:tcPr>
            <w:tcW w:w="1820" w:type="dxa"/>
            <w:vAlign w:val="bottom"/>
            <w:tcBorders>
              <w:top w:val="single" w:sz="8" w:color="E5E9E3"/>
              <w:bottom w:val="single" w:sz="8" w:color="E5E9E3"/>
            </w:tcBorders>
            <w:shd w:val="clear" w:color="auto" w:fill="E5E9E3"/>
          </w:tcPr>
          <w:p>
            <w:pPr>
              <w:spacing w:after="0"/>
              <w:rPr>
                <w:sz w:val="20"/>
                <w:szCs w:val="20"/>
                <w:color w:val="auto"/>
              </w:rPr>
            </w:pPr>
          </w:p>
        </w:tc>
        <w:tc>
          <w:tcPr>
            <w:tcW w:w="1580" w:type="dxa"/>
            <w:vAlign w:val="bottom"/>
            <w:tcBorders>
              <w:top w:val="single" w:sz="8" w:color="E5E9E3"/>
              <w:bottom w:val="single" w:sz="8" w:color="E5E9E3"/>
            </w:tcBorders>
            <w:shd w:val="clear" w:color="auto" w:fill="E5E9E3"/>
          </w:tcPr>
          <w:p>
            <w:pPr>
              <w:spacing w:after="0"/>
              <w:rPr>
                <w:sz w:val="20"/>
                <w:szCs w:val="20"/>
                <w:color w:val="auto"/>
              </w:rPr>
            </w:pPr>
          </w:p>
        </w:tc>
        <w:tc>
          <w:tcPr>
            <w:tcW w:w="1040" w:type="dxa"/>
            <w:vAlign w:val="bottom"/>
            <w:tcBorders>
              <w:top w:val="single" w:sz="8" w:color="E5E9E3"/>
              <w:bottom w:val="single" w:sz="8" w:color="E5E9E3"/>
            </w:tcBorders>
            <w:shd w:val="clear" w:color="auto" w:fill="E5E9E3"/>
          </w:tcPr>
          <w:p>
            <w:pPr>
              <w:spacing w:after="0"/>
              <w:rPr>
                <w:sz w:val="20"/>
                <w:szCs w:val="20"/>
                <w:color w:val="auto"/>
              </w:rPr>
            </w:pPr>
          </w:p>
        </w:tc>
        <w:tc>
          <w:tcPr>
            <w:tcW w:w="200" w:type="dxa"/>
            <w:vAlign w:val="bottom"/>
            <w:tcBorders>
              <w:top w:val="single" w:sz="8" w:color="0000EE"/>
              <w:bottom w:val="single" w:sz="8" w:color="E5E9E3"/>
            </w:tcBorders>
            <w:shd w:val="clear" w:color="auto" w:fill="E5E9E3"/>
          </w:tcPr>
          <w:p>
            <w:pPr>
              <w:spacing w:after="0"/>
              <w:rPr>
                <w:sz w:val="20"/>
                <w:szCs w:val="20"/>
                <w:color w:val="auto"/>
              </w:rPr>
            </w:pPr>
          </w:p>
        </w:tc>
        <w:tc>
          <w:tcPr>
            <w:tcW w:w="520" w:type="dxa"/>
            <w:vAlign w:val="bottom"/>
            <w:tcBorders>
              <w:top w:val="single" w:sz="8" w:color="E5E9E3"/>
              <w:bottom w:val="single" w:sz="8" w:color="E5E9E3"/>
            </w:tcBorders>
            <w:shd w:val="clear" w:color="auto" w:fill="E5E9E3"/>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52"/>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Class III Director Nominees: Terms to Expire in 2027</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0"/>
        </w:trPr>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80" w:type="dxa"/>
            <w:vAlign w:val="bottom"/>
          </w:tcPr>
          <w:p>
            <w:pPr>
              <w:spacing w:after="0"/>
              <w:rPr>
                <w:sz w:val="9"/>
                <w:szCs w:val="9"/>
                <w:color w:val="auto"/>
              </w:rPr>
            </w:pPr>
          </w:p>
        </w:tc>
      </w:tr>
      <w:tr>
        <w:trPr>
          <w:trHeight w:val="331"/>
        </w:trPr>
        <w:tc>
          <w:tcPr>
            <w:tcW w:w="800" w:type="dxa"/>
            <w:vAlign w:val="bottom"/>
          </w:tcPr>
          <w:p>
            <w:pPr>
              <w:spacing w:after="0"/>
              <w:rPr>
                <w:sz w:val="24"/>
                <w:szCs w:val="24"/>
                <w:color w:val="auto"/>
              </w:rPr>
            </w:pPr>
          </w:p>
        </w:tc>
        <w:tc>
          <w:tcPr>
            <w:tcW w:w="180" w:type="dxa"/>
            <w:vAlign w:val="bottom"/>
            <w:tcBorders>
              <w:right w:val="single" w:sz="8" w:color="819F7C"/>
            </w:tcBorders>
          </w:tcPr>
          <w:p>
            <w:pPr>
              <w:spacing w:after="0"/>
              <w:rPr>
                <w:sz w:val="24"/>
                <w:szCs w:val="24"/>
                <w:color w:val="auto"/>
              </w:rPr>
            </w:pPr>
          </w:p>
        </w:tc>
        <w:tc>
          <w:tcPr>
            <w:tcW w:w="2400" w:type="dxa"/>
            <w:vAlign w:val="bottom"/>
            <w:tcBorders>
              <w:bottom w:val="single" w:sz="8" w:color="819F7C"/>
            </w:tcBorders>
            <w:shd w:val="clear" w:color="auto" w:fill="819F7C"/>
          </w:tcPr>
          <w:p>
            <w:pPr>
              <w:ind w:left="40"/>
              <w:spacing w:after="0"/>
              <w:rPr>
                <w:sz w:val="20"/>
                <w:szCs w:val="20"/>
                <w:color w:val="auto"/>
              </w:rPr>
            </w:pPr>
            <w:r>
              <w:rPr>
                <w:rFonts w:ascii="Arial" w:cs="Arial" w:eastAsia="Arial" w:hAnsi="Arial"/>
                <w:sz w:val="17"/>
                <w:szCs w:val="17"/>
                <w:b w:val="1"/>
                <w:bCs w:val="1"/>
                <w:color w:val="FFFFFF"/>
              </w:rPr>
              <w:t>Name</w:t>
            </w:r>
          </w:p>
        </w:tc>
        <w:tc>
          <w:tcPr>
            <w:tcW w:w="1560" w:type="dxa"/>
            <w:vAlign w:val="bottom"/>
            <w:tcBorders>
              <w:bottom w:val="single" w:sz="8" w:color="819F7C"/>
            </w:tcBorders>
            <w:shd w:val="clear" w:color="auto" w:fill="819F7C"/>
          </w:tcPr>
          <w:p>
            <w:pPr>
              <w:jc w:val="right"/>
              <w:ind w:right="275"/>
              <w:spacing w:after="0"/>
              <w:rPr>
                <w:sz w:val="20"/>
                <w:szCs w:val="20"/>
                <w:color w:val="auto"/>
              </w:rPr>
            </w:pPr>
            <w:r>
              <w:rPr>
                <w:rFonts w:ascii="Arial" w:cs="Arial" w:eastAsia="Arial" w:hAnsi="Arial"/>
                <w:sz w:val="17"/>
                <w:szCs w:val="17"/>
                <w:b w:val="1"/>
                <w:bCs w:val="1"/>
                <w:color w:val="FFFFFF"/>
              </w:rPr>
              <w:t>Director Since</w:t>
            </w:r>
          </w:p>
        </w:tc>
        <w:tc>
          <w:tcPr>
            <w:tcW w:w="3400" w:type="dxa"/>
            <w:vAlign w:val="bottom"/>
            <w:tcBorders>
              <w:bottom w:val="single" w:sz="8" w:color="819F7C"/>
            </w:tcBorders>
            <w:gridSpan w:val="2"/>
            <w:shd w:val="clear" w:color="auto" w:fill="819F7C"/>
          </w:tcPr>
          <w:p>
            <w:pPr>
              <w:jc w:val="center"/>
              <w:spacing w:after="0"/>
              <w:rPr>
                <w:sz w:val="20"/>
                <w:szCs w:val="20"/>
                <w:color w:val="auto"/>
              </w:rPr>
            </w:pPr>
            <w:r>
              <w:rPr>
                <w:rFonts w:ascii="Arial" w:cs="Arial" w:eastAsia="Arial" w:hAnsi="Arial"/>
                <w:sz w:val="17"/>
                <w:szCs w:val="17"/>
                <w:b w:val="1"/>
                <w:bCs w:val="1"/>
                <w:color w:val="FFFFFF"/>
              </w:rPr>
              <w:t>Experience and Qualifications</w:t>
            </w:r>
          </w:p>
        </w:tc>
        <w:tc>
          <w:tcPr>
            <w:tcW w:w="1760" w:type="dxa"/>
            <w:vAlign w:val="bottom"/>
            <w:tcBorders>
              <w:bottom w:val="single" w:sz="8" w:color="819F7C"/>
            </w:tcBorders>
            <w:gridSpan w:val="3"/>
            <w:shd w:val="clear" w:color="auto" w:fill="819F7C"/>
          </w:tcPr>
          <w:p>
            <w:pPr>
              <w:jc w:val="center"/>
              <w:ind w:right="40"/>
              <w:spacing w:after="0"/>
              <w:rPr>
                <w:sz w:val="20"/>
                <w:szCs w:val="20"/>
                <w:color w:val="auto"/>
              </w:rPr>
            </w:pPr>
            <w:r>
              <w:rPr>
                <w:rFonts w:ascii="Arial" w:cs="Arial" w:eastAsia="Arial" w:hAnsi="Arial"/>
                <w:sz w:val="17"/>
                <w:szCs w:val="17"/>
                <w:b w:val="1"/>
                <w:bCs w:val="1"/>
                <w:color w:val="FFFFFF"/>
              </w:rPr>
              <w:t>Board Committees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1"/>
        </w:trPr>
        <w:tc>
          <w:tcPr>
            <w:tcW w:w="800" w:type="dxa"/>
            <w:vAlign w:val="bottom"/>
          </w:tcPr>
          <w:p>
            <w:pPr>
              <w:spacing w:after="0"/>
              <w:rPr>
                <w:sz w:val="19"/>
                <w:szCs w:val="19"/>
                <w:color w:val="auto"/>
              </w:rPr>
            </w:pPr>
          </w:p>
        </w:tc>
        <w:tc>
          <w:tcPr>
            <w:tcW w:w="180" w:type="dxa"/>
            <w:vAlign w:val="bottom"/>
            <w:tcBorders>
              <w:right w:val="single" w:sz="8" w:color="E5E9E3"/>
            </w:tcBorders>
          </w:tcPr>
          <w:p>
            <w:pPr>
              <w:spacing w:after="0"/>
              <w:rPr>
                <w:sz w:val="19"/>
                <w:szCs w:val="19"/>
                <w:color w:val="auto"/>
              </w:rPr>
            </w:pPr>
          </w:p>
        </w:tc>
        <w:tc>
          <w:tcPr>
            <w:tcW w:w="2400" w:type="dxa"/>
            <w:vAlign w:val="bottom"/>
            <w:shd w:val="clear" w:color="auto" w:fill="E5E9E3"/>
          </w:tcPr>
          <w:p>
            <w:pPr>
              <w:ind w:left="40"/>
              <w:spacing w:after="0"/>
              <w:rPr>
                <w:sz w:val="20"/>
                <w:szCs w:val="20"/>
                <w:color w:val="auto"/>
              </w:rPr>
            </w:pPr>
            <w:r>
              <w:rPr>
                <w:rFonts w:ascii="Arial" w:cs="Arial" w:eastAsia="Arial" w:hAnsi="Arial"/>
                <w:sz w:val="17"/>
                <w:szCs w:val="17"/>
                <w:color w:val="auto"/>
              </w:rPr>
              <w:t>Forbes I.J. Alexander</w:t>
            </w:r>
          </w:p>
        </w:tc>
        <w:tc>
          <w:tcPr>
            <w:tcW w:w="1560" w:type="dxa"/>
            <w:vAlign w:val="bottom"/>
            <w:shd w:val="clear" w:color="auto" w:fill="E5E9E3"/>
          </w:tcPr>
          <w:p>
            <w:pPr>
              <w:jc w:val="right"/>
              <w:ind w:right="655"/>
              <w:spacing w:after="0"/>
              <w:rPr>
                <w:sz w:val="20"/>
                <w:szCs w:val="20"/>
                <w:color w:val="auto"/>
              </w:rPr>
            </w:pPr>
            <w:r>
              <w:rPr>
                <w:rFonts w:ascii="Arial" w:cs="Arial" w:eastAsia="Arial" w:hAnsi="Arial"/>
                <w:sz w:val="17"/>
                <w:szCs w:val="17"/>
                <w:color w:val="auto"/>
              </w:rPr>
              <w:t>2024</w:t>
            </w:r>
          </w:p>
        </w:tc>
        <w:tc>
          <w:tcPr>
            <w:tcW w:w="3400" w:type="dxa"/>
            <w:vAlign w:val="bottom"/>
            <w:gridSpan w:val="2"/>
            <w:shd w:val="clear" w:color="auto" w:fill="E5E9E3"/>
          </w:tcPr>
          <w:p>
            <w:pPr>
              <w:jc w:val="center"/>
              <w:spacing w:after="0"/>
              <w:rPr>
                <w:sz w:val="20"/>
                <w:szCs w:val="20"/>
                <w:color w:val="auto"/>
              </w:rPr>
            </w:pPr>
            <w:r>
              <w:rPr>
                <w:rFonts w:ascii="Arial" w:cs="Arial" w:eastAsia="Arial" w:hAnsi="Arial"/>
                <w:sz w:val="17"/>
                <w:szCs w:val="17"/>
                <w:color w:val="auto"/>
              </w:rPr>
              <w:t>Extensive audit and financial reporting</w:t>
            </w:r>
          </w:p>
        </w:tc>
        <w:tc>
          <w:tcPr>
            <w:tcW w:w="1760" w:type="dxa"/>
            <w:vAlign w:val="bottom"/>
            <w:gridSpan w:val="3"/>
            <w:shd w:val="clear" w:color="auto" w:fill="E5E9E3"/>
          </w:tcPr>
          <w:p>
            <w:pPr>
              <w:jc w:val="center"/>
              <w:ind w:right="60"/>
              <w:spacing w:after="0"/>
              <w:rPr>
                <w:sz w:val="20"/>
                <w:szCs w:val="20"/>
                <w:color w:val="auto"/>
              </w:rPr>
            </w:pPr>
            <w:r>
              <w:rPr>
                <w:rFonts w:ascii="Arial" w:cs="Arial" w:eastAsia="Arial" w:hAnsi="Arial"/>
                <w:sz w:val="17"/>
                <w:szCs w:val="17"/>
                <w:color w:val="auto"/>
                <w:w w:val="97"/>
              </w:rPr>
              <w:t>Audit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5"/>
        </w:trPr>
        <w:tc>
          <w:tcPr>
            <w:tcW w:w="800" w:type="dxa"/>
            <w:vAlign w:val="bottom"/>
          </w:tcPr>
          <w:p>
            <w:pPr>
              <w:spacing w:after="0"/>
              <w:rPr>
                <w:sz w:val="21"/>
                <w:szCs w:val="21"/>
                <w:color w:val="auto"/>
              </w:rPr>
            </w:pPr>
          </w:p>
        </w:tc>
        <w:tc>
          <w:tcPr>
            <w:tcW w:w="180" w:type="dxa"/>
            <w:vAlign w:val="bottom"/>
            <w:tcBorders>
              <w:right w:val="single" w:sz="8" w:color="E5E9E3"/>
            </w:tcBorders>
          </w:tcPr>
          <w:p>
            <w:pPr>
              <w:spacing w:after="0"/>
              <w:rPr>
                <w:sz w:val="21"/>
                <w:szCs w:val="21"/>
                <w:color w:val="auto"/>
              </w:rPr>
            </w:pPr>
          </w:p>
        </w:tc>
        <w:tc>
          <w:tcPr>
            <w:tcW w:w="2400" w:type="dxa"/>
            <w:vAlign w:val="bottom"/>
            <w:tcBorders>
              <w:bottom w:val="single" w:sz="8" w:color="E5E9E3"/>
            </w:tcBorders>
            <w:shd w:val="clear" w:color="auto" w:fill="E5E9E3"/>
          </w:tcPr>
          <w:p>
            <w:pPr>
              <w:spacing w:after="0"/>
              <w:rPr>
                <w:sz w:val="21"/>
                <w:szCs w:val="21"/>
                <w:color w:val="auto"/>
              </w:rPr>
            </w:pPr>
          </w:p>
        </w:tc>
        <w:tc>
          <w:tcPr>
            <w:tcW w:w="1560" w:type="dxa"/>
            <w:vAlign w:val="bottom"/>
            <w:tcBorders>
              <w:bottom w:val="single" w:sz="8" w:color="E5E9E3"/>
            </w:tcBorders>
            <w:shd w:val="clear" w:color="auto" w:fill="E5E9E3"/>
          </w:tcPr>
          <w:p>
            <w:pPr>
              <w:spacing w:after="0"/>
              <w:rPr>
                <w:sz w:val="21"/>
                <w:szCs w:val="21"/>
                <w:color w:val="auto"/>
              </w:rPr>
            </w:pPr>
          </w:p>
        </w:tc>
        <w:tc>
          <w:tcPr>
            <w:tcW w:w="3400" w:type="dxa"/>
            <w:vAlign w:val="bottom"/>
            <w:tcBorders>
              <w:bottom w:val="single" w:sz="8" w:color="E5E9E3"/>
            </w:tcBorders>
            <w:gridSpan w:val="2"/>
            <w:shd w:val="clear" w:color="auto" w:fill="E5E9E3"/>
          </w:tcPr>
          <w:p>
            <w:pPr>
              <w:jc w:val="center"/>
              <w:spacing w:after="0"/>
              <w:rPr>
                <w:sz w:val="20"/>
                <w:szCs w:val="20"/>
                <w:color w:val="auto"/>
              </w:rPr>
            </w:pPr>
            <w:r>
              <w:rPr>
                <w:rFonts w:ascii="Arial" w:cs="Arial" w:eastAsia="Arial" w:hAnsi="Arial"/>
                <w:sz w:val="17"/>
                <w:szCs w:val="17"/>
                <w:color w:val="auto"/>
              </w:rPr>
              <w:t>expertise and deep industry knowledge</w:t>
            </w:r>
          </w:p>
        </w:tc>
        <w:tc>
          <w:tcPr>
            <w:tcW w:w="1040" w:type="dxa"/>
            <w:vAlign w:val="bottom"/>
            <w:tcBorders>
              <w:bottom w:val="single" w:sz="8" w:color="E5E9E3"/>
            </w:tcBorders>
            <w:shd w:val="clear" w:color="auto" w:fill="E5E9E3"/>
          </w:tcPr>
          <w:p>
            <w:pPr>
              <w:spacing w:after="0"/>
              <w:rPr>
                <w:sz w:val="21"/>
                <w:szCs w:val="21"/>
                <w:color w:val="auto"/>
              </w:rPr>
            </w:pPr>
          </w:p>
        </w:tc>
        <w:tc>
          <w:tcPr>
            <w:tcW w:w="200" w:type="dxa"/>
            <w:vAlign w:val="bottom"/>
            <w:tcBorders>
              <w:bottom w:val="single" w:sz="8" w:color="E5E9E3"/>
            </w:tcBorders>
            <w:shd w:val="clear" w:color="auto" w:fill="E5E9E3"/>
          </w:tcPr>
          <w:p>
            <w:pPr>
              <w:spacing w:after="0"/>
              <w:rPr>
                <w:sz w:val="21"/>
                <w:szCs w:val="21"/>
                <w:color w:val="auto"/>
              </w:rPr>
            </w:pPr>
          </w:p>
        </w:tc>
        <w:tc>
          <w:tcPr>
            <w:tcW w:w="520" w:type="dxa"/>
            <w:vAlign w:val="bottom"/>
            <w:tcBorders>
              <w:bottom w:val="single" w:sz="8" w:color="E5E9E3"/>
            </w:tcBorders>
            <w:shd w:val="clear" w:color="auto" w:fill="E5E9E3"/>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7"/>
                <w:szCs w:val="17"/>
                <w:color w:val="auto"/>
              </w:rPr>
              <w:t>Dr. Frank H. Levinson</w:t>
            </w:r>
          </w:p>
        </w:tc>
        <w:tc>
          <w:tcPr>
            <w:tcW w:w="1560" w:type="dxa"/>
            <w:vAlign w:val="bottom"/>
          </w:tcPr>
          <w:p>
            <w:pPr>
              <w:jc w:val="right"/>
              <w:ind w:right="655"/>
              <w:spacing w:after="0"/>
              <w:rPr>
                <w:sz w:val="20"/>
                <w:szCs w:val="20"/>
                <w:color w:val="auto"/>
              </w:rPr>
            </w:pPr>
            <w:r>
              <w:rPr>
                <w:rFonts w:ascii="Arial" w:cs="Arial" w:eastAsia="Arial" w:hAnsi="Arial"/>
                <w:sz w:val="17"/>
                <w:szCs w:val="17"/>
                <w:color w:val="auto"/>
              </w:rPr>
              <w:t>2001</w:t>
            </w:r>
          </w:p>
        </w:tc>
        <w:tc>
          <w:tcPr>
            <w:tcW w:w="3400" w:type="dxa"/>
            <w:vAlign w:val="bottom"/>
            <w:gridSpan w:val="2"/>
          </w:tcPr>
          <w:p>
            <w:pPr>
              <w:jc w:val="center"/>
              <w:spacing w:after="0"/>
              <w:rPr>
                <w:sz w:val="20"/>
                <w:szCs w:val="20"/>
                <w:color w:val="auto"/>
              </w:rPr>
            </w:pPr>
            <w:r>
              <w:rPr>
                <w:rFonts w:ascii="Arial" w:cs="Arial" w:eastAsia="Arial" w:hAnsi="Arial"/>
                <w:sz w:val="17"/>
                <w:szCs w:val="17"/>
                <w:color w:val="auto"/>
              </w:rPr>
              <w:t>CEO experience and deep industry</w:t>
            </w:r>
          </w:p>
        </w:tc>
        <w:tc>
          <w:tcPr>
            <w:tcW w:w="1900" w:type="dxa"/>
            <w:vAlign w:val="bottom"/>
            <w:gridSpan w:val="4"/>
          </w:tcPr>
          <w:p>
            <w:pPr>
              <w:jc w:val="center"/>
              <w:ind w:right="200"/>
              <w:spacing w:after="0"/>
              <w:rPr>
                <w:sz w:val="20"/>
                <w:szCs w:val="20"/>
                <w:color w:val="auto"/>
              </w:rPr>
            </w:pPr>
            <w:r>
              <w:rPr>
                <w:rFonts w:ascii="Arial" w:cs="Arial" w:eastAsia="Arial" w:hAnsi="Arial"/>
                <w:sz w:val="17"/>
                <w:szCs w:val="17"/>
                <w:color w:val="auto"/>
                <w:w w:val="97"/>
              </w:rPr>
              <w:t>Audit</w:t>
            </w:r>
          </w:p>
        </w:tc>
        <w:tc>
          <w:tcPr>
            <w:tcW w:w="780" w:type="dxa"/>
            <w:vAlign w:val="bottom"/>
          </w:tcPr>
          <w:p>
            <w:pPr>
              <w:spacing w:after="0"/>
              <w:rPr>
                <w:sz w:val="19"/>
                <w:szCs w:val="19"/>
                <w:color w:val="auto"/>
              </w:rPr>
            </w:pPr>
          </w:p>
        </w:tc>
      </w:tr>
      <w:tr>
        <w:trPr>
          <w:trHeight w:val="225"/>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0" w:type="dxa"/>
            <w:vAlign w:val="bottom"/>
            <w:gridSpan w:val="2"/>
          </w:tcPr>
          <w:p>
            <w:pPr>
              <w:jc w:val="center"/>
              <w:spacing w:after="0"/>
              <w:rPr>
                <w:sz w:val="20"/>
                <w:szCs w:val="20"/>
                <w:color w:val="auto"/>
              </w:rPr>
            </w:pPr>
            <w:r>
              <w:rPr>
                <w:rFonts w:ascii="Arial" w:cs="Arial" w:eastAsia="Arial" w:hAnsi="Arial"/>
                <w:sz w:val="17"/>
                <w:szCs w:val="17"/>
                <w:color w:val="auto"/>
              </w:rPr>
              <w:t>knowledge</w:t>
            </w:r>
          </w:p>
        </w:tc>
        <w:tc>
          <w:tcPr>
            <w:tcW w:w="1900" w:type="dxa"/>
            <w:vAlign w:val="bottom"/>
            <w:gridSpan w:val="4"/>
          </w:tcPr>
          <w:p>
            <w:pPr>
              <w:jc w:val="center"/>
              <w:ind w:right="200"/>
              <w:spacing w:after="0"/>
              <w:rPr>
                <w:sz w:val="20"/>
                <w:szCs w:val="20"/>
                <w:color w:val="auto"/>
              </w:rPr>
            </w:pPr>
            <w:r>
              <w:rPr>
                <w:rFonts w:ascii="Arial" w:cs="Arial" w:eastAsia="Arial" w:hAnsi="Arial"/>
                <w:sz w:val="17"/>
                <w:szCs w:val="17"/>
                <w:color w:val="auto"/>
                <w:w w:val="99"/>
              </w:rPr>
              <w:t>Compensation (Chair)</w:t>
            </w:r>
          </w:p>
        </w:tc>
        <w:tc>
          <w:tcPr>
            <w:tcW w:w="780" w:type="dxa"/>
            <w:vAlign w:val="bottom"/>
          </w:tcPr>
          <w:p>
            <w:pPr>
              <w:spacing w:after="0"/>
              <w:rPr>
                <w:sz w:val="19"/>
                <w:szCs w:val="19"/>
                <w:color w:val="auto"/>
              </w:rPr>
            </w:pPr>
          </w:p>
        </w:tc>
      </w:tr>
      <w:tr>
        <w:trPr>
          <w:trHeight w:val="40"/>
        </w:trPr>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40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r>
      <w:tr>
        <w:trPr>
          <w:trHeight w:val="221"/>
        </w:trPr>
        <w:tc>
          <w:tcPr>
            <w:tcW w:w="800" w:type="dxa"/>
            <w:vAlign w:val="bottom"/>
          </w:tcPr>
          <w:p>
            <w:pPr>
              <w:spacing w:after="0"/>
              <w:rPr>
                <w:sz w:val="19"/>
                <w:szCs w:val="19"/>
                <w:color w:val="auto"/>
              </w:rPr>
            </w:pPr>
          </w:p>
        </w:tc>
        <w:tc>
          <w:tcPr>
            <w:tcW w:w="180" w:type="dxa"/>
            <w:vAlign w:val="bottom"/>
            <w:tcBorders>
              <w:right w:val="single" w:sz="8" w:color="E5E9E3"/>
            </w:tcBorders>
          </w:tcPr>
          <w:p>
            <w:pPr>
              <w:spacing w:after="0"/>
              <w:rPr>
                <w:sz w:val="19"/>
                <w:szCs w:val="19"/>
                <w:color w:val="auto"/>
              </w:rPr>
            </w:pPr>
          </w:p>
        </w:tc>
        <w:tc>
          <w:tcPr>
            <w:tcW w:w="2400" w:type="dxa"/>
            <w:vAlign w:val="bottom"/>
            <w:shd w:val="clear" w:color="auto" w:fill="E5E9E3"/>
          </w:tcPr>
          <w:p>
            <w:pPr>
              <w:ind w:left="40"/>
              <w:spacing w:after="0"/>
              <w:rPr>
                <w:sz w:val="20"/>
                <w:szCs w:val="20"/>
                <w:color w:val="auto"/>
              </w:rPr>
            </w:pPr>
            <w:r>
              <w:rPr>
                <w:rFonts w:ascii="Arial" w:cs="Arial" w:eastAsia="Arial" w:hAnsi="Arial"/>
                <w:sz w:val="17"/>
                <w:szCs w:val="17"/>
                <w:color w:val="auto"/>
              </w:rPr>
              <w:t>David T. (Tom) Mitchell</w:t>
            </w:r>
          </w:p>
        </w:tc>
        <w:tc>
          <w:tcPr>
            <w:tcW w:w="1560" w:type="dxa"/>
            <w:vAlign w:val="bottom"/>
            <w:shd w:val="clear" w:color="auto" w:fill="E5E9E3"/>
          </w:tcPr>
          <w:p>
            <w:pPr>
              <w:jc w:val="right"/>
              <w:ind w:right="655"/>
              <w:spacing w:after="0"/>
              <w:rPr>
                <w:sz w:val="20"/>
                <w:szCs w:val="20"/>
                <w:color w:val="auto"/>
              </w:rPr>
            </w:pPr>
            <w:r>
              <w:rPr>
                <w:rFonts w:ascii="Arial" w:cs="Arial" w:eastAsia="Arial" w:hAnsi="Arial"/>
                <w:sz w:val="17"/>
                <w:szCs w:val="17"/>
                <w:color w:val="auto"/>
              </w:rPr>
              <w:t>2000</w:t>
            </w:r>
          </w:p>
        </w:tc>
        <w:tc>
          <w:tcPr>
            <w:tcW w:w="3400" w:type="dxa"/>
            <w:vAlign w:val="bottom"/>
            <w:gridSpan w:val="2"/>
            <w:shd w:val="clear" w:color="auto" w:fill="E5E9E3"/>
          </w:tcPr>
          <w:p>
            <w:pPr>
              <w:jc w:val="center"/>
              <w:spacing w:after="0"/>
              <w:rPr>
                <w:sz w:val="20"/>
                <w:szCs w:val="20"/>
                <w:color w:val="auto"/>
              </w:rPr>
            </w:pPr>
            <w:r>
              <w:rPr>
                <w:rFonts w:ascii="Arial" w:cs="Arial" w:eastAsia="Arial" w:hAnsi="Arial"/>
                <w:sz w:val="17"/>
                <w:szCs w:val="17"/>
                <w:color w:val="auto"/>
                <w:w w:val="99"/>
              </w:rPr>
              <w:t>Founder, CEO experience and deep</w:t>
            </w:r>
          </w:p>
        </w:tc>
        <w:tc>
          <w:tcPr>
            <w:tcW w:w="1760" w:type="dxa"/>
            <w:vAlign w:val="bottom"/>
            <w:gridSpan w:val="3"/>
            <w:shd w:val="clear" w:color="auto" w:fill="E5E9E3"/>
          </w:tcPr>
          <w:p>
            <w:pPr>
              <w:jc w:val="center"/>
              <w:ind w:right="60"/>
              <w:spacing w:after="0"/>
              <w:rPr>
                <w:sz w:val="20"/>
                <w:szCs w:val="20"/>
                <w:color w:val="auto"/>
              </w:rPr>
            </w:pPr>
            <w:r>
              <w:rPr>
                <w:rFonts w:ascii="Arial" w:cs="Arial" w:eastAsia="Arial" w:hAnsi="Arial"/>
                <w:sz w:val="17"/>
                <w:szCs w:val="17"/>
                <w:color w:val="auto"/>
              </w:rPr>
              <w:t>None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5"/>
        </w:trPr>
        <w:tc>
          <w:tcPr>
            <w:tcW w:w="800" w:type="dxa"/>
            <w:vAlign w:val="bottom"/>
          </w:tcPr>
          <w:p>
            <w:pPr>
              <w:spacing w:after="0"/>
              <w:rPr>
                <w:sz w:val="21"/>
                <w:szCs w:val="21"/>
                <w:color w:val="auto"/>
              </w:rPr>
            </w:pPr>
          </w:p>
        </w:tc>
        <w:tc>
          <w:tcPr>
            <w:tcW w:w="180" w:type="dxa"/>
            <w:vAlign w:val="bottom"/>
            <w:tcBorders>
              <w:right w:val="single" w:sz="8" w:color="E5E9E3"/>
            </w:tcBorders>
          </w:tcPr>
          <w:p>
            <w:pPr>
              <w:spacing w:after="0"/>
              <w:rPr>
                <w:sz w:val="21"/>
                <w:szCs w:val="21"/>
                <w:color w:val="auto"/>
              </w:rPr>
            </w:pPr>
          </w:p>
        </w:tc>
        <w:tc>
          <w:tcPr>
            <w:tcW w:w="2400" w:type="dxa"/>
            <w:vAlign w:val="bottom"/>
            <w:tcBorders>
              <w:bottom w:val="single" w:sz="8" w:color="E5E9E3"/>
            </w:tcBorders>
            <w:shd w:val="clear" w:color="auto" w:fill="E5E9E3"/>
          </w:tcPr>
          <w:p>
            <w:pPr>
              <w:spacing w:after="0"/>
              <w:rPr>
                <w:sz w:val="21"/>
                <w:szCs w:val="21"/>
                <w:color w:val="auto"/>
              </w:rPr>
            </w:pPr>
          </w:p>
        </w:tc>
        <w:tc>
          <w:tcPr>
            <w:tcW w:w="1560" w:type="dxa"/>
            <w:vAlign w:val="bottom"/>
            <w:tcBorders>
              <w:bottom w:val="single" w:sz="8" w:color="E5E9E3"/>
            </w:tcBorders>
            <w:shd w:val="clear" w:color="auto" w:fill="E5E9E3"/>
          </w:tcPr>
          <w:p>
            <w:pPr>
              <w:spacing w:after="0"/>
              <w:rPr>
                <w:sz w:val="21"/>
                <w:szCs w:val="21"/>
                <w:color w:val="auto"/>
              </w:rPr>
            </w:pPr>
          </w:p>
        </w:tc>
        <w:tc>
          <w:tcPr>
            <w:tcW w:w="3400" w:type="dxa"/>
            <w:vAlign w:val="bottom"/>
            <w:tcBorders>
              <w:bottom w:val="single" w:sz="8" w:color="E5E9E3"/>
            </w:tcBorders>
            <w:gridSpan w:val="2"/>
            <w:shd w:val="clear" w:color="auto" w:fill="E5E9E3"/>
          </w:tcPr>
          <w:p>
            <w:pPr>
              <w:jc w:val="center"/>
              <w:spacing w:after="0"/>
              <w:rPr>
                <w:sz w:val="20"/>
                <w:szCs w:val="20"/>
                <w:color w:val="auto"/>
              </w:rPr>
            </w:pPr>
            <w:r>
              <w:rPr>
                <w:rFonts w:ascii="Arial" w:cs="Arial" w:eastAsia="Arial" w:hAnsi="Arial"/>
                <w:sz w:val="17"/>
                <w:szCs w:val="17"/>
                <w:color w:val="auto"/>
              </w:rPr>
              <w:t>industry knowledge</w:t>
            </w:r>
          </w:p>
        </w:tc>
        <w:tc>
          <w:tcPr>
            <w:tcW w:w="1040" w:type="dxa"/>
            <w:vAlign w:val="bottom"/>
            <w:tcBorders>
              <w:bottom w:val="single" w:sz="8" w:color="E5E9E3"/>
            </w:tcBorders>
            <w:shd w:val="clear" w:color="auto" w:fill="E5E9E3"/>
          </w:tcPr>
          <w:p>
            <w:pPr>
              <w:spacing w:after="0"/>
              <w:rPr>
                <w:sz w:val="21"/>
                <w:szCs w:val="21"/>
                <w:color w:val="auto"/>
              </w:rPr>
            </w:pPr>
          </w:p>
        </w:tc>
        <w:tc>
          <w:tcPr>
            <w:tcW w:w="200" w:type="dxa"/>
            <w:vAlign w:val="bottom"/>
            <w:tcBorders>
              <w:bottom w:val="single" w:sz="8" w:color="E5E9E3"/>
            </w:tcBorders>
            <w:shd w:val="clear" w:color="auto" w:fill="E5E9E3"/>
          </w:tcPr>
          <w:p>
            <w:pPr>
              <w:spacing w:after="0"/>
              <w:rPr>
                <w:sz w:val="21"/>
                <w:szCs w:val="21"/>
                <w:color w:val="auto"/>
              </w:rPr>
            </w:pPr>
          </w:p>
        </w:tc>
        <w:tc>
          <w:tcPr>
            <w:tcW w:w="520" w:type="dxa"/>
            <w:vAlign w:val="bottom"/>
            <w:tcBorders>
              <w:bottom w:val="single" w:sz="8" w:color="E5E9E3"/>
            </w:tcBorders>
            <w:shd w:val="clear" w:color="auto" w:fill="E5E9E3"/>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3"/>
        </w:trPr>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469"/>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Pr>
          <w:p>
            <w:pPr>
              <w:ind w:left="800"/>
              <w:spacing w:after="0"/>
              <w:rPr>
                <w:sz w:val="20"/>
                <w:szCs w:val="20"/>
                <w:color w:val="auto"/>
              </w:rPr>
            </w:pPr>
            <w:r>
              <w:rPr>
                <w:rFonts w:ascii="Arial" w:cs="Arial" w:eastAsia="Arial" w:hAnsi="Arial"/>
                <w:sz w:val="13"/>
                <w:szCs w:val="13"/>
                <w:color w:val="auto"/>
                <w:w w:val="98"/>
              </w:rPr>
              <w:t>2024 PROXY STATEMENT</w:t>
            </w: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4"/>
        </w:trPr>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996305" cy="517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6305" cy="517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Business and Financial Highlights</w:t>
      </w:r>
    </w:p>
    <w:p>
      <w:pPr>
        <w:spacing w:after="0" w:line="272" w:lineRule="exact"/>
        <w:rPr>
          <w:sz w:val="20"/>
          <w:szCs w:val="20"/>
          <w:color w:val="auto"/>
        </w:rPr>
      </w:pPr>
    </w:p>
    <w:p>
      <w:pPr>
        <w:jc w:val="both"/>
        <w:ind w:left="140"/>
        <w:spacing w:after="0" w:line="253" w:lineRule="auto"/>
        <w:rPr>
          <w:sz w:val="20"/>
          <w:szCs w:val="20"/>
          <w:color w:val="auto"/>
        </w:rPr>
      </w:pPr>
      <w:r>
        <w:rPr>
          <w:rFonts w:ascii="Arial" w:cs="Arial" w:eastAsia="Arial" w:hAnsi="Arial"/>
          <w:sz w:val="18"/>
          <w:szCs w:val="18"/>
          <w:color w:val="auto"/>
        </w:rPr>
        <w:t>In 2024, we achieved our fourth successive fiscal year of record revenue, net income and net income per diluted share. During fiscal 2024, we also repurchased 211,726 ordinary shares under our share repurchase program for an aggregate purchase price of $39.5 million, which offset dilution from issuances under our equity incentive plans.</w:t>
      </w:r>
    </w:p>
    <w:p>
      <w:pPr>
        <w:spacing w:after="0" w:line="61" w:lineRule="exact"/>
        <w:rPr>
          <w:sz w:val="20"/>
          <w:szCs w:val="20"/>
          <w:color w:val="auto"/>
        </w:rPr>
      </w:pPr>
    </w:p>
    <w:p>
      <w:pPr>
        <w:jc w:val="both"/>
        <w:ind w:left="140" w:right="20"/>
        <w:spacing w:after="0" w:line="271" w:lineRule="auto"/>
        <w:rPr>
          <w:sz w:val="20"/>
          <w:szCs w:val="20"/>
          <w:color w:val="auto"/>
        </w:rPr>
      </w:pPr>
      <w:r>
        <w:rPr>
          <w:rFonts w:ascii="Arial" w:cs="Arial" w:eastAsia="Arial" w:hAnsi="Arial"/>
          <w:sz w:val="18"/>
          <w:szCs w:val="18"/>
          <w:color w:val="auto"/>
        </w:rPr>
        <w:t>The following table illustrates select fiscal 2024 and fiscal 2023 results, as well as the closing share price of our ordinary shares following announcement of our fiscal 2024 and fiscal 2023 year-end results:</w:t>
      </w:r>
    </w:p>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405"/>
        </w:trPr>
        <w:tc>
          <w:tcPr>
            <w:tcW w:w="40" w:type="dxa"/>
            <w:vAlign w:val="bottom"/>
            <w:shd w:val="clear" w:color="auto" w:fill="819F7C"/>
          </w:tcPr>
          <w:p>
            <w:pPr>
              <w:spacing w:after="0"/>
              <w:rPr>
                <w:sz w:val="24"/>
                <w:szCs w:val="24"/>
                <w:color w:val="auto"/>
              </w:rPr>
            </w:pPr>
          </w:p>
        </w:tc>
        <w:tc>
          <w:tcPr>
            <w:tcW w:w="4080" w:type="dxa"/>
            <w:vAlign w:val="bottom"/>
            <w:shd w:val="clear" w:color="auto" w:fill="819F7C"/>
          </w:tcPr>
          <w:p>
            <w:pPr>
              <w:spacing w:after="0"/>
              <w:rPr>
                <w:sz w:val="24"/>
                <w:szCs w:val="24"/>
                <w:color w:val="auto"/>
              </w:rPr>
            </w:pPr>
          </w:p>
        </w:tc>
        <w:tc>
          <w:tcPr>
            <w:tcW w:w="1660" w:type="dxa"/>
            <w:vAlign w:val="bottom"/>
            <w:shd w:val="clear" w:color="auto" w:fill="819F7C"/>
          </w:tcPr>
          <w:p>
            <w:pPr>
              <w:jc w:val="center"/>
              <w:ind w:left="190"/>
              <w:spacing w:after="0"/>
              <w:rPr>
                <w:sz w:val="20"/>
                <w:szCs w:val="20"/>
                <w:color w:val="auto"/>
              </w:rPr>
            </w:pPr>
            <w:r>
              <w:rPr>
                <w:rFonts w:ascii="Arial" w:cs="Arial" w:eastAsia="Arial" w:hAnsi="Arial"/>
                <w:sz w:val="18"/>
                <w:szCs w:val="18"/>
                <w:b w:val="1"/>
                <w:bCs w:val="1"/>
                <w:color w:val="FFFFFF"/>
                <w:w w:val="95"/>
              </w:rPr>
              <w:t>Fiscal 2024</w:t>
            </w:r>
            <w:r>
              <w:rPr>
                <w:rFonts w:ascii="Arial" w:cs="Arial" w:eastAsia="Arial" w:hAnsi="Arial"/>
                <w:sz w:val="29"/>
                <w:szCs w:val="29"/>
                <w:b w:val="1"/>
                <w:bCs w:val="1"/>
                <w:color w:val="FFFFFF"/>
                <w:w w:val="95"/>
                <w:vertAlign w:val="superscript"/>
              </w:rPr>
              <w:t>(1)</w:t>
            </w:r>
          </w:p>
        </w:tc>
        <w:tc>
          <w:tcPr>
            <w:tcW w:w="1400" w:type="dxa"/>
            <w:vAlign w:val="bottom"/>
            <w:shd w:val="clear" w:color="auto" w:fill="819F7C"/>
          </w:tcPr>
          <w:p>
            <w:pPr>
              <w:jc w:val="center"/>
              <w:spacing w:after="0"/>
              <w:rPr>
                <w:sz w:val="20"/>
                <w:szCs w:val="20"/>
                <w:color w:val="auto"/>
              </w:rPr>
            </w:pPr>
            <w:r>
              <w:rPr>
                <w:rFonts w:ascii="Arial" w:cs="Arial" w:eastAsia="Arial" w:hAnsi="Arial"/>
                <w:sz w:val="18"/>
                <w:szCs w:val="18"/>
                <w:b w:val="1"/>
                <w:bCs w:val="1"/>
                <w:color w:val="FFFFFF"/>
                <w:w w:val="99"/>
              </w:rPr>
              <w:t>Fiscal 2023</w:t>
            </w:r>
          </w:p>
        </w:tc>
        <w:tc>
          <w:tcPr>
            <w:tcW w:w="1460" w:type="dxa"/>
            <w:vAlign w:val="bottom"/>
            <w:shd w:val="clear" w:color="auto" w:fill="819F7C"/>
          </w:tcPr>
          <w:p>
            <w:pPr>
              <w:jc w:val="center"/>
              <w:spacing w:after="0"/>
              <w:rPr>
                <w:sz w:val="20"/>
                <w:szCs w:val="20"/>
                <w:color w:val="auto"/>
              </w:rPr>
            </w:pPr>
            <w:r>
              <w:rPr>
                <w:rFonts w:ascii="Arial" w:cs="Arial" w:eastAsia="Arial" w:hAnsi="Arial"/>
                <w:sz w:val="18"/>
                <w:szCs w:val="18"/>
                <w:b w:val="1"/>
                <w:bCs w:val="1"/>
                <w:color w:val="FFFFFF"/>
                <w:w w:val="99"/>
              </w:rPr>
              <w:t>Change</w:t>
            </w:r>
          </w:p>
        </w:tc>
        <w:tc>
          <w:tcPr>
            <w:tcW w:w="0" w:type="dxa"/>
            <w:vAlign w:val="bottom"/>
          </w:tcPr>
          <w:p>
            <w:pPr>
              <w:spacing w:after="0"/>
              <w:rPr>
                <w:sz w:val="1"/>
                <w:szCs w:val="1"/>
                <w:color w:val="auto"/>
              </w:rPr>
            </w:pPr>
          </w:p>
        </w:tc>
      </w:tr>
      <w:tr>
        <w:trPr>
          <w:trHeight w:val="291"/>
        </w:trPr>
        <w:tc>
          <w:tcPr>
            <w:tcW w:w="40" w:type="dxa"/>
            <w:vAlign w:val="bottom"/>
            <w:tcBorders>
              <w:bottom w:val="single" w:sz="8" w:color="E5E9E3"/>
            </w:tcBorders>
            <w:shd w:val="clear" w:color="auto" w:fill="E5E9E3"/>
          </w:tcPr>
          <w:p>
            <w:pPr>
              <w:spacing w:after="0"/>
              <w:rPr>
                <w:sz w:val="24"/>
                <w:szCs w:val="24"/>
                <w:color w:val="auto"/>
              </w:rPr>
            </w:pPr>
          </w:p>
        </w:tc>
        <w:tc>
          <w:tcPr>
            <w:tcW w:w="4080" w:type="dxa"/>
            <w:vAlign w:val="bottom"/>
            <w:tcBorders>
              <w:bottom w:val="single" w:sz="8" w:color="E5E9E3"/>
            </w:tcBorders>
            <w:shd w:val="clear" w:color="auto" w:fill="E5E9E3"/>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E5E9E3"/>
            </w:tcBorders>
            <w:shd w:val="clear" w:color="auto" w:fill="E5E9E3"/>
          </w:tcPr>
          <w:p>
            <w:pPr>
              <w:jc w:val="center"/>
              <w:ind w:left="190"/>
              <w:spacing w:after="0"/>
              <w:rPr>
                <w:sz w:val="20"/>
                <w:szCs w:val="20"/>
                <w:color w:val="auto"/>
              </w:rPr>
            </w:pPr>
            <w:r>
              <w:rPr>
                <w:rFonts w:ascii="Arial" w:cs="Arial" w:eastAsia="Arial" w:hAnsi="Arial"/>
                <w:sz w:val="18"/>
                <w:szCs w:val="18"/>
                <w:color w:val="auto"/>
                <w:w w:val="99"/>
              </w:rPr>
              <w:t>$2,883.0 million</w:t>
            </w:r>
          </w:p>
        </w:tc>
        <w:tc>
          <w:tcPr>
            <w:tcW w:w="14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8"/>
                <w:szCs w:val="18"/>
                <w:color w:val="auto"/>
                <w:w w:val="99"/>
              </w:rPr>
              <w:t>$2,645.2 million</w:t>
            </w:r>
          </w:p>
        </w:tc>
        <w:tc>
          <w:tcPr>
            <w:tcW w:w="146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(30 basis</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rPr>
              <w:t>12.4%</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12.7%</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points)</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shd w:val="clear" w:color="auto" w:fill="E5E9E3"/>
          </w:tcPr>
          <w:p>
            <w:pPr>
              <w:spacing w:after="0"/>
              <w:rPr>
                <w:sz w:val="20"/>
                <w:szCs w:val="20"/>
                <w:color w:val="auto"/>
              </w:rPr>
            </w:pPr>
          </w:p>
        </w:tc>
        <w:tc>
          <w:tcPr>
            <w:tcW w:w="4080" w:type="dxa"/>
            <w:vAlign w:val="bottom"/>
            <w:vMerge w:val="restart"/>
            <w:shd w:val="clear" w:color="auto" w:fill="E5E9E3"/>
          </w:tcPr>
          <w:p>
            <w:pPr>
              <w:ind w:left="20"/>
              <w:spacing w:after="0"/>
              <w:rPr>
                <w:sz w:val="20"/>
                <w:szCs w:val="20"/>
                <w:color w:val="auto"/>
              </w:rPr>
            </w:pPr>
            <w:r>
              <w:rPr>
                <w:rFonts w:ascii="Arial" w:cs="Arial" w:eastAsia="Arial" w:hAnsi="Arial"/>
                <w:sz w:val="18"/>
                <w:szCs w:val="18"/>
                <w:color w:val="auto"/>
              </w:rPr>
              <w:t>Non-GAAP gross margin</w:t>
            </w:r>
            <w:r>
              <w:rPr>
                <w:rFonts w:ascii="Arial" w:cs="Arial" w:eastAsia="Arial" w:hAnsi="Arial"/>
                <w:sz w:val="29"/>
                <w:szCs w:val="29"/>
                <w:color w:val="auto"/>
                <w:vertAlign w:val="superscript"/>
              </w:rPr>
              <w:t>(2)</w:t>
            </w:r>
          </w:p>
        </w:tc>
        <w:tc>
          <w:tcPr>
            <w:tcW w:w="1660" w:type="dxa"/>
            <w:vAlign w:val="bottom"/>
            <w:shd w:val="clear" w:color="auto" w:fill="E5E9E3"/>
          </w:tcPr>
          <w:p>
            <w:pPr>
              <w:spacing w:after="0"/>
              <w:rPr>
                <w:sz w:val="20"/>
                <w:szCs w:val="20"/>
                <w:color w:val="auto"/>
              </w:rPr>
            </w:pPr>
          </w:p>
        </w:tc>
        <w:tc>
          <w:tcPr>
            <w:tcW w:w="1400" w:type="dxa"/>
            <w:vAlign w:val="bottom"/>
            <w:shd w:val="clear" w:color="auto" w:fill="E5E9E3"/>
          </w:tcPr>
          <w:p>
            <w:pPr>
              <w:spacing w:after="0"/>
              <w:rPr>
                <w:sz w:val="20"/>
                <w:szCs w:val="20"/>
                <w:color w:val="auto"/>
              </w:rPr>
            </w:pPr>
          </w:p>
        </w:tc>
        <w:tc>
          <w:tcPr>
            <w:tcW w:w="1460" w:type="dxa"/>
            <w:vAlign w:val="bottom"/>
            <w:shd w:val="clear" w:color="auto" w:fill="E5E9E3"/>
          </w:tcPr>
          <w:p>
            <w:pPr>
              <w:jc w:val="center"/>
              <w:spacing w:after="0"/>
              <w:rPr>
                <w:sz w:val="20"/>
                <w:szCs w:val="20"/>
                <w:color w:val="auto"/>
              </w:rPr>
            </w:pPr>
            <w:r>
              <w:rPr>
                <w:rFonts w:ascii="Arial" w:cs="Arial" w:eastAsia="Arial" w:hAnsi="Arial"/>
                <w:sz w:val="18"/>
                <w:szCs w:val="18"/>
                <w:color w:val="auto"/>
              </w:rPr>
              <w:t>(40 basis</w:t>
            </w:r>
          </w:p>
        </w:tc>
        <w:tc>
          <w:tcPr>
            <w:tcW w:w="0" w:type="dxa"/>
            <w:vAlign w:val="bottom"/>
          </w:tcPr>
          <w:p>
            <w:pPr>
              <w:spacing w:after="0"/>
              <w:rPr>
                <w:sz w:val="1"/>
                <w:szCs w:val="1"/>
                <w:color w:val="auto"/>
              </w:rPr>
            </w:pPr>
          </w:p>
        </w:tc>
      </w:tr>
      <w:tr>
        <w:trPr>
          <w:trHeight w:val="275"/>
        </w:trPr>
        <w:tc>
          <w:tcPr>
            <w:tcW w:w="40" w:type="dxa"/>
            <w:vAlign w:val="bottom"/>
            <w:shd w:val="clear" w:color="auto" w:fill="E5E9E3"/>
          </w:tcPr>
          <w:p>
            <w:pPr>
              <w:spacing w:after="0"/>
              <w:rPr>
                <w:sz w:val="23"/>
                <w:szCs w:val="23"/>
                <w:color w:val="auto"/>
              </w:rPr>
            </w:pPr>
          </w:p>
        </w:tc>
        <w:tc>
          <w:tcPr>
            <w:tcW w:w="4080" w:type="dxa"/>
            <w:vAlign w:val="bottom"/>
            <w:vMerge w:val="continue"/>
            <w:shd w:val="clear" w:color="auto" w:fill="E5E9E3"/>
          </w:tcPr>
          <w:p>
            <w:pPr>
              <w:spacing w:after="0"/>
              <w:rPr>
                <w:sz w:val="23"/>
                <w:szCs w:val="23"/>
                <w:color w:val="auto"/>
              </w:rPr>
            </w:pPr>
          </w:p>
        </w:tc>
        <w:tc>
          <w:tcPr>
            <w:tcW w:w="1660" w:type="dxa"/>
            <w:vAlign w:val="bottom"/>
            <w:shd w:val="clear" w:color="auto" w:fill="E5E9E3"/>
          </w:tcPr>
          <w:p>
            <w:pPr>
              <w:jc w:val="center"/>
              <w:ind w:left="210"/>
              <w:spacing w:after="0"/>
              <w:rPr>
                <w:sz w:val="20"/>
                <w:szCs w:val="20"/>
                <w:color w:val="auto"/>
              </w:rPr>
            </w:pPr>
            <w:r>
              <w:rPr>
                <w:rFonts w:ascii="Arial" w:cs="Arial" w:eastAsia="Arial" w:hAnsi="Arial"/>
                <w:sz w:val="18"/>
                <w:szCs w:val="18"/>
                <w:color w:val="auto"/>
              </w:rPr>
              <w:t>12.6%</w:t>
            </w:r>
          </w:p>
        </w:tc>
        <w:tc>
          <w:tcPr>
            <w:tcW w:w="140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7"/>
              </w:rPr>
              <w:t>13.0%</w:t>
            </w:r>
          </w:p>
        </w:tc>
        <w:tc>
          <w:tcPr>
            <w:tcW w:w="146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9"/>
              </w:rPr>
              <w:t>points)</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rPr>
              <w:t>9.6%</w:t>
            </w:r>
          </w:p>
        </w:tc>
        <w:tc>
          <w:tcPr>
            <w:tcW w:w="1400" w:type="dxa"/>
            <w:vAlign w:val="bottom"/>
          </w:tcPr>
          <w:p>
            <w:pPr>
              <w:jc w:val="center"/>
              <w:spacing w:after="0"/>
              <w:rPr>
                <w:sz w:val="20"/>
                <w:szCs w:val="20"/>
                <w:color w:val="auto"/>
              </w:rPr>
            </w:pPr>
            <w:r>
              <w:rPr>
                <w:rFonts w:ascii="Arial" w:cs="Arial" w:eastAsia="Arial" w:hAnsi="Arial"/>
                <w:sz w:val="18"/>
                <w:szCs w:val="18"/>
                <w:color w:val="auto"/>
              </w:rPr>
              <w:t>9.5%</w:t>
            </w:r>
          </w:p>
        </w:tc>
        <w:tc>
          <w:tcPr>
            <w:tcW w:w="1460" w:type="dxa"/>
            <w:vAlign w:val="bottom"/>
          </w:tcPr>
          <w:p>
            <w:pPr>
              <w:jc w:val="center"/>
              <w:ind w:right="10"/>
              <w:spacing w:after="0"/>
              <w:rPr>
                <w:sz w:val="20"/>
                <w:szCs w:val="20"/>
                <w:color w:val="auto"/>
              </w:rPr>
            </w:pPr>
            <w:r>
              <w:rPr>
                <w:rFonts w:ascii="Arial" w:cs="Arial" w:eastAsia="Arial" w:hAnsi="Arial"/>
                <w:sz w:val="18"/>
                <w:szCs w:val="18"/>
                <w:color w:val="auto"/>
                <w:w w:val="99"/>
              </w:rPr>
              <w:t>10 basis points</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shd w:val="clear" w:color="auto" w:fill="E5E9E3"/>
          </w:tcPr>
          <w:p>
            <w:pPr>
              <w:spacing w:after="0"/>
              <w:rPr>
                <w:sz w:val="20"/>
                <w:szCs w:val="20"/>
                <w:color w:val="auto"/>
              </w:rPr>
            </w:pPr>
          </w:p>
        </w:tc>
        <w:tc>
          <w:tcPr>
            <w:tcW w:w="4080" w:type="dxa"/>
            <w:vAlign w:val="bottom"/>
            <w:vMerge w:val="restart"/>
            <w:shd w:val="clear" w:color="auto" w:fill="E5E9E3"/>
          </w:tcPr>
          <w:p>
            <w:pPr>
              <w:ind w:left="20"/>
              <w:spacing w:after="0"/>
              <w:rPr>
                <w:sz w:val="20"/>
                <w:szCs w:val="20"/>
                <w:color w:val="auto"/>
              </w:rPr>
            </w:pPr>
            <w:r>
              <w:rPr>
                <w:rFonts w:ascii="Arial" w:cs="Arial" w:eastAsia="Arial" w:hAnsi="Arial"/>
                <w:sz w:val="18"/>
                <w:szCs w:val="18"/>
                <w:color w:val="auto"/>
              </w:rPr>
              <w:t>Non-GAAP operating margin</w:t>
            </w:r>
            <w:r>
              <w:rPr>
                <w:rFonts w:ascii="Arial" w:cs="Arial" w:eastAsia="Arial" w:hAnsi="Arial"/>
                <w:sz w:val="29"/>
                <w:szCs w:val="29"/>
                <w:color w:val="auto"/>
                <w:vertAlign w:val="superscript"/>
              </w:rPr>
              <w:t>(2)</w:t>
            </w:r>
          </w:p>
        </w:tc>
        <w:tc>
          <w:tcPr>
            <w:tcW w:w="1660" w:type="dxa"/>
            <w:vAlign w:val="bottom"/>
            <w:shd w:val="clear" w:color="auto" w:fill="E5E9E3"/>
          </w:tcPr>
          <w:p>
            <w:pPr>
              <w:spacing w:after="0"/>
              <w:rPr>
                <w:sz w:val="20"/>
                <w:szCs w:val="20"/>
                <w:color w:val="auto"/>
              </w:rPr>
            </w:pPr>
          </w:p>
        </w:tc>
        <w:tc>
          <w:tcPr>
            <w:tcW w:w="1400" w:type="dxa"/>
            <w:vAlign w:val="bottom"/>
            <w:shd w:val="clear" w:color="auto" w:fill="E5E9E3"/>
          </w:tcPr>
          <w:p>
            <w:pPr>
              <w:spacing w:after="0"/>
              <w:rPr>
                <w:sz w:val="20"/>
                <w:szCs w:val="20"/>
                <w:color w:val="auto"/>
              </w:rPr>
            </w:pPr>
          </w:p>
        </w:tc>
        <w:tc>
          <w:tcPr>
            <w:tcW w:w="1460" w:type="dxa"/>
            <w:vAlign w:val="bottom"/>
            <w:shd w:val="clear" w:color="auto" w:fill="E5E9E3"/>
          </w:tcPr>
          <w:p>
            <w:pPr>
              <w:jc w:val="center"/>
              <w:spacing w:after="0"/>
              <w:rPr>
                <w:sz w:val="20"/>
                <w:szCs w:val="20"/>
                <w:color w:val="auto"/>
              </w:rPr>
            </w:pPr>
            <w:r>
              <w:rPr>
                <w:rFonts w:ascii="Arial" w:cs="Arial" w:eastAsia="Arial" w:hAnsi="Arial"/>
                <w:sz w:val="18"/>
                <w:szCs w:val="18"/>
                <w:color w:val="auto"/>
              </w:rPr>
              <w:t>(20 basis</w:t>
            </w:r>
          </w:p>
        </w:tc>
        <w:tc>
          <w:tcPr>
            <w:tcW w:w="0" w:type="dxa"/>
            <w:vAlign w:val="bottom"/>
          </w:tcPr>
          <w:p>
            <w:pPr>
              <w:spacing w:after="0"/>
              <w:rPr>
                <w:sz w:val="1"/>
                <w:szCs w:val="1"/>
                <w:color w:val="auto"/>
              </w:rPr>
            </w:pPr>
          </w:p>
        </w:tc>
      </w:tr>
      <w:tr>
        <w:trPr>
          <w:trHeight w:val="275"/>
        </w:trPr>
        <w:tc>
          <w:tcPr>
            <w:tcW w:w="40" w:type="dxa"/>
            <w:vAlign w:val="bottom"/>
            <w:shd w:val="clear" w:color="auto" w:fill="E5E9E3"/>
          </w:tcPr>
          <w:p>
            <w:pPr>
              <w:spacing w:after="0"/>
              <w:rPr>
                <w:sz w:val="23"/>
                <w:szCs w:val="23"/>
                <w:color w:val="auto"/>
              </w:rPr>
            </w:pPr>
          </w:p>
        </w:tc>
        <w:tc>
          <w:tcPr>
            <w:tcW w:w="4080" w:type="dxa"/>
            <w:vAlign w:val="bottom"/>
            <w:vMerge w:val="continue"/>
            <w:shd w:val="clear" w:color="auto" w:fill="E5E9E3"/>
          </w:tcPr>
          <w:p>
            <w:pPr>
              <w:spacing w:after="0"/>
              <w:rPr>
                <w:sz w:val="23"/>
                <w:szCs w:val="23"/>
                <w:color w:val="auto"/>
              </w:rPr>
            </w:pPr>
          </w:p>
        </w:tc>
        <w:tc>
          <w:tcPr>
            <w:tcW w:w="1660" w:type="dxa"/>
            <w:vAlign w:val="bottom"/>
            <w:shd w:val="clear" w:color="auto" w:fill="E5E9E3"/>
          </w:tcPr>
          <w:p>
            <w:pPr>
              <w:jc w:val="center"/>
              <w:ind w:left="210"/>
              <w:spacing w:after="0"/>
              <w:rPr>
                <w:sz w:val="20"/>
                <w:szCs w:val="20"/>
                <w:color w:val="auto"/>
              </w:rPr>
            </w:pPr>
            <w:r>
              <w:rPr>
                <w:rFonts w:ascii="Arial" w:cs="Arial" w:eastAsia="Arial" w:hAnsi="Arial"/>
                <w:sz w:val="18"/>
                <w:szCs w:val="18"/>
                <w:color w:val="auto"/>
              </w:rPr>
              <w:t>10.6%</w:t>
            </w:r>
          </w:p>
        </w:tc>
        <w:tc>
          <w:tcPr>
            <w:tcW w:w="140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7"/>
              </w:rPr>
              <w:t>10.8%</w:t>
            </w:r>
          </w:p>
        </w:tc>
        <w:tc>
          <w:tcPr>
            <w:tcW w:w="146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9"/>
              </w:rPr>
              <w:t>points)</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9"/>
              </w:rPr>
              <w:t>$296.2 million</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$247.9 million</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19.5%</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shd w:val="clear" w:color="auto" w:fill="E5E9E3"/>
          </w:tcPr>
          <w:p>
            <w:pPr>
              <w:spacing w:after="0"/>
              <w:rPr>
                <w:sz w:val="24"/>
                <w:szCs w:val="24"/>
                <w:color w:val="auto"/>
              </w:rPr>
            </w:pPr>
          </w:p>
        </w:tc>
        <w:tc>
          <w:tcPr>
            <w:tcW w:w="4080" w:type="dxa"/>
            <w:vAlign w:val="bottom"/>
            <w:shd w:val="clear" w:color="auto" w:fill="E5E9E3"/>
          </w:tcPr>
          <w:p>
            <w:pPr>
              <w:ind w:left="20"/>
              <w:spacing w:after="0"/>
              <w:rPr>
                <w:sz w:val="20"/>
                <w:szCs w:val="20"/>
                <w:color w:val="auto"/>
              </w:rPr>
            </w:pPr>
            <w:r>
              <w:rPr>
                <w:rFonts w:ascii="Arial" w:cs="Arial" w:eastAsia="Arial" w:hAnsi="Arial"/>
                <w:sz w:val="18"/>
                <w:szCs w:val="18"/>
                <w:color w:val="auto"/>
              </w:rPr>
              <w:t>Non-GAAP net income</w:t>
            </w:r>
            <w:r>
              <w:rPr>
                <w:rFonts w:ascii="Arial" w:cs="Arial" w:eastAsia="Arial" w:hAnsi="Arial"/>
                <w:sz w:val="29"/>
                <w:szCs w:val="29"/>
                <w:color w:val="auto"/>
                <w:vertAlign w:val="superscript"/>
              </w:rPr>
              <w:t>(2)</w:t>
            </w:r>
          </w:p>
        </w:tc>
        <w:tc>
          <w:tcPr>
            <w:tcW w:w="1660" w:type="dxa"/>
            <w:vAlign w:val="bottom"/>
            <w:shd w:val="clear" w:color="auto" w:fill="E5E9E3"/>
          </w:tcPr>
          <w:p>
            <w:pPr>
              <w:jc w:val="center"/>
              <w:ind w:left="190"/>
              <w:spacing w:after="0"/>
              <w:rPr>
                <w:sz w:val="20"/>
                <w:szCs w:val="20"/>
                <w:color w:val="auto"/>
              </w:rPr>
            </w:pPr>
            <w:r>
              <w:rPr>
                <w:rFonts w:ascii="Arial" w:cs="Arial" w:eastAsia="Arial" w:hAnsi="Arial"/>
                <w:sz w:val="18"/>
                <w:szCs w:val="18"/>
                <w:color w:val="auto"/>
                <w:w w:val="99"/>
              </w:rPr>
              <w:t>$324.6 million</w:t>
            </w:r>
          </w:p>
        </w:tc>
        <w:tc>
          <w:tcPr>
            <w:tcW w:w="140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9"/>
              </w:rPr>
              <w:t>$282.7 million</w:t>
            </w:r>
          </w:p>
        </w:tc>
        <w:tc>
          <w:tcPr>
            <w:tcW w:w="146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rPr>
              <w:t>$8.10</w:t>
            </w:r>
          </w:p>
        </w:tc>
        <w:tc>
          <w:tcPr>
            <w:tcW w:w="1400" w:type="dxa"/>
            <w:vAlign w:val="bottom"/>
          </w:tcPr>
          <w:p>
            <w:pPr>
              <w:jc w:val="center"/>
              <w:spacing w:after="0"/>
              <w:rPr>
                <w:sz w:val="20"/>
                <w:szCs w:val="20"/>
                <w:color w:val="auto"/>
              </w:rPr>
            </w:pPr>
            <w:r>
              <w:rPr>
                <w:rFonts w:ascii="Arial" w:cs="Arial" w:eastAsia="Arial" w:hAnsi="Arial"/>
                <w:sz w:val="18"/>
                <w:szCs w:val="18"/>
                <w:color w:val="auto"/>
              </w:rPr>
              <w:t>$6.73</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20.4%</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shd w:val="clear" w:color="auto" w:fill="E5E9E3"/>
          </w:tcPr>
          <w:p>
            <w:pPr>
              <w:spacing w:after="0"/>
              <w:rPr>
                <w:sz w:val="24"/>
                <w:szCs w:val="24"/>
                <w:color w:val="auto"/>
              </w:rPr>
            </w:pPr>
          </w:p>
        </w:tc>
        <w:tc>
          <w:tcPr>
            <w:tcW w:w="4080" w:type="dxa"/>
            <w:vAlign w:val="bottom"/>
            <w:shd w:val="clear" w:color="auto" w:fill="E5E9E3"/>
          </w:tcPr>
          <w:p>
            <w:pPr>
              <w:ind w:left="20"/>
              <w:spacing w:after="0"/>
              <w:rPr>
                <w:sz w:val="20"/>
                <w:szCs w:val="20"/>
                <w:color w:val="auto"/>
              </w:rPr>
            </w:pPr>
            <w:r>
              <w:rPr>
                <w:rFonts w:ascii="Arial" w:cs="Arial" w:eastAsia="Arial" w:hAnsi="Arial"/>
                <w:sz w:val="18"/>
                <w:szCs w:val="18"/>
                <w:color w:val="auto"/>
              </w:rPr>
              <w:t>Non-GAAP net income per diluted share</w:t>
            </w:r>
            <w:r>
              <w:rPr>
                <w:rFonts w:ascii="Arial" w:cs="Arial" w:eastAsia="Arial" w:hAnsi="Arial"/>
                <w:sz w:val="29"/>
                <w:szCs w:val="29"/>
                <w:color w:val="auto"/>
                <w:vertAlign w:val="superscript"/>
              </w:rPr>
              <w:t>(2)</w:t>
            </w:r>
          </w:p>
        </w:tc>
        <w:tc>
          <w:tcPr>
            <w:tcW w:w="1660" w:type="dxa"/>
            <w:vAlign w:val="bottom"/>
            <w:shd w:val="clear" w:color="auto" w:fill="E5E9E3"/>
          </w:tcPr>
          <w:p>
            <w:pPr>
              <w:jc w:val="center"/>
              <w:ind w:left="190"/>
              <w:spacing w:after="0"/>
              <w:rPr>
                <w:sz w:val="20"/>
                <w:szCs w:val="20"/>
                <w:color w:val="auto"/>
              </w:rPr>
            </w:pPr>
            <w:r>
              <w:rPr>
                <w:rFonts w:ascii="Arial" w:cs="Arial" w:eastAsia="Arial" w:hAnsi="Arial"/>
                <w:sz w:val="18"/>
                <w:szCs w:val="18"/>
                <w:color w:val="auto"/>
              </w:rPr>
              <w:t>$8.88</w:t>
            </w:r>
          </w:p>
        </w:tc>
        <w:tc>
          <w:tcPr>
            <w:tcW w:w="1400" w:type="dxa"/>
            <w:vAlign w:val="bottom"/>
            <w:shd w:val="clear" w:color="auto" w:fill="E5E9E3"/>
          </w:tcPr>
          <w:p>
            <w:pPr>
              <w:jc w:val="center"/>
              <w:spacing w:after="0"/>
              <w:rPr>
                <w:sz w:val="20"/>
                <w:szCs w:val="20"/>
                <w:color w:val="auto"/>
              </w:rPr>
            </w:pPr>
            <w:r>
              <w:rPr>
                <w:rFonts w:ascii="Arial" w:cs="Arial" w:eastAsia="Arial" w:hAnsi="Arial"/>
                <w:sz w:val="18"/>
                <w:szCs w:val="18"/>
                <w:color w:val="auto"/>
              </w:rPr>
              <w:t>$7.67</w:t>
            </w:r>
          </w:p>
        </w:tc>
        <w:tc>
          <w:tcPr>
            <w:tcW w:w="146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7"/>
              </w:rPr>
              <w:t>15.8%</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Closing share price (on business day following</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announcement of fiscal year-end results)</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rPr>
              <w:t>$268.00</w:t>
            </w:r>
          </w:p>
        </w:tc>
        <w:tc>
          <w:tcPr>
            <w:tcW w:w="1400" w:type="dxa"/>
            <w:vAlign w:val="bottom"/>
          </w:tcPr>
          <w:p>
            <w:pPr>
              <w:jc w:val="center"/>
              <w:spacing w:after="0"/>
              <w:rPr>
                <w:sz w:val="20"/>
                <w:szCs w:val="20"/>
                <w:color w:val="auto"/>
              </w:rPr>
            </w:pPr>
            <w:r>
              <w:rPr>
                <w:rFonts w:ascii="Arial" w:cs="Arial" w:eastAsia="Arial" w:hAnsi="Arial"/>
                <w:sz w:val="18"/>
                <w:szCs w:val="18"/>
                <w:color w:val="auto"/>
              </w:rPr>
              <w:t>$153.66</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74.4%</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780" w:right="20" w:hanging="360"/>
        <w:spacing w:after="0" w:line="259" w:lineRule="auto"/>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Please see the section titled “Management’s Discussion and Analysis of Financial Condition and Results of Operations” in our Annual Report on Form 10-K for our fiscal year ended June 28, 2024 (filed with the Securities and Exchange Commission on August 20, 2024), for a more detailed discussion of our fiscal 2024 financial results.</w:t>
      </w:r>
    </w:p>
    <w:p>
      <w:pPr>
        <w:spacing w:after="0" w:line="13" w:lineRule="exact"/>
        <w:rPr>
          <w:rFonts w:ascii="Arial" w:cs="Arial" w:eastAsia="Arial" w:hAnsi="Arial"/>
          <w:sz w:val="13"/>
          <w:szCs w:val="13"/>
          <w:color w:val="auto"/>
        </w:rPr>
      </w:pPr>
    </w:p>
    <w:p>
      <w:pPr>
        <w:ind w:left="780" w:right="20" w:hanging="360"/>
        <w:spacing w:after="0" w:line="297" w:lineRule="auto"/>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Please refer to </w:t>
      </w:r>
      <w:r>
        <w:rPr>
          <w:rFonts w:ascii="Arial" w:cs="Arial" w:eastAsia="Arial" w:hAnsi="Arial"/>
          <w:sz w:val="13"/>
          <w:szCs w:val="13"/>
          <w:b w:val="1"/>
          <w:bCs w:val="1"/>
          <w:color w:val="auto"/>
        </w:rPr>
        <w:t>Appendix A</w:t>
      </w:r>
      <w:r>
        <w:rPr>
          <w:rFonts w:ascii="Arial" w:cs="Arial" w:eastAsia="Arial" w:hAnsi="Arial"/>
          <w:sz w:val="13"/>
          <w:szCs w:val="13"/>
          <w:color w:val="auto"/>
        </w:rPr>
        <w:t xml:space="preserve"> for a reconciliation of this non-GAAP financial measure to the most directly comparable financial measure calculated in accordance with generally accepted accounting principles in the United States (“</w:t>
      </w:r>
      <w:r>
        <w:rPr>
          <w:rFonts w:ascii="Arial" w:cs="Arial" w:eastAsia="Arial" w:hAnsi="Arial"/>
          <w:sz w:val="13"/>
          <w:szCs w:val="13"/>
          <w:b w:val="1"/>
          <w:bCs w:val="1"/>
          <w:color w:val="auto"/>
        </w:rPr>
        <w:t>GAAP</w:t>
      </w:r>
      <w:r>
        <w:rPr>
          <w:rFonts w:ascii="Arial" w:cs="Arial" w:eastAsia="Arial" w:hAnsi="Arial"/>
          <w:sz w:val="13"/>
          <w:szCs w:val="13"/>
          <w:color w:val="auto"/>
        </w:rPr>
        <w:t>”).</w:t>
      </w:r>
    </w:p>
    <w:p>
      <w:pPr>
        <w:spacing w:after="0" w:line="200" w:lineRule="exact"/>
        <w:rPr>
          <w:sz w:val="20"/>
          <w:szCs w:val="20"/>
          <w:color w:val="auto"/>
        </w:rPr>
      </w:pPr>
    </w:p>
    <w:p>
      <w:pPr>
        <w:spacing w:after="0" w:line="277" w:lineRule="exact"/>
        <w:rPr>
          <w:sz w:val="20"/>
          <w:szCs w:val="20"/>
          <w:color w:val="auto"/>
        </w:rPr>
      </w:pPr>
    </w:p>
    <w:p>
      <w:pPr>
        <w:ind w:left="120"/>
        <w:spacing w:after="0"/>
        <w:tabs>
          <w:tab w:leader="none" w:pos="6789" w:val="left"/>
        </w:tabs>
        <w:rPr>
          <w:sz w:val="20"/>
          <w:szCs w:val="20"/>
          <w:color w:val="auto"/>
        </w:rPr>
      </w:pPr>
      <w:r>
        <w:rPr>
          <w:rFonts w:ascii="Arial" w:cs="Arial" w:eastAsia="Arial" w:hAnsi="Arial"/>
          <w:sz w:val="13"/>
          <w:szCs w:val="13"/>
          <w:color w:val="auto"/>
        </w:rPr>
        <w:t>2</w:t>
      </w:r>
      <w:r>
        <w:rPr>
          <w:sz w:val="20"/>
          <w:szCs w:val="20"/>
          <w:color w:val="auto"/>
        </w:rPr>
        <w:tab/>
      </w:r>
      <w:r>
        <w:rPr>
          <w:sz w:val="1"/>
          <w:szCs w:val="1"/>
          <w:color w:val="auto"/>
        </w:rPr>
        <w:drawing>
          <wp:inline distT="0" distB="0" distL="0" distR="0">
            <wp:extent cx="342900" cy="768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8" w:name="page9"/>
    <w:bookmarkEnd w:id="8"/>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83820</wp:posOffset>
            </wp:positionV>
            <wp:extent cx="5996305" cy="8446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96305" cy="844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auto"/>
        </w:rPr>
        <w:t>Governance Highlights</w:t>
      </w:r>
    </w:p>
    <w:p>
      <w:pPr>
        <w:spacing w:after="0" w:line="29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commitment to good corporate governance is illustrated by the following practices:</w:t>
      </w:r>
    </w:p>
    <w:p>
      <w:pPr>
        <w:sectPr>
          <w:pgSz w:w="11900" w:h="16838" w:orient="portrait"/>
          <w:cols w:equalWidth="0" w:num="1">
            <w:col w:w="11020"/>
          </w:cols>
          <w:pgMar w:left="440" w:top="114" w:right="439" w:bottom="1440" w:gutter="0" w:footer="0" w:header="0"/>
        </w:sectPr>
      </w:pPr>
    </w:p>
    <w:p>
      <w:pPr>
        <w:spacing w:after="0" w:line="117" w:lineRule="exact"/>
        <w:rPr>
          <w:sz w:val="20"/>
          <w:szCs w:val="20"/>
          <w:color w:val="auto"/>
        </w:rPr>
      </w:pPr>
    </w:p>
    <w:p>
      <w:pPr>
        <w:ind w:left="1460" w:right="300" w:hanging="345"/>
        <w:spacing w:after="0" w:line="271" w:lineRule="auto"/>
        <w:tabs>
          <w:tab w:leader="none" w:pos="1440" w:val="left"/>
        </w:tabs>
        <w:rPr>
          <w:sz w:val="20"/>
          <w:szCs w:val="20"/>
          <w:color w:val="auto"/>
        </w:rPr>
      </w:pPr>
      <w:r>
        <w:rPr>
          <w:sz w:val="1"/>
          <w:szCs w:val="1"/>
          <w:color w:val="auto"/>
        </w:rPr>
        <w:drawing>
          <wp:inline distT="0" distB="0" distL="0" distR="0">
            <wp:extent cx="94615" cy="9398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Board independence (6 out of 8 directors are independent)</w:t>
      </w:r>
    </w:p>
    <w:p>
      <w:pPr>
        <w:spacing w:after="0" w:line="46" w:lineRule="exact"/>
        <w:rPr>
          <w:sz w:val="20"/>
          <w:szCs w:val="20"/>
          <w:color w:val="auto"/>
        </w:rPr>
      </w:pPr>
    </w:p>
    <w:p>
      <w:pPr>
        <w:ind w:left="1120"/>
        <w:spacing w:after="0"/>
        <w:tabs>
          <w:tab w:leader="none" w:pos="1440" w:val="left"/>
        </w:tabs>
        <w:rPr>
          <w:sz w:val="20"/>
          <w:szCs w:val="20"/>
          <w:color w:val="auto"/>
        </w:rPr>
      </w:pPr>
      <w:r>
        <w:rPr>
          <w:sz w:val="1"/>
          <w:szCs w:val="1"/>
          <w:color w:val="auto"/>
        </w:rPr>
        <w:drawing>
          <wp:inline distT="0" distB="0" distL="0" distR="0">
            <wp:extent cx="94615" cy="939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Separate Chairman and Chief Executive Officer</w:t>
      </w:r>
    </w:p>
    <w:p>
      <w:pPr>
        <w:spacing w:after="0" w:line="104" w:lineRule="exact"/>
        <w:rPr>
          <w:sz w:val="20"/>
          <w:szCs w:val="20"/>
          <w:color w:val="auto"/>
        </w:rPr>
      </w:pPr>
    </w:p>
    <w:p>
      <w:pPr>
        <w:ind w:left="1460" w:hanging="345"/>
        <w:spacing w:after="0" w:line="301" w:lineRule="auto"/>
        <w:tabs>
          <w:tab w:leader="none" w:pos="1440" w:val="left"/>
        </w:tabs>
        <w:rPr>
          <w:sz w:val="20"/>
          <w:szCs w:val="20"/>
          <w:color w:val="auto"/>
        </w:rPr>
      </w:pPr>
      <w:r>
        <w:rPr>
          <w:sz w:val="1"/>
          <w:szCs w:val="1"/>
          <w:color w:val="auto"/>
        </w:rPr>
        <w:drawing>
          <wp:inline distT="0" distB="0" distL="0" distR="0">
            <wp:extent cx="94615" cy="946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Independent directors regularly meet in executive sessions without management present</w:t>
      </w:r>
    </w:p>
    <w:p>
      <w:pPr>
        <w:spacing w:after="0" w:line="23" w:lineRule="exact"/>
        <w:rPr>
          <w:sz w:val="20"/>
          <w:szCs w:val="20"/>
          <w:color w:val="auto"/>
        </w:rPr>
      </w:pPr>
    </w:p>
    <w:p>
      <w:pPr>
        <w:ind w:left="1460" w:right="580" w:hanging="345"/>
        <w:spacing w:after="0" w:line="271" w:lineRule="auto"/>
        <w:tabs>
          <w:tab w:leader="none" w:pos="1440" w:val="left"/>
        </w:tabs>
        <w:rPr>
          <w:sz w:val="20"/>
          <w:szCs w:val="20"/>
          <w:color w:val="auto"/>
        </w:rPr>
      </w:pPr>
      <w:r>
        <w:rPr>
          <w:sz w:val="1"/>
          <w:szCs w:val="1"/>
          <w:color w:val="auto"/>
        </w:rPr>
        <w:drawing>
          <wp:inline distT="0" distB="0" distL="0" distR="0">
            <wp:extent cx="94615" cy="939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Directors attended 100% of all Board and Committee meetings in fiscal 2024</w:t>
      </w:r>
    </w:p>
    <w:p>
      <w:pPr>
        <w:spacing w:after="0" w:line="46" w:lineRule="exact"/>
        <w:rPr>
          <w:sz w:val="20"/>
          <w:szCs w:val="20"/>
          <w:color w:val="auto"/>
        </w:rPr>
      </w:pPr>
    </w:p>
    <w:p>
      <w:pPr>
        <w:ind w:left="1120"/>
        <w:spacing w:after="0"/>
        <w:tabs>
          <w:tab w:leader="none" w:pos="1440" w:val="left"/>
        </w:tabs>
        <w:rPr>
          <w:sz w:val="20"/>
          <w:szCs w:val="20"/>
          <w:color w:val="auto"/>
        </w:rPr>
      </w:pPr>
      <w:r>
        <w:rPr>
          <w:sz w:val="1"/>
          <w:szCs w:val="1"/>
          <w:color w:val="auto"/>
        </w:rPr>
        <w:drawing>
          <wp:inline distT="0" distB="0" distL="0" distR="0">
            <wp:extent cx="94615" cy="9398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Diversity of Board skills and experience</w:t>
      </w:r>
    </w:p>
    <w:p>
      <w:pPr>
        <w:spacing w:after="0" w:line="104" w:lineRule="exact"/>
        <w:rPr>
          <w:sz w:val="20"/>
          <w:szCs w:val="20"/>
          <w:color w:val="auto"/>
        </w:rPr>
      </w:pPr>
    </w:p>
    <w:p>
      <w:pPr>
        <w:ind w:left="1120"/>
        <w:spacing w:after="0"/>
        <w:tabs>
          <w:tab w:leader="none" w:pos="1440" w:val="left"/>
        </w:tabs>
        <w:rPr>
          <w:sz w:val="20"/>
          <w:szCs w:val="20"/>
          <w:color w:val="auto"/>
        </w:rPr>
      </w:pPr>
      <w:r>
        <w:rPr>
          <w:sz w:val="1"/>
          <w:szCs w:val="1"/>
          <w:color w:val="auto"/>
        </w:rPr>
        <w:drawing>
          <wp:inline distT="0" distB="0" distL="0" distR="0">
            <wp:extent cx="94615" cy="939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Annual Board and Committee evaluations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360" w:right="1260" w:hanging="345"/>
        <w:spacing w:after="0" w:line="271" w:lineRule="auto"/>
        <w:tabs>
          <w:tab w:leader="none" w:pos="340" w:val="left"/>
        </w:tabs>
        <w:rPr>
          <w:sz w:val="20"/>
          <w:szCs w:val="20"/>
          <w:color w:val="auto"/>
        </w:rPr>
      </w:pPr>
      <w:r>
        <w:rPr>
          <w:sz w:val="1"/>
          <w:szCs w:val="1"/>
          <w:color w:val="auto"/>
        </w:rPr>
        <w:drawing>
          <wp:inline distT="0" distB="0" distL="0" distR="0">
            <wp:extent cx="94615" cy="939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Strong corporate governance guidelines and policies</w:t>
      </w:r>
    </w:p>
    <w:p>
      <w:pPr>
        <w:spacing w:after="0" w:line="46" w:lineRule="exact"/>
        <w:rPr>
          <w:sz w:val="20"/>
          <w:szCs w:val="20"/>
          <w:color w:val="auto"/>
        </w:rPr>
      </w:pPr>
    </w:p>
    <w:p>
      <w:pPr>
        <w:ind w:left="360" w:right="1300" w:hanging="345"/>
        <w:spacing w:after="0" w:line="271" w:lineRule="auto"/>
        <w:tabs>
          <w:tab w:leader="none" w:pos="340" w:val="left"/>
        </w:tabs>
        <w:rPr>
          <w:sz w:val="20"/>
          <w:szCs w:val="20"/>
          <w:color w:val="auto"/>
        </w:rPr>
      </w:pPr>
      <w:r>
        <w:rPr>
          <w:sz w:val="1"/>
          <w:szCs w:val="1"/>
          <w:color w:val="auto"/>
        </w:rPr>
        <w:drawing>
          <wp:inline distT="0" distB="0" distL="0" distR="0">
            <wp:extent cx="94615" cy="939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Majority voting director resignation policy for uncontested elections</w:t>
      </w:r>
    </w:p>
    <w:p>
      <w:pPr>
        <w:spacing w:after="0" w:line="46" w:lineRule="exact"/>
        <w:rPr>
          <w:sz w:val="20"/>
          <w:szCs w:val="20"/>
          <w:color w:val="auto"/>
        </w:rPr>
      </w:pPr>
    </w:p>
    <w:p>
      <w:pPr>
        <w:ind w:left="360" w:right="1520" w:hanging="345"/>
        <w:spacing w:after="0" w:line="271" w:lineRule="auto"/>
        <w:tabs>
          <w:tab w:leader="none" w:pos="340" w:val="left"/>
        </w:tabs>
        <w:rPr>
          <w:sz w:val="20"/>
          <w:szCs w:val="20"/>
          <w:color w:val="auto"/>
        </w:rPr>
      </w:pPr>
      <w:r>
        <w:rPr>
          <w:sz w:val="1"/>
          <w:szCs w:val="1"/>
          <w:color w:val="auto"/>
        </w:rPr>
        <w:drawing>
          <wp:inline distT="0" distB="0" distL="0" distR="0">
            <wp:extent cx="94615" cy="946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Share ownership guidelines for executive officers and directors</w:t>
      </w:r>
    </w:p>
    <w:p>
      <w:pPr>
        <w:spacing w:after="0" w:line="46" w:lineRule="exact"/>
        <w:rPr>
          <w:sz w:val="20"/>
          <w:szCs w:val="20"/>
          <w:color w:val="auto"/>
        </w:rPr>
      </w:pPr>
    </w:p>
    <w:p>
      <w:pPr>
        <w:spacing w:after="0"/>
        <w:tabs>
          <w:tab w:leader="none" w:pos="340" w:val="left"/>
        </w:tabs>
        <w:rPr>
          <w:sz w:val="20"/>
          <w:szCs w:val="20"/>
          <w:color w:val="auto"/>
        </w:rPr>
      </w:pPr>
      <w:r>
        <w:rPr>
          <w:sz w:val="1"/>
          <w:szCs w:val="1"/>
          <w:color w:val="auto"/>
        </w:rPr>
        <w:drawing>
          <wp:inline distT="0" distB="0" distL="0" distR="0">
            <wp:extent cx="94615" cy="939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Succession planning process</w:t>
      </w:r>
    </w:p>
    <w:p>
      <w:pPr>
        <w:spacing w:after="0" w:line="104" w:lineRule="exact"/>
        <w:rPr>
          <w:sz w:val="20"/>
          <w:szCs w:val="20"/>
          <w:color w:val="auto"/>
        </w:rPr>
      </w:pPr>
    </w:p>
    <w:p>
      <w:pPr>
        <w:spacing w:after="0"/>
        <w:tabs>
          <w:tab w:leader="none" w:pos="340" w:val="left"/>
        </w:tabs>
        <w:rPr>
          <w:sz w:val="20"/>
          <w:szCs w:val="20"/>
          <w:color w:val="auto"/>
        </w:rPr>
      </w:pPr>
      <w:r>
        <w:rPr>
          <w:sz w:val="1"/>
          <w:szCs w:val="1"/>
          <w:color w:val="auto"/>
        </w:rPr>
        <w:drawing>
          <wp:inline distT="0" distB="0" distL="0" distR="0">
            <wp:extent cx="94615" cy="939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Shareholder outreach program</w:t>
      </w:r>
    </w:p>
    <w:p>
      <w:pPr>
        <w:spacing w:after="0" w:line="104" w:lineRule="exact"/>
        <w:rPr>
          <w:sz w:val="20"/>
          <w:szCs w:val="20"/>
          <w:color w:val="auto"/>
        </w:rPr>
      </w:pPr>
    </w:p>
    <w:p>
      <w:pPr>
        <w:spacing w:after="0"/>
        <w:tabs>
          <w:tab w:leader="none" w:pos="340" w:val="left"/>
        </w:tabs>
        <w:rPr>
          <w:sz w:val="20"/>
          <w:szCs w:val="20"/>
          <w:color w:val="auto"/>
        </w:rPr>
      </w:pPr>
      <w:r>
        <w:rPr>
          <w:sz w:val="1"/>
          <w:szCs w:val="1"/>
          <w:color w:val="auto"/>
        </w:rPr>
        <w:drawing>
          <wp:inline distT="0" distB="0" distL="0" distR="0">
            <wp:extent cx="94615" cy="939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Board risk oversight and assessment</w:t>
      </w:r>
    </w:p>
    <w:p>
      <w:pPr>
        <w:spacing w:after="0" w:line="200" w:lineRule="exact"/>
        <w:rPr>
          <w:sz w:val="20"/>
          <w:szCs w:val="20"/>
          <w:color w:val="auto"/>
        </w:rPr>
      </w:pPr>
    </w:p>
    <w:p>
      <w:pPr>
        <w:sectPr>
          <w:pgSz w:w="11900" w:h="16838" w:orient="portrait"/>
          <w:cols w:equalWidth="0" w:num="2">
            <w:col w:w="5340" w:space="520"/>
            <w:col w:w="5160"/>
          </w:cols>
          <w:pgMar w:left="440" w:top="114" w:right="439" w:bottom="1440" w:gutter="0" w:footer="0" w:header="0"/>
          <w:type w:val="continuous"/>
        </w:sectPr>
      </w:pPr>
    </w:p>
    <w:p>
      <w:pPr>
        <w:spacing w:after="0" w:line="258"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578255"/>
        </w:rPr>
        <w:t>Board Composition at a Glance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  </w:t>
      </w:r>
    </w:p>
    <w:p>
      <w:pPr>
        <w:spacing w:after="0" w:line="350"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578255"/>
        </w:rPr>
        <w:t>Director Skills Summary</w:t>
      </w:r>
    </w:p>
    <w:p>
      <w:pPr>
        <w:spacing w:after="0" w:line="108" w:lineRule="exact"/>
        <w:rPr>
          <w:sz w:val="20"/>
          <w:szCs w:val="20"/>
          <w:color w:val="auto"/>
        </w:rPr>
      </w:pPr>
    </w:p>
    <w:p>
      <w:pPr>
        <w:jc w:val="both"/>
        <w:ind w:left="940" w:right="920"/>
        <w:spacing w:after="0" w:line="253" w:lineRule="auto"/>
        <w:rPr>
          <w:sz w:val="20"/>
          <w:szCs w:val="20"/>
          <w:color w:val="auto"/>
        </w:rPr>
      </w:pPr>
      <w:r>
        <w:rPr>
          <w:rFonts w:ascii="Arial" w:cs="Arial" w:eastAsia="Arial" w:hAnsi="Arial"/>
          <w:sz w:val="18"/>
          <w:szCs w:val="18"/>
          <w:color w:val="auto"/>
        </w:rPr>
        <w:t>Our Board members bring diverse experience and perspectives to areas critical to our business. Their collective knowledge ensures appropriate management and risk oversight and supports our strategy of long-term sustainable value creation for shareholders.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shd w:val="clear" w:color="auto" w:fill="819F7C"/>
          </w:tcPr>
          <w:p>
            <w:pPr>
              <w:spacing w:after="0"/>
              <w:rPr>
                <w:sz w:val="22"/>
                <w:szCs w:val="22"/>
                <w:color w:val="auto"/>
              </w:rPr>
            </w:pPr>
          </w:p>
        </w:tc>
        <w:tc>
          <w:tcPr>
            <w:tcW w:w="940" w:type="dxa"/>
            <w:vAlign w:val="bottom"/>
            <w:shd w:val="clear" w:color="auto" w:fill="819F7C"/>
          </w:tcPr>
          <w:p>
            <w:pPr>
              <w:spacing w:after="0"/>
              <w:rPr>
                <w:sz w:val="22"/>
                <w:szCs w:val="22"/>
                <w:color w:val="auto"/>
              </w:rPr>
            </w:pPr>
          </w:p>
        </w:tc>
        <w:tc>
          <w:tcPr>
            <w:tcW w:w="680" w:type="dxa"/>
            <w:vAlign w:val="bottom"/>
            <w:shd w:val="clear" w:color="auto" w:fill="819F7C"/>
          </w:tcPr>
          <w:p>
            <w:pPr>
              <w:spacing w:after="0"/>
              <w:rPr>
                <w:sz w:val="22"/>
                <w:szCs w:val="22"/>
                <w:color w:val="auto"/>
              </w:rPr>
            </w:pPr>
          </w:p>
        </w:tc>
        <w:tc>
          <w:tcPr>
            <w:tcW w:w="1100" w:type="dxa"/>
            <w:vAlign w:val="bottom"/>
            <w:shd w:val="clear" w:color="auto" w:fill="819F7C"/>
          </w:tcPr>
          <w:p>
            <w:pPr>
              <w:spacing w:after="0"/>
              <w:rPr>
                <w:sz w:val="22"/>
                <w:szCs w:val="22"/>
                <w:color w:val="auto"/>
              </w:rPr>
            </w:pPr>
          </w:p>
        </w:tc>
        <w:tc>
          <w:tcPr>
            <w:tcW w:w="660" w:type="dxa"/>
            <w:vAlign w:val="bottom"/>
            <w:shd w:val="clear" w:color="auto" w:fill="819F7C"/>
          </w:tcPr>
          <w:p>
            <w:pPr>
              <w:spacing w:after="0"/>
              <w:rPr>
                <w:sz w:val="22"/>
                <w:szCs w:val="22"/>
                <w:color w:val="auto"/>
              </w:rPr>
            </w:pPr>
          </w:p>
        </w:tc>
        <w:tc>
          <w:tcPr>
            <w:tcW w:w="880" w:type="dxa"/>
            <w:vAlign w:val="bottom"/>
            <w:shd w:val="clear" w:color="auto" w:fill="819F7C"/>
          </w:tcPr>
          <w:p>
            <w:pPr>
              <w:spacing w:after="0"/>
              <w:rPr>
                <w:sz w:val="22"/>
                <w:szCs w:val="22"/>
                <w:color w:val="auto"/>
              </w:rPr>
            </w:pPr>
          </w:p>
        </w:tc>
        <w:tc>
          <w:tcPr>
            <w:tcW w:w="1020" w:type="dxa"/>
            <w:vAlign w:val="bottom"/>
            <w:shd w:val="clear" w:color="auto" w:fill="819F7C"/>
          </w:tcPr>
          <w:p>
            <w:pPr>
              <w:spacing w:after="0"/>
              <w:rPr>
                <w:sz w:val="22"/>
                <w:szCs w:val="22"/>
                <w:color w:val="auto"/>
              </w:rPr>
            </w:pPr>
          </w:p>
        </w:tc>
        <w:tc>
          <w:tcPr>
            <w:tcW w:w="920" w:type="dxa"/>
            <w:vAlign w:val="bottom"/>
            <w:shd w:val="clear" w:color="auto" w:fill="819F7C"/>
          </w:tcPr>
          <w:p>
            <w:pPr>
              <w:spacing w:after="0"/>
              <w:rPr>
                <w:sz w:val="22"/>
                <w:szCs w:val="22"/>
                <w:color w:val="auto"/>
              </w:rPr>
            </w:pPr>
          </w:p>
        </w:tc>
        <w:tc>
          <w:tcPr>
            <w:tcW w:w="9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Other</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819F7C"/>
          </w:tcPr>
          <w:p>
            <w:pPr>
              <w:spacing w:after="0"/>
              <w:rPr>
                <w:sz w:val="14"/>
                <w:szCs w:val="14"/>
                <w:color w:val="auto"/>
              </w:rPr>
            </w:pPr>
          </w:p>
        </w:tc>
        <w:tc>
          <w:tcPr>
            <w:tcW w:w="940" w:type="dxa"/>
            <w:vAlign w:val="bottom"/>
            <w:shd w:val="clear" w:color="auto" w:fill="819F7C"/>
          </w:tcPr>
          <w:p>
            <w:pPr>
              <w:spacing w:after="0"/>
              <w:rPr>
                <w:sz w:val="14"/>
                <w:szCs w:val="14"/>
                <w:color w:val="auto"/>
              </w:rPr>
            </w:pPr>
          </w:p>
        </w:tc>
        <w:tc>
          <w:tcPr>
            <w:tcW w:w="680" w:type="dxa"/>
            <w:vAlign w:val="bottom"/>
            <w:shd w:val="clear" w:color="auto" w:fill="819F7C"/>
          </w:tcPr>
          <w:p>
            <w:pPr>
              <w:spacing w:after="0"/>
              <w:rPr>
                <w:sz w:val="14"/>
                <w:szCs w:val="14"/>
                <w:color w:val="auto"/>
              </w:rPr>
            </w:pPr>
          </w:p>
        </w:tc>
        <w:tc>
          <w:tcPr>
            <w:tcW w:w="1100" w:type="dxa"/>
            <w:vAlign w:val="bottom"/>
            <w:shd w:val="clear" w:color="auto" w:fill="819F7C"/>
          </w:tcPr>
          <w:p>
            <w:pPr>
              <w:spacing w:after="0"/>
              <w:rPr>
                <w:sz w:val="14"/>
                <w:szCs w:val="14"/>
                <w:color w:val="auto"/>
              </w:rPr>
            </w:pPr>
          </w:p>
        </w:tc>
        <w:tc>
          <w:tcPr>
            <w:tcW w:w="660" w:type="dxa"/>
            <w:vAlign w:val="bottom"/>
            <w:shd w:val="clear" w:color="auto" w:fill="819F7C"/>
          </w:tcPr>
          <w:p>
            <w:pPr>
              <w:spacing w:after="0"/>
              <w:rPr>
                <w:sz w:val="14"/>
                <w:szCs w:val="14"/>
                <w:color w:val="auto"/>
              </w:rPr>
            </w:pPr>
          </w:p>
        </w:tc>
        <w:tc>
          <w:tcPr>
            <w:tcW w:w="880" w:type="dxa"/>
            <w:vAlign w:val="bottom"/>
            <w:shd w:val="clear" w:color="auto" w:fill="819F7C"/>
          </w:tcPr>
          <w:p>
            <w:pPr>
              <w:spacing w:after="0"/>
              <w:rPr>
                <w:sz w:val="14"/>
                <w:szCs w:val="14"/>
                <w:color w:val="auto"/>
              </w:rPr>
            </w:pPr>
          </w:p>
        </w:tc>
        <w:tc>
          <w:tcPr>
            <w:tcW w:w="102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Business</w:t>
            </w:r>
          </w:p>
        </w:tc>
        <w:tc>
          <w:tcPr>
            <w:tcW w:w="920" w:type="dxa"/>
            <w:vAlign w:val="bottom"/>
            <w:shd w:val="clear" w:color="auto" w:fill="819F7C"/>
          </w:tcPr>
          <w:p>
            <w:pPr>
              <w:spacing w:after="0"/>
              <w:rPr>
                <w:sz w:val="14"/>
                <w:szCs w:val="14"/>
                <w:color w:val="auto"/>
              </w:rPr>
            </w:pPr>
          </w:p>
        </w:tc>
        <w:tc>
          <w:tcPr>
            <w:tcW w:w="9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Public</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shd w:val="clear" w:color="auto" w:fill="819F7C"/>
          </w:tcPr>
          <w:p>
            <w:pPr>
              <w:spacing w:after="0"/>
              <w:rPr>
                <w:sz w:val="14"/>
                <w:szCs w:val="14"/>
                <w:color w:val="auto"/>
              </w:rPr>
            </w:pPr>
          </w:p>
        </w:tc>
        <w:tc>
          <w:tcPr>
            <w:tcW w:w="94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Executive</w:t>
            </w:r>
          </w:p>
        </w:tc>
        <w:tc>
          <w:tcPr>
            <w:tcW w:w="680" w:type="dxa"/>
            <w:vAlign w:val="bottom"/>
            <w:shd w:val="clear" w:color="auto" w:fill="819F7C"/>
          </w:tcPr>
          <w:p>
            <w:pPr>
              <w:spacing w:after="0"/>
              <w:rPr>
                <w:sz w:val="14"/>
                <w:szCs w:val="14"/>
                <w:color w:val="auto"/>
              </w:rPr>
            </w:pPr>
          </w:p>
        </w:tc>
        <w:tc>
          <w:tcPr>
            <w:tcW w:w="11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Operational</w:t>
            </w:r>
          </w:p>
        </w:tc>
        <w:tc>
          <w:tcPr>
            <w:tcW w:w="660" w:type="dxa"/>
            <w:vAlign w:val="bottom"/>
            <w:shd w:val="clear" w:color="auto" w:fill="819F7C"/>
          </w:tcPr>
          <w:p>
            <w:pPr>
              <w:spacing w:after="0"/>
              <w:rPr>
                <w:sz w:val="14"/>
                <w:szCs w:val="14"/>
                <w:color w:val="auto"/>
              </w:rPr>
            </w:pPr>
          </w:p>
        </w:tc>
        <w:tc>
          <w:tcPr>
            <w:tcW w:w="8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Global</w:t>
            </w:r>
          </w:p>
        </w:tc>
        <w:tc>
          <w:tcPr>
            <w:tcW w:w="102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Development</w:t>
            </w:r>
          </w:p>
        </w:tc>
        <w:tc>
          <w:tcPr>
            <w:tcW w:w="92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Information</w:t>
            </w:r>
          </w:p>
        </w:tc>
        <w:tc>
          <w:tcPr>
            <w:tcW w:w="9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Co. Board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8"/>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Director Name</w:t>
            </w:r>
          </w:p>
        </w:tc>
        <w:tc>
          <w:tcPr>
            <w:tcW w:w="94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Leadership</w:t>
            </w:r>
          </w:p>
        </w:tc>
        <w:tc>
          <w:tcPr>
            <w:tcW w:w="6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Industry</w:t>
            </w:r>
          </w:p>
        </w:tc>
        <w:tc>
          <w:tcPr>
            <w:tcW w:w="11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Manufacturing</w:t>
            </w:r>
          </w:p>
        </w:tc>
        <w:tc>
          <w:tcPr>
            <w:tcW w:w="6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Finance</w:t>
            </w:r>
          </w:p>
        </w:tc>
        <w:tc>
          <w:tcPr>
            <w:tcW w:w="8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Leadership</w:t>
            </w:r>
          </w:p>
        </w:tc>
        <w:tc>
          <w:tcPr>
            <w:tcW w:w="102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&amp; Strategy</w:t>
            </w:r>
          </w:p>
        </w:tc>
        <w:tc>
          <w:tcPr>
            <w:tcW w:w="92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Security</w:t>
            </w:r>
          </w:p>
        </w:tc>
        <w:tc>
          <w:tcPr>
            <w:tcW w:w="9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Experience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Forbes I.J. Alexander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5"/>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Dr. Homa Bahrami</w:t>
            </w: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5"/>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Seamus Grady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Thomas F. Kelly</w:t>
            </w:r>
          </w:p>
        </w:tc>
        <w:tc>
          <w:tcPr>
            <w:tcW w:w="94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9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Darlene S. Knight</w:t>
            </w:r>
          </w:p>
        </w:tc>
        <w:tc>
          <w:tcPr>
            <w:tcW w:w="94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6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Dr. Frank H. Levinson</w:t>
            </w:r>
          </w:p>
        </w:tc>
        <w:tc>
          <w:tcPr>
            <w:tcW w:w="94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110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6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David T. (Tom) Mitchell</w:t>
            </w:r>
          </w:p>
        </w:tc>
        <w:tc>
          <w:tcPr>
            <w:tcW w:w="94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110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6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02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Rollance E. Olson</w:t>
            </w:r>
          </w:p>
        </w:tc>
        <w:tc>
          <w:tcPr>
            <w:tcW w:w="94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66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w w:val="94"/>
              </w:rPr>
              <w:t>•</w:t>
            </w: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line="411" w:lineRule="exact"/>
              <w:rPr>
                <w:sz w:val="20"/>
                <w:szCs w:val="20"/>
                <w:color w:val="auto"/>
              </w:rPr>
            </w:pPr>
            <w:r>
              <w:rPr>
                <w:rFonts w:ascii="Arial" w:cs="Arial" w:eastAsia="Arial" w:hAnsi="Arial"/>
                <w:sz w:val="36"/>
                <w:szCs w:val="36"/>
                <w:color w:val="578255"/>
              </w:rPr>
              <w:t>•</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6"/>
        </w:trPr>
        <w:tc>
          <w:tcPr>
            <w:tcW w:w="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469"/>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2"/>
          </w:tcPr>
          <w:p>
            <w:pPr>
              <w:ind w:left="860"/>
              <w:spacing w:after="0"/>
              <w:rPr>
                <w:sz w:val="20"/>
                <w:szCs w:val="20"/>
                <w:color w:val="auto"/>
              </w:rPr>
            </w:pPr>
            <w:r>
              <w:rPr>
                <w:rFonts w:ascii="Arial" w:cs="Arial" w:eastAsia="Arial" w:hAnsi="Arial"/>
                <w:sz w:val="13"/>
                <w:szCs w:val="13"/>
                <w:color w:val="auto"/>
              </w:rPr>
              <w:t>2024 PROXY STATEMENT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-247650</wp:posOffset>
            </wp:positionV>
            <wp:extent cx="342900" cy="76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996305" cy="764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96305" cy="764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Executive Compensation Program Highlights</w:t>
      </w:r>
    </w:p>
    <w:p>
      <w:pPr>
        <w:spacing w:after="0" w:line="164" w:lineRule="exact"/>
        <w:rPr>
          <w:sz w:val="20"/>
          <w:szCs w:val="20"/>
          <w:color w:val="auto"/>
        </w:rPr>
      </w:pPr>
    </w:p>
    <w:p>
      <w:pPr>
        <w:jc w:val="both"/>
        <w:ind w:left="140"/>
        <w:spacing w:after="0" w:line="247" w:lineRule="auto"/>
        <w:rPr>
          <w:sz w:val="20"/>
          <w:szCs w:val="20"/>
          <w:color w:val="auto"/>
        </w:rPr>
      </w:pPr>
      <w:r>
        <w:rPr>
          <w:rFonts w:ascii="Arial" w:cs="Arial" w:eastAsia="Arial" w:hAnsi="Arial"/>
          <w:sz w:val="18"/>
          <w:szCs w:val="18"/>
          <w:color w:val="auto"/>
        </w:rPr>
        <w:t>Our executive compensation program is designed to be heavily weighted towards compensating our executives based on company performance. To that end, we have implemented executive compensation policies and practices that reinforce our pay-for-performance philosophy and align with commonly viewed best practices and sound governance principles.</w:t>
      </w:r>
    </w:p>
    <w:p>
      <w:pPr>
        <w:spacing w:after="0" w:line="169" w:lineRule="exact"/>
        <w:rPr>
          <w:sz w:val="20"/>
          <w:szCs w:val="20"/>
          <w:color w:val="auto"/>
        </w:rPr>
      </w:pPr>
    </w:p>
    <w:p>
      <w:pPr>
        <w:ind w:left="4260" w:hanging="245"/>
        <w:spacing w:after="0"/>
        <w:tabs>
          <w:tab w:leader="none" w:pos="4260" w:val="left"/>
        </w:tabs>
        <w:numPr>
          <w:ilvl w:val="0"/>
          <w:numId w:val="10"/>
        </w:numPr>
        <w:rPr>
          <w:rFonts w:ascii="MS PGothic" w:cs="MS PGothic" w:eastAsia="MS PGothic" w:hAnsi="MS PGothic"/>
          <w:sz w:val="23"/>
          <w:szCs w:val="23"/>
          <w:color w:val="auto"/>
          <w:highlight w:val="white"/>
        </w:rPr>
      </w:pPr>
      <w:r>
        <w:rPr>
          <w:rFonts w:ascii="Arial" w:cs="Arial" w:eastAsia="Arial" w:hAnsi="Arial"/>
          <w:sz w:val="20"/>
          <w:szCs w:val="20"/>
          <w:b w:val="1"/>
          <w:bCs w:val="1"/>
          <w:color w:val="FFFFFF"/>
        </w:rPr>
        <w:t>What We Do</w:t>
      </w:r>
    </w:p>
    <w:p>
      <w:pPr>
        <w:sectPr>
          <w:pgSz w:w="11900" w:h="16838" w:orient="portrait"/>
          <w:cols w:equalWidth="0" w:num="1">
            <w:col w:w="9300"/>
          </w:cols>
          <w:pgMar w:left="1240" w:top="114" w:right="1359" w:bottom="1440" w:gutter="0" w:footer="0" w:header="0"/>
        </w:sectPr>
      </w:pPr>
    </w:p>
    <w:p>
      <w:pPr>
        <w:spacing w:after="0" w:line="156" w:lineRule="exact"/>
        <w:rPr>
          <w:sz w:val="20"/>
          <w:szCs w:val="20"/>
          <w:color w:val="auto"/>
        </w:rPr>
      </w:pPr>
    </w:p>
    <w:p>
      <w:pPr>
        <w:ind w:left="840" w:right="160" w:hanging="350"/>
        <w:spacing w:after="0" w:line="271" w:lineRule="auto"/>
        <w:tabs>
          <w:tab w:leader="none" w:pos="820" w:val="left"/>
        </w:tabs>
        <w:rPr>
          <w:sz w:val="20"/>
          <w:szCs w:val="20"/>
          <w:color w:val="auto"/>
        </w:rPr>
      </w:pPr>
      <w:r>
        <w:rPr>
          <w:sz w:val="1"/>
          <w:szCs w:val="1"/>
          <w:color w:val="auto"/>
        </w:rPr>
        <w:drawing>
          <wp:inline distT="0" distB="0" distL="0" distR="0">
            <wp:extent cx="93980" cy="946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Pay-for-performance, with significant portion of compensation at risk</w:t>
      </w:r>
    </w:p>
    <w:p>
      <w:pPr>
        <w:spacing w:after="0" w:line="46" w:lineRule="exact"/>
        <w:rPr>
          <w:sz w:val="20"/>
          <w:szCs w:val="20"/>
          <w:color w:val="auto"/>
        </w:rPr>
      </w:pPr>
    </w:p>
    <w:p>
      <w:pPr>
        <w:ind w:left="840" w:right="640" w:hanging="350"/>
        <w:spacing w:after="0" w:line="271" w:lineRule="auto"/>
        <w:tabs>
          <w:tab w:leader="none" w:pos="820" w:val="left"/>
        </w:tabs>
        <w:rPr>
          <w:sz w:val="20"/>
          <w:szCs w:val="20"/>
          <w:color w:val="auto"/>
        </w:rPr>
      </w:pPr>
      <w:r>
        <w:rPr>
          <w:sz w:val="1"/>
          <w:szCs w:val="1"/>
          <w:color w:val="auto"/>
        </w:rPr>
        <w:drawing>
          <wp:inline distT="0" distB="0" distL="0" distR="0">
            <wp:extent cx="93980" cy="9398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Caps on performance-based incentive compensation</w:t>
      </w:r>
    </w:p>
    <w:p>
      <w:pPr>
        <w:spacing w:after="0" w:line="46" w:lineRule="exact"/>
        <w:rPr>
          <w:sz w:val="20"/>
          <w:szCs w:val="20"/>
          <w:color w:val="auto"/>
        </w:rPr>
      </w:pPr>
    </w:p>
    <w:p>
      <w:pPr>
        <w:ind w:left="500"/>
        <w:spacing w:after="0"/>
        <w:tabs>
          <w:tab w:leader="none" w:pos="820" w:val="left"/>
        </w:tabs>
        <w:rPr>
          <w:sz w:val="20"/>
          <w:szCs w:val="20"/>
          <w:color w:val="auto"/>
        </w:rPr>
      </w:pPr>
      <w:r>
        <w:rPr>
          <w:sz w:val="1"/>
          <w:szCs w:val="1"/>
          <w:color w:val="auto"/>
        </w:rPr>
        <w:drawing>
          <wp:inline distT="0" distB="0" distL="0" distR="0">
            <wp:extent cx="93980" cy="939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Multi-year performance periods</w:t>
      </w:r>
    </w:p>
    <w:p>
      <w:pPr>
        <w:spacing w:after="0" w:line="104" w:lineRule="exact"/>
        <w:rPr>
          <w:sz w:val="20"/>
          <w:szCs w:val="20"/>
          <w:color w:val="auto"/>
        </w:rPr>
      </w:pPr>
    </w:p>
    <w:p>
      <w:pPr>
        <w:ind w:left="840" w:right="60" w:hanging="350"/>
        <w:spacing w:after="0" w:line="271" w:lineRule="auto"/>
        <w:tabs>
          <w:tab w:leader="none" w:pos="820" w:val="left"/>
        </w:tabs>
        <w:rPr>
          <w:sz w:val="20"/>
          <w:szCs w:val="20"/>
          <w:color w:val="auto"/>
        </w:rPr>
      </w:pPr>
      <w:r>
        <w:rPr>
          <w:sz w:val="1"/>
          <w:szCs w:val="1"/>
          <w:color w:val="auto"/>
        </w:rPr>
        <w:drawing>
          <wp:inline distT="0" distB="0" distL="0" distR="0">
            <wp:extent cx="93980" cy="939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Clawback policy on cash and equity incentive compensation</w:t>
      </w:r>
    </w:p>
    <w:p>
      <w:pPr>
        <w:spacing w:after="0" w:line="46" w:lineRule="exact"/>
        <w:rPr>
          <w:sz w:val="20"/>
          <w:szCs w:val="20"/>
          <w:color w:val="auto"/>
        </w:rPr>
      </w:pPr>
    </w:p>
    <w:p>
      <w:pPr>
        <w:ind w:left="840" w:right="400" w:hanging="350"/>
        <w:spacing w:after="0" w:line="271" w:lineRule="auto"/>
        <w:tabs>
          <w:tab w:leader="none" w:pos="820" w:val="left"/>
        </w:tabs>
        <w:rPr>
          <w:sz w:val="20"/>
          <w:szCs w:val="20"/>
          <w:color w:val="auto"/>
        </w:rPr>
      </w:pPr>
      <w:r>
        <w:rPr>
          <w:sz w:val="1"/>
          <w:szCs w:val="1"/>
          <w:color w:val="auto"/>
        </w:rPr>
        <w:drawing>
          <wp:inline distT="0" distB="0" distL="0" distR="0">
            <wp:extent cx="93980" cy="939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Share ownership guidelines for executive officers and directors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360" w:right="920" w:hanging="350"/>
        <w:spacing w:after="0" w:line="271" w:lineRule="auto"/>
        <w:tabs>
          <w:tab w:leader="none" w:pos="340" w:val="left"/>
        </w:tabs>
        <w:rPr>
          <w:sz w:val="20"/>
          <w:szCs w:val="20"/>
          <w:color w:val="auto"/>
        </w:rPr>
      </w:pPr>
      <w:r>
        <w:rPr>
          <w:sz w:val="1"/>
          <w:szCs w:val="1"/>
          <w:color w:val="auto"/>
        </w:rPr>
        <w:drawing>
          <wp:inline distT="0" distB="0" distL="0" distR="0">
            <wp:extent cx="93980" cy="9461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100% independent directors on the Compensation Committee</w:t>
      </w:r>
    </w:p>
    <w:p>
      <w:pPr>
        <w:spacing w:after="0" w:line="46" w:lineRule="exact"/>
        <w:rPr>
          <w:sz w:val="20"/>
          <w:szCs w:val="20"/>
          <w:color w:val="auto"/>
        </w:rPr>
      </w:pPr>
    </w:p>
    <w:p>
      <w:pPr>
        <w:ind w:left="360" w:right="340" w:hanging="350"/>
        <w:spacing w:after="0" w:line="301" w:lineRule="auto"/>
        <w:tabs>
          <w:tab w:leader="none" w:pos="340" w:val="left"/>
        </w:tabs>
        <w:rPr>
          <w:sz w:val="20"/>
          <w:szCs w:val="20"/>
          <w:color w:val="auto"/>
        </w:rPr>
      </w:pPr>
      <w:r>
        <w:rPr>
          <w:sz w:val="1"/>
          <w:szCs w:val="1"/>
          <w:color w:val="auto"/>
        </w:rPr>
        <w:drawing>
          <wp:inline distT="0" distB="0" distL="0" distR="0">
            <wp:extent cx="93980" cy="939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Independent compensation consultant engaged by the Compensation Committee</w:t>
      </w:r>
    </w:p>
    <w:p>
      <w:pPr>
        <w:spacing w:after="0" w:line="23" w:lineRule="exact"/>
        <w:rPr>
          <w:sz w:val="20"/>
          <w:szCs w:val="20"/>
          <w:color w:val="auto"/>
        </w:rPr>
      </w:pPr>
    </w:p>
    <w:p>
      <w:pPr>
        <w:ind w:left="360" w:right="980" w:hanging="350"/>
        <w:spacing w:after="0" w:line="271" w:lineRule="auto"/>
        <w:tabs>
          <w:tab w:leader="none" w:pos="340" w:val="left"/>
        </w:tabs>
        <w:rPr>
          <w:sz w:val="20"/>
          <w:szCs w:val="20"/>
          <w:color w:val="auto"/>
        </w:rPr>
      </w:pPr>
      <w:r>
        <w:rPr>
          <w:sz w:val="1"/>
          <w:szCs w:val="1"/>
          <w:color w:val="auto"/>
        </w:rPr>
        <w:drawing>
          <wp:inline distT="0" distB="0" distL="0" distR="0">
            <wp:extent cx="93980" cy="9398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Annual review and approval of our compensation strategy</w:t>
      </w:r>
    </w:p>
    <w:p>
      <w:pPr>
        <w:spacing w:after="0" w:line="46" w:lineRule="exact"/>
        <w:rPr>
          <w:sz w:val="20"/>
          <w:szCs w:val="20"/>
          <w:color w:val="auto"/>
        </w:rPr>
      </w:pPr>
    </w:p>
    <w:p>
      <w:pPr>
        <w:spacing w:after="0"/>
        <w:tabs>
          <w:tab w:leader="none" w:pos="340" w:val="left"/>
        </w:tabs>
        <w:rPr>
          <w:sz w:val="20"/>
          <w:szCs w:val="20"/>
          <w:color w:val="auto"/>
        </w:rPr>
      </w:pPr>
      <w:r>
        <w:rPr>
          <w:sz w:val="1"/>
          <w:szCs w:val="1"/>
          <w:color w:val="auto"/>
        </w:rPr>
        <w:drawing>
          <wp:inline distT="0" distB="0" distL="0" distR="0">
            <wp:extent cx="93980" cy="939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ab/>
      </w:r>
      <w:r>
        <w:rPr>
          <w:rFonts w:ascii="Arial" w:cs="Arial" w:eastAsia="Arial" w:hAnsi="Arial"/>
          <w:sz w:val="17"/>
          <w:szCs w:val="17"/>
          <w:color w:val="auto"/>
        </w:rPr>
        <w:t>Engagement with shareholders</w:t>
      </w:r>
    </w:p>
    <w:p>
      <w:pPr>
        <w:spacing w:after="0" w:line="104" w:lineRule="exact"/>
        <w:rPr>
          <w:sz w:val="20"/>
          <w:szCs w:val="20"/>
          <w:color w:val="auto"/>
        </w:rPr>
      </w:pPr>
    </w:p>
    <w:p>
      <w:pPr>
        <w:ind w:left="360" w:right="780" w:hanging="350"/>
        <w:spacing w:after="0" w:line="271" w:lineRule="auto"/>
        <w:tabs>
          <w:tab w:leader="none" w:pos="340" w:val="left"/>
        </w:tabs>
        <w:rPr>
          <w:sz w:val="20"/>
          <w:szCs w:val="20"/>
          <w:color w:val="auto"/>
        </w:rPr>
      </w:pPr>
      <w:r>
        <w:rPr>
          <w:sz w:val="1"/>
          <w:szCs w:val="1"/>
          <w:color w:val="auto"/>
        </w:rPr>
        <w:drawing>
          <wp:inline distT="0" distB="0" distL="0" distR="0">
            <wp:extent cx="93980" cy="939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Annual shareholder advisory vote on executive compensation</w:t>
      </w:r>
    </w:p>
    <w:p>
      <w:pPr>
        <w:spacing w:after="0" w:line="159" w:lineRule="exact"/>
        <w:rPr>
          <w:sz w:val="20"/>
          <w:szCs w:val="20"/>
          <w:color w:val="auto"/>
        </w:rPr>
      </w:pPr>
    </w:p>
    <w:p>
      <w:pPr>
        <w:sectPr>
          <w:pgSz w:w="11900" w:h="16838" w:orient="portrait"/>
          <w:cols w:equalWidth="0" w:num="2">
            <w:col w:w="4520" w:space="720"/>
            <w:col w:w="4060"/>
          </w:cols>
          <w:pgMar w:left="1240" w:top="114" w:right="1359" w:bottom="1440" w:gutter="0" w:footer="0" w:header="0"/>
          <w:type w:val="continuous"/>
        </w:sectPr>
      </w:pPr>
    </w:p>
    <w:p>
      <w:pPr>
        <w:ind w:left="3980" w:hanging="227"/>
        <w:spacing w:after="0"/>
        <w:tabs>
          <w:tab w:leader="none" w:pos="3980" w:val="left"/>
        </w:tabs>
        <w:numPr>
          <w:ilvl w:val="0"/>
          <w:numId w:val="11"/>
        </w:numPr>
        <w:rPr>
          <w:rFonts w:ascii="Arial" w:cs="Arial" w:eastAsia="Arial" w:hAnsi="Arial"/>
          <w:sz w:val="24"/>
          <w:szCs w:val="24"/>
          <w:b w:val="1"/>
          <w:bCs w:val="1"/>
          <w:color w:val="FFFFFF"/>
        </w:rPr>
      </w:pPr>
      <w:r>
        <w:rPr>
          <w:rFonts w:ascii="Arial" w:cs="Arial" w:eastAsia="Arial" w:hAnsi="Arial"/>
          <w:sz w:val="19"/>
          <w:szCs w:val="19"/>
          <w:b w:val="1"/>
          <w:bCs w:val="1"/>
          <w:color w:val="FFFFFF"/>
        </w:rPr>
        <w:t>What We Don’t Do</w:t>
      </w:r>
    </w:p>
    <w:p>
      <w:pPr>
        <w:sectPr>
          <w:pgSz w:w="11900" w:h="16838" w:orient="portrait"/>
          <w:cols w:equalWidth="0" w:num="1">
            <w:col w:w="9300"/>
          </w:cols>
          <w:pgMar w:left="1240" w:top="114" w:right="1359" w:bottom="1440" w:gutter="0" w:footer="0" w:header="0"/>
          <w:type w:val="continuous"/>
        </w:sectPr>
      </w:pPr>
    </w:p>
    <w:p>
      <w:pPr>
        <w:spacing w:after="0" w:line="123" w:lineRule="exact"/>
        <w:rPr>
          <w:sz w:val="20"/>
          <w:szCs w:val="20"/>
          <w:color w:val="auto"/>
        </w:rPr>
      </w:pPr>
    </w:p>
    <w:p>
      <w:pPr>
        <w:ind w:left="500" w:right="1480"/>
        <w:spacing w:after="0" w:line="381" w:lineRule="auto"/>
        <w:rPr>
          <w:sz w:val="20"/>
          <w:szCs w:val="20"/>
          <w:color w:val="auto"/>
        </w:rPr>
      </w:pPr>
      <w:r>
        <w:rPr>
          <w:sz w:val="1"/>
          <w:szCs w:val="1"/>
          <w:color w:val="auto"/>
        </w:rPr>
        <w:drawing>
          <wp:inline distT="0" distB="0" distL="0" distR="0">
            <wp:extent cx="93980" cy="939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578255"/>
        </w:rPr>
        <w:t xml:space="preserve">  </w:t>
      </w:r>
      <w:r>
        <w:rPr>
          <w:rFonts w:ascii="Arial" w:cs="Arial" w:eastAsia="Arial" w:hAnsi="Arial"/>
          <w:sz w:val="17"/>
          <w:szCs w:val="17"/>
          <w:color w:val="000000"/>
        </w:rPr>
        <w:t>No targeting specific percentiles</w:t>
      </w:r>
      <w:r>
        <w:rPr>
          <w:rFonts w:ascii="Arial" w:cs="Arial" w:eastAsia="Arial" w:hAnsi="Arial"/>
          <w:sz w:val="17"/>
          <w:szCs w:val="17"/>
          <w:color w:val="578255"/>
        </w:rPr>
        <w:t xml:space="preserve"> </w:t>
      </w:r>
      <w:r>
        <w:rPr>
          <w:sz w:val="1"/>
          <w:szCs w:val="1"/>
          <w:color w:val="auto"/>
        </w:rPr>
        <w:drawing>
          <wp:inline distT="0" distB="0" distL="0" distR="0">
            <wp:extent cx="93980" cy="939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578255"/>
        </w:rPr>
        <w:t xml:space="preserve">  </w:t>
      </w:r>
      <w:r>
        <w:rPr>
          <w:rFonts w:ascii="Arial" w:cs="Arial" w:eastAsia="Arial" w:hAnsi="Arial"/>
          <w:sz w:val="17"/>
          <w:szCs w:val="17"/>
          <w:color w:val="000000"/>
        </w:rPr>
        <w:t>No guaranteed bonus</w:t>
      </w:r>
    </w:p>
    <w:p>
      <w:pPr>
        <w:ind w:left="840" w:right="580" w:hanging="350"/>
        <w:spacing w:after="0" w:line="271" w:lineRule="auto"/>
        <w:tabs>
          <w:tab w:leader="none" w:pos="820" w:val="left"/>
        </w:tabs>
        <w:rPr>
          <w:sz w:val="20"/>
          <w:szCs w:val="20"/>
          <w:color w:val="auto"/>
        </w:rPr>
      </w:pPr>
      <w:r>
        <w:rPr>
          <w:sz w:val="1"/>
          <w:szCs w:val="1"/>
          <w:color w:val="auto"/>
        </w:rPr>
        <w:drawing>
          <wp:inline distT="0" distB="0" distL="0" distR="0">
            <wp:extent cx="93980" cy="946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No changing of multi-year targets after they are set</w:t>
      </w:r>
    </w:p>
    <w:p>
      <w:pPr>
        <w:spacing w:after="0" w:line="46" w:lineRule="exact"/>
        <w:rPr>
          <w:sz w:val="20"/>
          <w:szCs w:val="20"/>
          <w:color w:val="auto"/>
        </w:rPr>
      </w:pPr>
    </w:p>
    <w:p>
      <w:pPr>
        <w:ind w:left="500" w:right="820"/>
        <w:spacing w:after="0" w:line="396" w:lineRule="auto"/>
        <w:rPr>
          <w:sz w:val="20"/>
          <w:szCs w:val="20"/>
          <w:color w:val="auto"/>
        </w:rPr>
      </w:pPr>
      <w:r>
        <w:rPr>
          <w:sz w:val="1"/>
          <w:szCs w:val="1"/>
          <w:color w:val="auto"/>
        </w:rPr>
        <w:drawing>
          <wp:inline distT="0" distB="0" distL="0" distR="0">
            <wp:extent cx="93980" cy="9461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8"/>
          <w:szCs w:val="18"/>
          <w:color w:val="578255"/>
        </w:rPr>
        <w:t xml:space="preserve">  </w:t>
      </w:r>
      <w:r>
        <w:rPr>
          <w:rFonts w:ascii="Arial" w:cs="Arial" w:eastAsia="Arial" w:hAnsi="Arial"/>
          <w:sz w:val="18"/>
          <w:szCs w:val="18"/>
          <w:color w:val="000000"/>
        </w:rPr>
        <w:t>No repricing or buyouts of equity awards</w:t>
      </w:r>
      <w:r>
        <w:rPr>
          <w:rFonts w:ascii="Arial" w:cs="Arial" w:eastAsia="Arial" w:hAnsi="Arial"/>
          <w:sz w:val="18"/>
          <w:szCs w:val="18"/>
          <w:color w:val="578255"/>
        </w:rPr>
        <w:t xml:space="preserve"> </w:t>
      </w:r>
      <w:r>
        <w:rPr>
          <w:sz w:val="1"/>
          <w:szCs w:val="1"/>
          <w:color w:val="auto"/>
        </w:rPr>
        <w:drawing>
          <wp:inline distT="0" distB="0" distL="0" distR="0">
            <wp:extent cx="93980" cy="946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8"/>
          <w:szCs w:val="18"/>
          <w:color w:val="578255"/>
        </w:rPr>
        <w:t xml:space="preserve">  </w:t>
      </w:r>
      <w:r>
        <w:rPr>
          <w:rFonts w:ascii="Arial" w:cs="Arial" w:eastAsia="Arial" w:hAnsi="Arial"/>
          <w:sz w:val="18"/>
          <w:szCs w:val="18"/>
          <w:color w:val="000000"/>
        </w:rPr>
        <w:t>No share “recycling”</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320" w:hanging="350"/>
        <w:spacing w:after="0" w:line="271" w:lineRule="auto"/>
        <w:rPr>
          <w:sz w:val="20"/>
          <w:szCs w:val="20"/>
          <w:color w:val="auto"/>
        </w:rPr>
      </w:pPr>
      <w:r>
        <w:rPr>
          <w:sz w:val="1"/>
          <w:szCs w:val="1"/>
          <w:color w:val="auto"/>
        </w:rPr>
        <w:drawing>
          <wp:inline distT="0" distB="0" distL="0" distR="0">
            <wp:extent cx="93980" cy="939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 xml:space="preserve"> </w:t>
      </w:r>
      <w:r>
        <w:rPr>
          <w:rFonts w:ascii="Arial" w:cs="Arial" w:eastAsia="Arial" w:hAnsi="Arial"/>
          <w:sz w:val="18"/>
          <w:szCs w:val="18"/>
          <w:color w:val="auto"/>
        </w:rPr>
        <w:t>No short sales, hedging, or pledging of our ordinary shares</w:t>
      </w:r>
    </w:p>
    <w:p>
      <w:pPr>
        <w:spacing w:after="0" w:line="46" w:lineRule="exact"/>
        <w:rPr>
          <w:sz w:val="20"/>
          <w:szCs w:val="20"/>
          <w:color w:val="auto"/>
        </w:rPr>
      </w:pPr>
    </w:p>
    <w:p>
      <w:pPr>
        <w:ind w:right="280" w:hanging="350"/>
        <w:spacing w:after="0" w:line="271" w:lineRule="auto"/>
        <w:rPr>
          <w:sz w:val="20"/>
          <w:szCs w:val="20"/>
          <w:color w:val="auto"/>
        </w:rPr>
      </w:pPr>
      <w:r>
        <w:rPr>
          <w:sz w:val="1"/>
          <w:szCs w:val="1"/>
          <w:color w:val="auto"/>
        </w:rPr>
        <w:drawing>
          <wp:inline distT="0" distB="0" distL="0" distR="0">
            <wp:extent cx="93980" cy="9398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 xml:space="preserve"> </w:t>
      </w:r>
      <w:r>
        <w:rPr>
          <w:rFonts w:ascii="Arial" w:cs="Arial" w:eastAsia="Arial" w:hAnsi="Arial"/>
          <w:sz w:val="18"/>
          <w:szCs w:val="18"/>
          <w:color w:val="auto"/>
        </w:rPr>
        <w:t>No transactions involving derivatives of our ordinary shares</w:t>
      </w:r>
    </w:p>
    <w:p>
      <w:pPr>
        <w:spacing w:after="0" w:line="46" w:lineRule="exact"/>
        <w:rPr>
          <w:sz w:val="20"/>
          <w:szCs w:val="20"/>
          <w:color w:val="auto"/>
        </w:rPr>
      </w:pPr>
    </w:p>
    <w:p>
      <w:pPr>
        <w:ind w:right="200" w:hanging="350"/>
        <w:spacing w:after="0" w:line="271" w:lineRule="auto"/>
        <w:rPr>
          <w:sz w:val="20"/>
          <w:szCs w:val="20"/>
          <w:color w:val="auto"/>
        </w:rPr>
      </w:pPr>
      <w:r>
        <w:rPr>
          <w:sz w:val="1"/>
          <w:szCs w:val="1"/>
          <w:color w:val="auto"/>
        </w:rPr>
        <w:drawing>
          <wp:inline distT="0" distB="0" distL="0" distR="0">
            <wp:extent cx="93980" cy="9398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8"/>
          <w:szCs w:val="18"/>
          <w:color w:val="578255"/>
        </w:rPr>
        <w:t> </w:t>
      </w:r>
      <w:r>
        <w:rPr>
          <w:sz w:val="20"/>
          <w:szCs w:val="20"/>
          <w:color w:val="auto"/>
        </w:rPr>
        <w:t xml:space="preserve"> </w:t>
      </w:r>
      <w:r>
        <w:rPr>
          <w:rFonts w:ascii="Arial" w:cs="Arial" w:eastAsia="Arial" w:hAnsi="Arial"/>
          <w:sz w:val="18"/>
          <w:szCs w:val="18"/>
          <w:color w:val="auto"/>
        </w:rPr>
        <w:t>No paying dividends or dividend equivalents on unvested equity awards</w:t>
      </w:r>
    </w:p>
    <w:p>
      <w:pPr>
        <w:spacing w:after="0" w:line="523" w:lineRule="exact"/>
        <w:rPr>
          <w:sz w:val="20"/>
          <w:szCs w:val="20"/>
          <w:color w:val="auto"/>
        </w:rPr>
      </w:pPr>
    </w:p>
    <w:p>
      <w:pPr>
        <w:sectPr>
          <w:pgSz w:w="11900" w:h="16838" w:orient="portrait"/>
          <w:cols w:equalWidth="0" w:num="2">
            <w:col w:w="4880" w:space="720"/>
            <w:col w:w="3700"/>
          </w:cols>
          <w:pgMar w:left="1240" w:top="114" w:right="1359" w:bottom="1440" w:gutter="0" w:footer="0" w:header="0"/>
          <w:type w:val="continuous"/>
        </w:sectPr>
      </w:pPr>
    </w:p>
    <w:p>
      <w:pPr>
        <w:spacing w:after="0" w:line="93"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578255"/>
        </w:rPr>
        <w:t>Shareholder Engagement and Advisory Vote on Executive Compensation</w:t>
      </w:r>
    </w:p>
    <w:p>
      <w:pPr>
        <w:spacing w:after="0" w:line="108" w:lineRule="exact"/>
        <w:rPr>
          <w:sz w:val="20"/>
          <w:szCs w:val="20"/>
          <w:color w:val="auto"/>
        </w:rPr>
      </w:pPr>
    </w:p>
    <w:p>
      <w:pPr>
        <w:jc w:val="both"/>
        <w:ind w:left="140"/>
        <w:spacing w:after="0" w:line="247" w:lineRule="auto"/>
        <w:rPr>
          <w:sz w:val="20"/>
          <w:szCs w:val="20"/>
          <w:color w:val="auto"/>
        </w:rPr>
      </w:pPr>
      <w:r>
        <w:rPr>
          <w:rFonts w:ascii="Arial" w:cs="Arial" w:eastAsia="Arial" w:hAnsi="Arial"/>
          <w:sz w:val="18"/>
          <w:szCs w:val="18"/>
          <w:color w:val="auto"/>
        </w:rPr>
        <w:t>We have conducted shareholder outreach annually since 2016 and have provided shareholders with an annual say-on-pay advisory vote on compensation of our named executive officers since 2012. We are very pleased that shareholders have expressed their continued support of our compensation practices since our 2016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  </w:t>
      </w:r>
    </w:p>
    <w:p>
      <w:pPr>
        <w:spacing w:after="0" w:line="200" w:lineRule="exact"/>
        <w:rPr>
          <w:sz w:val="20"/>
          <w:szCs w:val="20"/>
          <w:color w:val="auto"/>
        </w:rPr>
      </w:pPr>
    </w:p>
    <w:p>
      <w:pPr>
        <w:spacing w:after="0" w:line="363" w:lineRule="exact"/>
        <w:rPr>
          <w:sz w:val="20"/>
          <w:szCs w:val="20"/>
          <w:color w:val="auto"/>
        </w:rPr>
      </w:pPr>
    </w:p>
    <w:p>
      <w:pPr>
        <w:ind w:left="120"/>
        <w:spacing w:after="0"/>
        <w:tabs>
          <w:tab w:leader="none" w:pos="6789" w:val="left"/>
        </w:tabs>
        <w:rPr>
          <w:sz w:val="20"/>
          <w:szCs w:val="20"/>
          <w:color w:val="auto"/>
        </w:rPr>
      </w:pPr>
      <w:r>
        <w:rPr>
          <w:rFonts w:ascii="Arial" w:cs="Arial" w:eastAsia="Arial" w:hAnsi="Arial"/>
          <w:sz w:val="13"/>
          <w:szCs w:val="13"/>
          <w:color w:val="auto"/>
        </w:rPr>
        <w:t>4</w:t>
      </w:r>
      <w:r>
        <w:rPr>
          <w:sz w:val="20"/>
          <w:szCs w:val="20"/>
          <w:color w:val="auto"/>
        </w:rPr>
        <w:tab/>
      </w:r>
      <w:r>
        <w:rPr>
          <w:sz w:val="1"/>
          <w:szCs w:val="1"/>
          <w:color w:val="auto"/>
        </w:rPr>
        <w:drawing>
          <wp:inline distT="0" distB="0" distL="0" distR="0">
            <wp:extent cx="342900" cy="7683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type w:val="continuous"/>
        </w:sectPr>
      </w:pPr>
    </w:p>
    <w:bookmarkStart w:id="10" w:name="page11"/>
    <w:bookmarkEnd w:id="1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83820</wp:posOffset>
            </wp:positionV>
            <wp:extent cx="5996305" cy="4493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96305" cy="449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578255"/>
        </w:rPr>
        <w:t>Pay for Performance</w:t>
      </w:r>
    </w:p>
    <w:p>
      <w:pPr>
        <w:spacing w:after="0" w:line="108" w:lineRule="exact"/>
        <w:rPr>
          <w:sz w:val="20"/>
          <w:szCs w:val="20"/>
          <w:color w:val="auto"/>
        </w:rPr>
      </w:pPr>
    </w:p>
    <w:p>
      <w:pPr>
        <w:jc w:val="both"/>
        <w:ind w:left="940" w:right="920"/>
        <w:spacing w:after="0" w:line="244" w:lineRule="auto"/>
        <w:rPr>
          <w:sz w:val="20"/>
          <w:szCs w:val="20"/>
          <w:color w:val="auto"/>
        </w:rPr>
      </w:pPr>
      <w:r>
        <w:rPr>
          <w:rFonts w:ascii="Arial" w:cs="Arial" w:eastAsia="Arial" w:hAnsi="Arial"/>
          <w:sz w:val="18"/>
          <w:szCs w:val="18"/>
          <w:color w:val="auto"/>
        </w:rPr>
        <w:t>We use a mix of long-term and short-term compensation components to align executive interests with shareholders and attract, retain and motivate executives. Our compensation program is strongly focused on delivering a substantial portion of compensation through performance-based compensation elements. This ensures proper alignment with our shareholders and ties the ultimate value delivered to our named executive officers to Fabrinet’s performance.</w:t>
      </w:r>
    </w:p>
    <w:p>
      <w:pPr>
        <w:spacing w:after="0" w:line="68" w:lineRule="exact"/>
        <w:rPr>
          <w:sz w:val="20"/>
          <w:szCs w:val="20"/>
          <w:color w:val="auto"/>
        </w:rPr>
      </w:pPr>
    </w:p>
    <w:p>
      <w:pPr>
        <w:jc w:val="both"/>
        <w:ind w:left="940" w:right="900"/>
        <w:spacing w:after="0" w:line="247" w:lineRule="auto"/>
        <w:rPr>
          <w:sz w:val="20"/>
          <w:szCs w:val="20"/>
          <w:color w:val="auto"/>
        </w:rPr>
      </w:pPr>
      <w:r>
        <w:rPr>
          <w:rFonts w:ascii="Arial" w:cs="Arial" w:eastAsia="Arial" w:hAnsi="Arial"/>
          <w:sz w:val="18"/>
          <w:szCs w:val="18"/>
          <w:color w:val="auto"/>
        </w:rPr>
        <w:t>For fiscal 2024, target total direct compensation for our named executive officers consisted of annual base salary, target bonus opportunity under our cash-based incentive plan, and the aggregate grant date fair value of time-based and performance-based equity award grants in fiscal 2024 (assuming maximum achievement of performance conditions).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FY24 Target Direct Compensation Mix –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FY24 Target Direct Compensation Mix – 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6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60" w:type="dxa"/>
            <w:vAlign w:val="bottom"/>
          </w:tcPr>
          <w:p>
            <w:pPr>
              <w:jc w:val="right"/>
              <w:ind w:right="857"/>
              <w:spacing w:after="0"/>
              <w:rPr>
                <w:sz w:val="20"/>
                <w:szCs w:val="20"/>
                <w:color w:val="auto"/>
              </w:rPr>
            </w:pPr>
            <w:r>
              <w:rPr>
                <w:rFonts w:ascii="Arial" w:cs="Arial" w:eastAsia="Arial" w:hAnsi="Arial"/>
                <w:sz w:val="13"/>
                <w:szCs w:val="13"/>
                <w:color w:val="auto"/>
              </w:rPr>
              <w:t>5</w:t>
            </w:r>
          </w:p>
        </w:tc>
      </w:tr>
      <w:tr>
        <w:trPr>
          <w:trHeight w:val="223"/>
        </w:trPr>
        <w:tc>
          <w:tcPr>
            <w:tcW w:w="66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102870</wp:posOffset>
            </wp:positionV>
            <wp:extent cx="149987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998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 Intertrust Corporate Services (Cayman) Limited</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One Nexus Way, Camana Bay</w:t>
      </w:r>
    </w:p>
    <w:p>
      <w:pPr>
        <w:ind w:left="3480"/>
        <w:spacing w:after="0" w:line="234" w:lineRule="auto"/>
        <w:rPr>
          <w:sz w:val="20"/>
          <w:szCs w:val="20"/>
          <w:color w:val="auto"/>
        </w:rPr>
      </w:pPr>
      <w:r>
        <w:rPr>
          <w:rFonts w:ascii="Arial" w:cs="Arial" w:eastAsia="Arial" w:hAnsi="Arial"/>
          <w:sz w:val="18"/>
          <w:szCs w:val="18"/>
          <w:b w:val="1"/>
          <w:bCs w:val="1"/>
          <w:color w:val="auto"/>
        </w:rPr>
        <w:t>Grand Cayman KY1-9005</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Cayman Islands</w:t>
      </w: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31"/>
          <w:szCs w:val="31"/>
          <w:b w:val="1"/>
          <w:bCs w:val="1"/>
          <w:color w:val="auto"/>
        </w:rPr>
        <w:t>PROXY STATEMENT</w:t>
      </w:r>
    </w:p>
    <w:p>
      <w:pPr>
        <w:spacing w:after="0" w:line="200" w:lineRule="exact"/>
        <w:rPr>
          <w:sz w:val="20"/>
          <w:szCs w:val="20"/>
          <w:color w:val="auto"/>
        </w:rPr>
      </w:pPr>
    </w:p>
    <w:p>
      <w:pPr>
        <w:spacing w:after="0" w:line="321" w:lineRule="exact"/>
        <w:rPr>
          <w:sz w:val="20"/>
          <w:szCs w:val="20"/>
          <w:color w:val="auto"/>
        </w:rPr>
      </w:pPr>
    </w:p>
    <w:p>
      <w:pPr>
        <w:jc w:val="both"/>
        <w:ind w:right="20"/>
        <w:spacing w:after="0" w:line="269" w:lineRule="auto"/>
        <w:rPr>
          <w:sz w:val="20"/>
          <w:szCs w:val="20"/>
          <w:color w:val="auto"/>
        </w:rPr>
      </w:pPr>
      <w:r>
        <w:rPr>
          <w:rFonts w:ascii="Arial" w:cs="Arial" w:eastAsia="Arial" w:hAnsi="Arial"/>
          <w:sz w:val="31"/>
          <w:szCs w:val="31"/>
          <w:b w:val="1"/>
          <w:bCs w:val="1"/>
          <w:color w:val="auto"/>
        </w:rPr>
        <w:t>FOR 2024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proxy statement is being provided to holders of ordinary shares of Fabrinet, a Cayman Islands exempted company, at the close of business on the record date (October 16, 2024) in connection with the solicitation of proxies by Fabrinet’s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for use at Fabrinet’s 2024 Annual General Meeting of Shareholders and any postponement, adjournment or continuation thereof (the “</w:t>
      </w:r>
      <w:r>
        <w:rPr>
          <w:rFonts w:ascii="Arial" w:cs="Arial" w:eastAsia="Arial" w:hAnsi="Arial"/>
          <w:sz w:val="18"/>
          <w:szCs w:val="18"/>
          <w:b w:val="1"/>
          <w:bCs w:val="1"/>
          <w:color w:val="auto"/>
        </w:rPr>
        <w:t>Annual Meeting</w:t>
      </w:r>
      <w:r>
        <w:rPr>
          <w:rFonts w:ascii="Arial" w:cs="Arial" w:eastAsia="Arial" w:hAnsi="Arial"/>
          <w:sz w:val="18"/>
          <w:szCs w:val="18"/>
          <w:color w:val="auto"/>
        </w:rPr>
        <w:t xml:space="preserve">”), for the purpose of considering and acting upon the matters set forth in this proxy statement and the accompanying notice. The Annual Meeting will be held on Thursday, December 12, 2024, at 9:00 a.m. Pacific Standard Time via the Internet at </w:t>
      </w:r>
      <w:r>
        <w:rPr>
          <w:rFonts w:ascii="Arial" w:cs="Arial" w:eastAsia="Arial" w:hAnsi="Arial"/>
          <w:sz w:val="18"/>
          <w:szCs w:val="18"/>
          <w:b w:val="1"/>
          <w:bCs w:val="1"/>
          <w:color w:val="578255"/>
        </w:rPr>
        <w:t>www.virtualshareholdermeeting.com/FN2024</w:t>
      </w:r>
      <w:r>
        <w:rPr>
          <w:rFonts w:ascii="Arial" w:cs="Arial" w:eastAsia="Arial" w:hAnsi="Arial"/>
          <w:sz w:val="18"/>
          <w:szCs w:val="18"/>
          <w:color w:val="auto"/>
        </w:rPr>
        <w:t>.</w:t>
      </w:r>
    </w:p>
    <w:p>
      <w:pPr>
        <w:spacing w:after="0" w:line="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have adopted a virtual format for the Annual Meeting to provide a consistent experience to all our shareholders regardless of location.</w:t>
      </w:r>
    </w:p>
    <w:p>
      <w:pPr>
        <w:spacing w:after="0" w:line="4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or about October 23, 2024, we began sending to all shareholders entitled to vote at the Annual Meeting a Notice of Internet Availability of Proxy Materials, which contains instructions on how to access this proxy statement, the accompanying notice of Annual Meeting and form of proxy card.</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78" w:lineRule="exact"/>
        <w:rPr>
          <w:sz w:val="20"/>
          <w:szCs w:val="20"/>
          <w:color w:val="auto"/>
        </w:rPr>
      </w:pPr>
    </w:p>
    <w:p>
      <w:pPr>
        <w:spacing w:after="0"/>
        <w:tabs>
          <w:tab w:leader="none" w:pos="6669" w:val="left"/>
        </w:tabs>
        <w:rPr>
          <w:sz w:val="20"/>
          <w:szCs w:val="20"/>
          <w:color w:val="auto"/>
        </w:rPr>
      </w:pPr>
      <w:r>
        <w:rPr>
          <w:rFonts w:ascii="Arial" w:cs="Arial" w:eastAsia="Arial" w:hAnsi="Arial"/>
          <w:sz w:val="13"/>
          <w:szCs w:val="13"/>
          <w:color w:val="auto"/>
        </w:rPr>
        <w:t>6</w:t>
      </w:r>
      <w:r>
        <w:rPr>
          <w:sz w:val="20"/>
          <w:szCs w:val="20"/>
          <w:color w:val="auto"/>
        </w:rPr>
        <w:tab/>
      </w:r>
      <w:r>
        <w:rPr>
          <w:sz w:val="1"/>
          <w:szCs w:val="1"/>
          <w:color w:val="auto"/>
        </w:rPr>
        <w:drawing>
          <wp:inline distT="0" distB="0" distL="0" distR="0">
            <wp:extent cx="342900" cy="774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156210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bookmarkStart w:id="12" w:name="page13"/>
    <w:bookmarkEnd w:id="1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right="2260"/>
        <w:spacing w:after="0" w:line="262" w:lineRule="auto"/>
        <w:rPr>
          <w:sz w:val="20"/>
          <w:szCs w:val="20"/>
          <w:color w:val="auto"/>
        </w:rPr>
      </w:pPr>
      <w:r>
        <w:rPr>
          <w:rFonts w:ascii="Arial" w:cs="Arial" w:eastAsia="Arial" w:hAnsi="Arial"/>
          <w:sz w:val="40"/>
          <w:szCs w:val="40"/>
          <w:b w:val="1"/>
          <w:bCs w:val="1"/>
          <w:color w:val="578255"/>
        </w:rPr>
        <w:t>QUESTIONS AND ANSWERS ABOUT THE ANNUAL MEETING AND PROCEDURAL MATTERS</w:t>
      </w:r>
    </w:p>
    <w:p>
      <w:pPr>
        <w:sectPr>
          <w:pgSz w:w="11900" w:h="16838" w:orient="portrait"/>
          <w:cols w:equalWidth="0" w:num="1">
            <w:col w:w="11020"/>
          </w:cols>
          <w:pgMar w:left="440" w:top="114" w:right="439" w:bottom="1440" w:gutter="0" w:footer="0" w:header="0"/>
        </w:sectPr>
      </w:pP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Q: How can I attend the Annual Meeting?</w:t>
      </w:r>
    </w:p>
    <w:p>
      <w:pPr>
        <w:spacing w:after="0" w:line="104" w:lineRule="exact"/>
        <w:rPr>
          <w:sz w:val="20"/>
          <w:szCs w:val="20"/>
          <w:color w:val="auto"/>
        </w:rPr>
      </w:pPr>
    </w:p>
    <w:p>
      <w:pPr>
        <w:jc w:val="both"/>
        <w:ind w:left="1180" w:hanging="26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are invited to attend the Annual Meeting if you were a shareholder of record or a beneficial owner as of October 16, 2024 (the “</w:t>
      </w:r>
      <w:r>
        <w:rPr>
          <w:rFonts w:ascii="Arial" w:cs="Arial" w:eastAsia="Arial" w:hAnsi="Arial"/>
          <w:sz w:val="18"/>
          <w:szCs w:val="18"/>
          <w:b w:val="1"/>
          <w:bCs w:val="1"/>
          <w:color w:val="auto"/>
        </w:rPr>
        <w:t>Record Date</w:t>
      </w:r>
      <w:r>
        <w:rPr>
          <w:rFonts w:ascii="Arial" w:cs="Arial" w:eastAsia="Arial" w:hAnsi="Arial"/>
          <w:sz w:val="18"/>
          <w:szCs w:val="18"/>
          <w:color w:val="auto"/>
        </w:rPr>
        <w:t xml:space="preserve">”). Shareholders may participate in the Annual Meeting at </w:t>
      </w:r>
      <w:r>
        <w:rPr>
          <w:rFonts w:ascii="Arial" w:cs="Arial" w:eastAsia="Arial" w:hAnsi="Arial"/>
          <w:sz w:val="18"/>
          <w:szCs w:val="18"/>
          <w:b w:val="1"/>
          <w:bCs w:val="1"/>
          <w:color w:val="578255"/>
        </w:rPr>
        <w:t>www.virtualshareholdermeeting.com/FN2024</w:t>
      </w:r>
      <w:r>
        <w:rPr>
          <w:rFonts w:ascii="Arial" w:cs="Arial" w:eastAsia="Arial" w:hAnsi="Arial"/>
          <w:sz w:val="18"/>
          <w:szCs w:val="18"/>
          <w:color w:val="auto"/>
        </w:rPr>
        <w:t>. Guests will not be able to vote shares or ask questions during the meeting.</w:t>
      </w:r>
    </w:p>
    <w:p>
      <w:pPr>
        <w:spacing w:after="0" w:line="76" w:lineRule="exact"/>
        <w:rPr>
          <w:rFonts w:ascii="Arial" w:cs="Arial" w:eastAsia="Arial" w:hAnsi="Arial"/>
          <w:sz w:val="18"/>
          <w:szCs w:val="18"/>
          <w:color w:val="auto"/>
        </w:rPr>
      </w:pPr>
    </w:p>
    <w:p>
      <w:pPr>
        <w:jc w:val="both"/>
        <w:ind w:left="1200"/>
        <w:spacing w:after="0" w:line="242" w:lineRule="auto"/>
        <w:rPr>
          <w:rFonts w:ascii="Arial" w:cs="Arial" w:eastAsia="Arial" w:hAnsi="Arial"/>
          <w:sz w:val="18"/>
          <w:szCs w:val="18"/>
          <w:color w:val="auto"/>
        </w:rPr>
      </w:pPr>
      <w:r>
        <w:rPr>
          <w:rFonts w:ascii="Arial" w:cs="Arial" w:eastAsia="Arial" w:hAnsi="Arial"/>
          <w:sz w:val="18"/>
          <w:szCs w:val="18"/>
          <w:b w:val="1"/>
          <w:bCs w:val="1"/>
          <w:color w:val="auto"/>
        </w:rPr>
        <w:t xml:space="preserve">If you plan to attend the Annual Meeting online, please be aware of what you will need to gain admission to the meeting, as described below. </w:t>
      </w:r>
      <w:r>
        <w:rPr>
          <w:rFonts w:ascii="Arial" w:cs="Arial" w:eastAsia="Arial" w:hAnsi="Arial"/>
          <w:sz w:val="18"/>
          <w:szCs w:val="18"/>
          <w:color w:val="auto"/>
        </w:rPr>
        <w:t>If</w:t>
      </w:r>
      <w:r>
        <w:rPr>
          <w:rFonts w:ascii="Arial" w:cs="Arial" w:eastAsia="Arial" w:hAnsi="Arial"/>
          <w:sz w:val="18"/>
          <w:szCs w:val="18"/>
          <w:b w:val="1"/>
          <w:bCs w:val="1"/>
          <w:color w:val="auto"/>
        </w:rPr>
        <w:t xml:space="preserve"> </w:t>
      </w:r>
      <w:r>
        <w:rPr>
          <w:rFonts w:ascii="Arial" w:cs="Arial" w:eastAsia="Arial" w:hAnsi="Arial"/>
          <w:sz w:val="18"/>
          <w:szCs w:val="18"/>
          <w:color w:val="auto"/>
        </w:rPr>
        <w:t>you do not comply with these procedures, you will not be able to participate in the Annual Meeting but may view the Annual Meeting webcast as a guest.</w:t>
      </w:r>
    </w:p>
    <w:p>
      <w:pPr>
        <w:spacing w:after="0" w:line="70" w:lineRule="exact"/>
        <w:rPr>
          <w:rFonts w:ascii="Arial" w:cs="Arial" w:eastAsia="Arial" w:hAnsi="Arial"/>
          <w:sz w:val="18"/>
          <w:szCs w:val="18"/>
          <w:color w:val="auto"/>
        </w:rPr>
      </w:pPr>
    </w:p>
    <w:p>
      <w:pPr>
        <w:jc w:val="both"/>
        <w:ind w:left="1200"/>
        <w:spacing w:after="0" w:line="244" w:lineRule="auto"/>
        <w:rPr>
          <w:rFonts w:ascii="Arial" w:cs="Arial" w:eastAsia="Arial" w:hAnsi="Arial"/>
          <w:sz w:val="18"/>
          <w:szCs w:val="18"/>
          <w:color w:val="auto"/>
        </w:rPr>
      </w:pPr>
      <w:r>
        <w:rPr>
          <w:rFonts w:ascii="Arial" w:cs="Arial" w:eastAsia="Arial" w:hAnsi="Arial"/>
          <w:sz w:val="18"/>
          <w:szCs w:val="18"/>
          <w:color w:val="auto"/>
        </w:rPr>
        <w:t xml:space="preserve">To attend online and participate in the Annual Meeting, shareholders of record will need to enter the 16-digit control number included on their Notice of Internet Availability of Proxy Materials or proxy card (if they requested printed materials) to log into </w:t>
      </w:r>
      <w:r>
        <w:rPr>
          <w:rFonts w:ascii="Arial" w:cs="Arial" w:eastAsia="Arial" w:hAnsi="Arial"/>
          <w:sz w:val="18"/>
          <w:szCs w:val="18"/>
          <w:b w:val="1"/>
          <w:bCs w:val="1"/>
          <w:color w:val="578255"/>
        </w:rPr>
        <w:t>www.virtualshareholdermeeting.com/FN2024</w:t>
      </w:r>
      <w:r>
        <w:rPr>
          <w:rFonts w:ascii="Arial" w:cs="Arial" w:eastAsia="Arial" w:hAnsi="Arial"/>
          <w:sz w:val="18"/>
          <w:szCs w:val="18"/>
          <w:color w:val="000000"/>
        </w:rPr>
        <w:t>.</w:t>
      </w:r>
    </w:p>
    <w:p>
      <w:pPr>
        <w:spacing w:after="0" w:line="60" w:lineRule="exact"/>
        <w:rPr>
          <w:rFonts w:ascii="Arial" w:cs="Arial" w:eastAsia="Arial" w:hAnsi="Arial"/>
          <w:sz w:val="18"/>
          <w:szCs w:val="18"/>
          <w:color w:val="auto"/>
        </w:rPr>
      </w:pPr>
    </w:p>
    <w:p>
      <w:pPr>
        <w:jc w:val="both"/>
        <w:ind w:left="1200"/>
        <w:spacing w:after="0" w:line="238" w:lineRule="auto"/>
        <w:rPr>
          <w:rFonts w:ascii="Arial" w:cs="Arial" w:eastAsia="Arial" w:hAnsi="Arial"/>
          <w:sz w:val="18"/>
          <w:szCs w:val="18"/>
          <w:color w:val="auto"/>
        </w:rPr>
      </w:pPr>
      <w:r>
        <w:rPr>
          <w:rFonts w:ascii="Arial" w:cs="Arial" w:eastAsia="Arial" w:hAnsi="Arial"/>
          <w:sz w:val="18"/>
          <w:szCs w:val="18"/>
          <w:color w:val="auto"/>
        </w:rPr>
        <w:t>Beneficial owners who do not have a control number may gain access to the meeting by logging into their brokerage firm’s website and selecting the stockholder communications mailbox to link through to the Annual Meeting; instructions should also be provided on the voting instruction card provided by their broker, bank, or other nominee. The difference between holding shares as a shareholder of record and as a beneficial owner is described below under “</w:t>
      </w:r>
      <w:r>
        <w:rPr>
          <w:rFonts w:ascii="Arial" w:cs="Arial" w:eastAsia="Arial" w:hAnsi="Arial"/>
          <w:sz w:val="18"/>
          <w:szCs w:val="18"/>
          <w:i w:val="1"/>
          <w:iCs w:val="1"/>
          <w:color w:val="auto"/>
        </w:rPr>
        <w:t>Q. What is the difference between holding shares</w:t>
      </w:r>
      <w:r>
        <w:rPr>
          <w:rFonts w:ascii="Arial" w:cs="Arial" w:eastAsia="Arial" w:hAnsi="Arial"/>
          <w:sz w:val="18"/>
          <w:szCs w:val="18"/>
          <w:color w:val="auto"/>
        </w:rPr>
        <w:t xml:space="preserve"> </w:t>
      </w:r>
      <w:r>
        <w:rPr>
          <w:rFonts w:ascii="Arial" w:cs="Arial" w:eastAsia="Arial" w:hAnsi="Arial"/>
          <w:sz w:val="18"/>
          <w:szCs w:val="18"/>
          <w:i w:val="1"/>
          <w:iCs w:val="1"/>
          <w:color w:val="auto"/>
        </w:rPr>
        <w:t>as a shareholder of record and as a beneficial owner?</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jc w:val="both"/>
        <w:ind w:left="1200"/>
        <w:spacing w:after="0" w:line="238" w:lineRule="auto"/>
        <w:rPr>
          <w:rFonts w:ascii="Arial" w:cs="Arial" w:eastAsia="Arial" w:hAnsi="Arial"/>
          <w:sz w:val="18"/>
          <w:szCs w:val="18"/>
          <w:color w:val="auto"/>
        </w:rPr>
      </w:pPr>
      <w:r>
        <w:rPr>
          <w:rFonts w:ascii="Arial" w:cs="Arial" w:eastAsia="Arial" w:hAnsi="Arial"/>
          <w:sz w:val="18"/>
          <w:szCs w:val="18"/>
          <w:color w:val="auto"/>
        </w:rPr>
        <w:t>We encourage you to access the meeting prior to the start time. Please allow ample time for online check-in, which will begin at 8:45 a.m. Pacific Standard Time. If you have difficulties during the check-in time or during the meeting, we will have technicians ready to assist you with any difficulties you may have accessing the virtual meeting. If you encounter any difficulties accessing the virtual meeting, please call the technical support number that will be posted on the virtual meeting platform’s log in page.</w:t>
      </w:r>
    </w:p>
    <w:p>
      <w:pPr>
        <w:spacing w:after="0" w:line="20" w:lineRule="exact"/>
        <w:rPr>
          <w:sz w:val="20"/>
          <w:szCs w:val="20"/>
          <w:color w:val="auto"/>
        </w:rPr>
      </w:pPr>
      <w:r>
        <w:rPr>
          <w:sz w:val="20"/>
          <w:szCs w:val="20"/>
          <w:color w:val="auto"/>
        </w:rPr>
        <w:br w:type="column"/>
      </w:r>
    </w:p>
    <w:p>
      <w:pPr>
        <w:ind w:left="280" w:right="1380" w:hanging="274"/>
        <w:spacing w:after="0" w:line="281" w:lineRule="auto"/>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Can shareholders ask questions during the Annual Meeting?</w:t>
      </w:r>
    </w:p>
    <w:p>
      <w:pPr>
        <w:spacing w:after="0" w:line="28" w:lineRule="exact"/>
        <w:rPr>
          <w:sz w:val="20"/>
          <w:szCs w:val="20"/>
          <w:color w:val="auto"/>
        </w:rPr>
      </w:pPr>
    </w:p>
    <w:p>
      <w:pPr>
        <w:ind w:left="280" w:right="940" w:hanging="274"/>
        <w:spacing w:after="0" w:line="271"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Yes. Shareholders may submit questions online in advance of, or during, the Annual Meeting.</w:t>
      </w:r>
    </w:p>
    <w:p>
      <w:pPr>
        <w:spacing w:after="0" w:line="45" w:lineRule="exact"/>
        <w:rPr>
          <w:rFonts w:ascii="Arial" w:cs="Arial" w:eastAsia="Arial" w:hAnsi="Arial"/>
          <w:sz w:val="18"/>
          <w:szCs w:val="18"/>
          <w:color w:val="auto"/>
        </w:rPr>
      </w:pPr>
    </w:p>
    <w:p>
      <w:pPr>
        <w:jc w:val="both"/>
        <w:ind w:left="300" w:right="920"/>
        <w:spacing w:after="0" w:line="242" w:lineRule="auto"/>
        <w:rPr>
          <w:rFonts w:ascii="Arial" w:cs="Arial" w:eastAsia="Arial" w:hAnsi="Arial"/>
          <w:sz w:val="18"/>
          <w:szCs w:val="18"/>
          <w:color w:val="auto"/>
        </w:rPr>
      </w:pPr>
      <w:r>
        <w:rPr>
          <w:rFonts w:ascii="Arial" w:cs="Arial" w:eastAsia="Arial" w:hAnsi="Arial"/>
          <w:sz w:val="18"/>
          <w:szCs w:val="18"/>
          <w:color w:val="auto"/>
        </w:rPr>
        <w:t xml:space="preserve">In advance of the meeting, shareholders may submit questions at </w:t>
      </w:r>
      <w:r>
        <w:rPr>
          <w:rFonts w:ascii="Arial" w:cs="Arial" w:eastAsia="Arial" w:hAnsi="Arial"/>
          <w:sz w:val="18"/>
          <w:szCs w:val="18"/>
          <w:b w:val="1"/>
          <w:bCs w:val="1"/>
          <w:color w:val="578255"/>
        </w:rPr>
        <w:t>www.proxyvote.com</w:t>
      </w:r>
      <w:r>
        <w:rPr>
          <w:rFonts w:ascii="Arial" w:cs="Arial" w:eastAsia="Arial" w:hAnsi="Arial"/>
          <w:sz w:val="18"/>
          <w:szCs w:val="18"/>
          <w:color w:val="auto"/>
        </w:rPr>
        <w:t xml:space="preserve"> after logging in with the 16-digit control number included on their Notice of Internet Availability of Proxy Materials, voting instruction from or proxy card (if they requested printed materials).</w:t>
      </w:r>
    </w:p>
    <w:p>
      <w:pPr>
        <w:spacing w:after="0" w:line="70" w:lineRule="exact"/>
        <w:rPr>
          <w:rFonts w:ascii="Arial" w:cs="Arial" w:eastAsia="Arial" w:hAnsi="Arial"/>
          <w:sz w:val="18"/>
          <w:szCs w:val="18"/>
          <w:color w:val="auto"/>
        </w:rPr>
      </w:pPr>
    </w:p>
    <w:p>
      <w:pPr>
        <w:jc w:val="both"/>
        <w:ind w:left="300" w:right="9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During the meeting, shareholders may submit questions through the virtual meeting platform at </w:t>
      </w:r>
      <w:r>
        <w:rPr>
          <w:rFonts w:ascii="Arial" w:cs="Arial" w:eastAsia="Arial" w:hAnsi="Arial"/>
          <w:sz w:val="18"/>
          <w:szCs w:val="18"/>
          <w:b w:val="1"/>
          <w:bCs w:val="1"/>
          <w:color w:val="578255"/>
        </w:rPr>
        <w:t>www.virtualshareholdermeeting.com/FN2024</w:t>
      </w:r>
      <w:r>
        <w:rPr>
          <w:rFonts w:ascii="Arial" w:cs="Arial" w:eastAsia="Arial" w:hAnsi="Arial"/>
          <w:sz w:val="18"/>
          <w:szCs w:val="18"/>
          <w:color w:val="000000"/>
        </w:rPr>
        <w:t>.</w:t>
      </w:r>
    </w:p>
    <w:p>
      <w:pPr>
        <w:spacing w:after="0" w:line="50" w:lineRule="exact"/>
        <w:rPr>
          <w:rFonts w:ascii="Arial" w:cs="Arial" w:eastAsia="Arial" w:hAnsi="Arial"/>
          <w:sz w:val="18"/>
          <w:szCs w:val="18"/>
          <w:color w:val="auto"/>
        </w:rPr>
      </w:pPr>
    </w:p>
    <w:p>
      <w:pPr>
        <w:jc w:val="both"/>
        <w:ind w:left="300" w:right="920"/>
        <w:spacing w:after="0" w:line="239" w:lineRule="auto"/>
        <w:rPr>
          <w:rFonts w:ascii="Arial" w:cs="Arial" w:eastAsia="Arial" w:hAnsi="Arial"/>
          <w:sz w:val="18"/>
          <w:szCs w:val="18"/>
          <w:color w:val="auto"/>
        </w:rPr>
      </w:pPr>
      <w:r>
        <w:rPr>
          <w:rFonts w:ascii="Arial" w:cs="Arial" w:eastAsia="Arial" w:hAnsi="Arial"/>
          <w:sz w:val="18"/>
          <w:szCs w:val="18"/>
          <w:color w:val="auto"/>
        </w:rPr>
        <w:t>We will endeavor to answer as many shareholder-submitted questions as time permits that comply with the meeting rules of conduct. We reserve the right to edit any inappropriate language and to exclude questions regarding topics that are not pertinent to meeting matters or Fabrinet’s business. If we receive substantially similar questions, we may group such questions together and provide a single response to avoid repetition in the interest of time and fairness to all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entitled to vote at the Annual Meeting?</w:t>
      </w:r>
    </w:p>
    <w:p>
      <w:pPr>
        <w:spacing w:after="0" w:line="104" w:lineRule="exact"/>
        <w:rPr>
          <w:sz w:val="20"/>
          <w:szCs w:val="20"/>
          <w:color w:val="auto"/>
        </w:rPr>
      </w:pPr>
    </w:p>
    <w:p>
      <w:pPr>
        <w:jc w:val="both"/>
        <w:ind w:left="280" w:right="920" w:hanging="274"/>
        <w:spacing w:after="0" w:line="239"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may vote your Fabrinet ordinary shares if our records show that you owned your shares at the close of business on the Record Date. At the close of business on the Record Date, there were 36,267,888 ordinary shares outstanding and entitled to vote at the Annual Meeting, as well as 3,312,220 ordinary shares outstanding and held as treasury shares (which are not entitled to vote). You may cast one vote for each ordinary share held by you as of the Record Date on all matters presented.</w:t>
      </w:r>
    </w:p>
    <w:p>
      <w:pPr>
        <w:spacing w:after="0" w:line="180" w:lineRule="exact"/>
        <w:rPr>
          <w:sz w:val="20"/>
          <w:szCs w:val="20"/>
          <w:color w:val="auto"/>
        </w:rPr>
      </w:pPr>
    </w:p>
    <w:p>
      <w:pPr>
        <w:ind w:left="280" w:right="1100" w:hanging="274"/>
        <w:spacing w:after="0" w:line="250" w:lineRule="auto"/>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56" w:lineRule="exact"/>
        <w:rPr>
          <w:sz w:val="20"/>
          <w:szCs w:val="20"/>
          <w:color w:val="auto"/>
        </w:rPr>
      </w:pPr>
    </w:p>
    <w:p>
      <w:pPr>
        <w:jc w:val="both"/>
        <w:ind w:left="280" w:right="920" w:hanging="274"/>
        <w:spacing w:after="0" w:line="244"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rules adopted by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we have elected to provide access to our proxy materials over the Internet. Accordingly, we began sending a Notice of Internet Availability of Proxy Materials (the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6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60" w:type="dxa"/>
            <w:vAlign w:val="bottom"/>
          </w:tcPr>
          <w:p>
            <w:pPr>
              <w:jc w:val="right"/>
              <w:ind w:right="857"/>
              <w:spacing w:after="0"/>
              <w:rPr>
                <w:sz w:val="20"/>
                <w:szCs w:val="20"/>
                <w:color w:val="auto"/>
              </w:rPr>
            </w:pPr>
            <w:r>
              <w:rPr>
                <w:rFonts w:ascii="Arial" w:cs="Arial" w:eastAsia="Arial" w:hAnsi="Arial"/>
                <w:sz w:val="13"/>
                <w:szCs w:val="13"/>
                <w:color w:val="auto"/>
              </w:rPr>
              <w:t>7</w:t>
            </w:r>
          </w:p>
        </w:tc>
      </w:tr>
      <w:tr>
        <w:trPr>
          <w:trHeight w:val="224"/>
        </w:trPr>
        <w:tc>
          <w:tcPr>
            <w:tcW w:w="66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ANNUAL MEETING AND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320"/>
        <w:spacing w:after="0" w:line="271" w:lineRule="auto"/>
        <w:rPr>
          <w:sz w:val="20"/>
          <w:szCs w:val="20"/>
          <w:color w:val="auto"/>
        </w:rPr>
      </w:pPr>
      <w:r>
        <w:rPr>
          <w:rFonts w:ascii="Arial" w:cs="Arial" w:eastAsia="Arial" w:hAnsi="Arial"/>
          <w:sz w:val="18"/>
          <w:szCs w:val="18"/>
          <w:color w:val="auto"/>
        </w:rPr>
        <w:t>to our shareholders of record and beneficial owners on or about October 23, 2024.</w:t>
      </w:r>
    </w:p>
    <w:p>
      <w:pPr>
        <w:spacing w:after="0" w:line="4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All shareholders will be able to access the proxy materials on the website referred to in the Notice, or to request a printed set of the proxy materials. Instructions on how to access the proxy materials over the Internet or to request a printed copy can be found in the Notice. In addition, shareholders may request the proxy materials be sent by mail or email on an ongoing basis. Choosing to receive future proxy materials by email will save us the cost of printing and mailing documents to you and will reduce the impact of our annual meetings on the environment.</w:t>
      </w:r>
    </w:p>
    <w:p>
      <w:pPr>
        <w:spacing w:after="0" w:line="183" w:lineRule="exact"/>
        <w:rPr>
          <w:sz w:val="20"/>
          <w:szCs w:val="20"/>
          <w:color w:val="auto"/>
        </w:rPr>
      </w:pPr>
    </w:p>
    <w:p>
      <w:pPr>
        <w:ind w:left="320" w:right="220" w:hanging="266"/>
        <w:spacing w:after="0" w:line="281" w:lineRule="auto"/>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will be voted on at the Annual Meeting?</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The proposals scheduled to be voted on are:</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One:</w:t>
            </w:r>
          </w:p>
        </w:tc>
        <w:tc>
          <w:tcPr>
            <w:tcW w:w="3580" w:type="dxa"/>
            <w:vAlign w:val="bottom"/>
            <w:gridSpan w:val="4"/>
          </w:tcPr>
          <w:p>
            <w:pPr>
              <w:ind w:left="160"/>
              <w:spacing w:after="0"/>
              <w:rPr>
                <w:sz w:val="20"/>
                <w:szCs w:val="20"/>
                <w:color w:val="auto"/>
              </w:rPr>
            </w:pPr>
            <w:r>
              <w:rPr>
                <w:rFonts w:ascii="Arial" w:cs="Arial" w:eastAsia="Arial" w:hAnsi="Arial"/>
                <w:sz w:val="18"/>
                <w:szCs w:val="18"/>
                <w:color w:val="auto"/>
                <w:w w:val="99"/>
              </w:rPr>
              <w:t>Election of three Class III directors listed in</w:t>
            </w:r>
          </w:p>
        </w:tc>
      </w:tr>
      <w:tr>
        <w:trPr>
          <w:trHeight w:val="203"/>
        </w:trPr>
        <w:tc>
          <w:tcPr>
            <w:tcW w:w="560" w:type="dxa"/>
            <w:vAlign w:val="bottom"/>
          </w:tcPr>
          <w:p>
            <w:pPr>
              <w:spacing w:after="0"/>
              <w:rPr>
                <w:sz w:val="17"/>
                <w:szCs w:val="17"/>
                <w:color w:val="auto"/>
              </w:rPr>
            </w:pPr>
          </w:p>
        </w:tc>
        <w:tc>
          <w:tcPr>
            <w:tcW w:w="3580" w:type="dxa"/>
            <w:vAlign w:val="bottom"/>
            <w:gridSpan w:val="4"/>
          </w:tcPr>
          <w:p>
            <w:pPr>
              <w:ind w:left="160"/>
              <w:spacing w:after="0" w:line="202" w:lineRule="exact"/>
              <w:rPr>
                <w:sz w:val="20"/>
                <w:szCs w:val="20"/>
                <w:color w:val="auto"/>
              </w:rPr>
            </w:pPr>
            <w:r>
              <w:rPr>
                <w:rFonts w:ascii="Arial" w:cs="Arial" w:eastAsia="Arial" w:hAnsi="Arial"/>
                <w:sz w:val="18"/>
                <w:szCs w:val="18"/>
                <w:color w:val="auto"/>
                <w:w w:val="99"/>
              </w:rPr>
              <w:t>this proxy statement and recommended by</w:t>
            </w:r>
          </w:p>
        </w:tc>
      </w:tr>
      <w:tr>
        <w:trPr>
          <w:trHeight w:val="203"/>
        </w:trPr>
        <w:tc>
          <w:tcPr>
            <w:tcW w:w="560" w:type="dxa"/>
            <w:vAlign w:val="bottom"/>
          </w:tcPr>
          <w:p>
            <w:pPr>
              <w:spacing w:after="0"/>
              <w:rPr>
                <w:sz w:val="17"/>
                <w:szCs w:val="17"/>
                <w:color w:val="auto"/>
              </w:rPr>
            </w:pPr>
          </w:p>
        </w:tc>
        <w:tc>
          <w:tcPr>
            <w:tcW w:w="358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the Board to serve for a term of three</w:t>
            </w:r>
          </w:p>
        </w:tc>
      </w:tr>
      <w:tr>
        <w:trPr>
          <w:trHeight w:val="203"/>
        </w:trPr>
        <w:tc>
          <w:tcPr>
            <w:tcW w:w="560" w:type="dxa"/>
            <w:vAlign w:val="bottom"/>
          </w:tcPr>
          <w:p>
            <w:pPr>
              <w:spacing w:after="0"/>
              <w:rPr>
                <w:sz w:val="17"/>
                <w:szCs w:val="17"/>
                <w:color w:val="auto"/>
              </w:rPr>
            </w:pPr>
          </w:p>
        </w:tc>
        <w:tc>
          <w:tcPr>
            <w:tcW w:w="358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years and until their respective successors</w:t>
            </w:r>
          </w:p>
        </w:tc>
      </w:tr>
      <w:tr>
        <w:trPr>
          <w:trHeight w:val="203"/>
        </w:trPr>
        <w:tc>
          <w:tcPr>
            <w:tcW w:w="560" w:type="dxa"/>
            <w:vAlign w:val="bottom"/>
          </w:tcPr>
          <w:p>
            <w:pPr>
              <w:spacing w:after="0"/>
              <w:rPr>
                <w:sz w:val="17"/>
                <w:szCs w:val="17"/>
                <w:color w:val="auto"/>
              </w:rPr>
            </w:pPr>
          </w:p>
        </w:tc>
        <w:tc>
          <w:tcPr>
            <w:tcW w:w="358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have been duly elected and qualified or</w:t>
            </w:r>
          </w:p>
        </w:tc>
      </w:tr>
      <w:tr>
        <w:trPr>
          <w:trHeight w:val="203"/>
        </w:trPr>
        <w:tc>
          <w:tcPr>
            <w:tcW w:w="560" w:type="dxa"/>
            <w:vAlign w:val="bottom"/>
          </w:tcPr>
          <w:p>
            <w:pPr>
              <w:spacing w:after="0"/>
              <w:rPr>
                <w:sz w:val="17"/>
                <w:szCs w:val="17"/>
                <w:color w:val="auto"/>
              </w:rPr>
            </w:pPr>
          </w:p>
        </w:tc>
        <w:tc>
          <w:tcPr>
            <w:tcW w:w="358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until  their  earlier  death,  resignation  or</w:t>
            </w:r>
          </w:p>
        </w:tc>
      </w:tr>
      <w:tr>
        <w:trPr>
          <w:trHeight w:val="239"/>
        </w:trPr>
        <w:tc>
          <w:tcPr>
            <w:tcW w:w="56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removal.</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4"/>
        </w:trPr>
        <w:tc>
          <w:tcPr>
            <w:tcW w:w="560" w:type="dxa"/>
            <w:vAlign w:val="bottom"/>
          </w:tcPr>
          <w:p>
            <w:pPr>
              <w:spacing w:after="0"/>
              <w:rPr>
                <w:sz w:val="20"/>
                <w:szCs w:val="20"/>
                <w:color w:val="auto"/>
              </w:rPr>
            </w:pPr>
            <w:r>
              <w:rPr>
                <w:rFonts w:ascii="Arial" w:cs="Arial" w:eastAsia="Arial" w:hAnsi="Arial"/>
                <w:sz w:val="18"/>
                <w:szCs w:val="18"/>
                <w:color w:val="auto"/>
              </w:rPr>
              <w:t>Two:</w:t>
            </w:r>
          </w:p>
        </w:tc>
        <w:tc>
          <w:tcPr>
            <w:tcW w:w="3580" w:type="dxa"/>
            <w:vAlign w:val="bottom"/>
            <w:gridSpan w:val="4"/>
          </w:tcPr>
          <w:p>
            <w:pPr>
              <w:ind w:left="160"/>
              <w:spacing w:after="0"/>
              <w:rPr>
                <w:sz w:val="20"/>
                <w:szCs w:val="20"/>
                <w:color w:val="auto"/>
              </w:rPr>
            </w:pPr>
            <w:r>
              <w:rPr>
                <w:rFonts w:ascii="Arial" w:cs="Arial" w:eastAsia="Arial" w:hAnsi="Arial"/>
                <w:sz w:val="18"/>
                <w:szCs w:val="18"/>
                <w:color w:val="auto"/>
              </w:rPr>
              <w:t>Ratification   of   the   appointment   of</w:t>
            </w:r>
          </w:p>
        </w:tc>
      </w:tr>
      <w:tr>
        <w:trPr>
          <w:trHeight w:val="203"/>
        </w:trPr>
        <w:tc>
          <w:tcPr>
            <w:tcW w:w="560" w:type="dxa"/>
            <w:vAlign w:val="bottom"/>
          </w:tcPr>
          <w:p>
            <w:pPr>
              <w:spacing w:after="0"/>
              <w:rPr>
                <w:sz w:val="17"/>
                <w:szCs w:val="17"/>
                <w:color w:val="auto"/>
              </w:rPr>
            </w:pPr>
          </w:p>
        </w:tc>
        <w:tc>
          <w:tcPr>
            <w:tcW w:w="28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PricewaterhouseCoopers  ABAS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Ltd.  as</w:t>
            </w:r>
          </w:p>
        </w:tc>
      </w:tr>
      <w:tr>
        <w:trPr>
          <w:trHeight w:val="203"/>
        </w:trPr>
        <w:tc>
          <w:tcPr>
            <w:tcW w:w="560" w:type="dxa"/>
            <w:vAlign w:val="bottom"/>
          </w:tcPr>
          <w:p>
            <w:pPr>
              <w:spacing w:after="0"/>
              <w:rPr>
                <w:sz w:val="17"/>
                <w:szCs w:val="17"/>
                <w:color w:val="auto"/>
              </w:rPr>
            </w:pPr>
          </w:p>
        </w:tc>
        <w:tc>
          <w:tcPr>
            <w:tcW w:w="560" w:type="dxa"/>
            <w:vAlign w:val="bottom"/>
          </w:tcPr>
          <w:p>
            <w:pPr>
              <w:ind w:left="160"/>
              <w:spacing w:after="0" w:line="202" w:lineRule="exact"/>
              <w:rPr>
                <w:sz w:val="20"/>
                <w:szCs w:val="20"/>
                <w:color w:val="auto"/>
              </w:rPr>
            </w:pPr>
            <w:r>
              <w:rPr>
                <w:rFonts w:ascii="Arial" w:cs="Arial" w:eastAsia="Arial" w:hAnsi="Arial"/>
                <w:sz w:val="18"/>
                <w:szCs w:val="18"/>
                <w:color w:val="auto"/>
              </w:rPr>
              <w:t>our</w:t>
            </w:r>
          </w:p>
        </w:tc>
        <w:tc>
          <w:tcPr>
            <w:tcW w:w="1300" w:type="dxa"/>
            <w:vAlign w:val="bottom"/>
          </w:tcPr>
          <w:p>
            <w:pPr>
              <w:ind w:left="160"/>
              <w:spacing w:after="0" w:line="202" w:lineRule="exact"/>
              <w:rPr>
                <w:sz w:val="20"/>
                <w:szCs w:val="20"/>
                <w:color w:val="auto"/>
              </w:rPr>
            </w:pPr>
            <w:r>
              <w:rPr>
                <w:rFonts w:ascii="Arial" w:cs="Arial" w:eastAsia="Arial" w:hAnsi="Arial"/>
                <w:sz w:val="18"/>
                <w:szCs w:val="18"/>
                <w:color w:val="auto"/>
              </w:rPr>
              <w:t>independent</w:t>
            </w:r>
          </w:p>
        </w:tc>
        <w:tc>
          <w:tcPr>
            <w:tcW w:w="1020" w:type="dxa"/>
            <w:vAlign w:val="bottom"/>
          </w:tcPr>
          <w:p>
            <w:pPr>
              <w:ind w:left="140"/>
              <w:spacing w:after="0" w:line="202" w:lineRule="exact"/>
              <w:rPr>
                <w:sz w:val="20"/>
                <w:szCs w:val="20"/>
                <w:color w:val="auto"/>
              </w:rPr>
            </w:pPr>
            <w:r>
              <w:rPr>
                <w:rFonts w:ascii="Arial" w:cs="Arial" w:eastAsia="Arial" w:hAnsi="Arial"/>
                <w:sz w:val="18"/>
                <w:szCs w:val="18"/>
                <w:color w:val="auto"/>
              </w:rPr>
              <w:t>registered</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public</w:t>
            </w:r>
          </w:p>
        </w:tc>
      </w:tr>
      <w:tr>
        <w:trPr>
          <w:trHeight w:val="203"/>
        </w:trPr>
        <w:tc>
          <w:tcPr>
            <w:tcW w:w="560" w:type="dxa"/>
            <w:vAlign w:val="bottom"/>
          </w:tcPr>
          <w:p>
            <w:pPr>
              <w:spacing w:after="0"/>
              <w:rPr>
                <w:sz w:val="17"/>
                <w:szCs w:val="17"/>
                <w:color w:val="auto"/>
              </w:rPr>
            </w:pPr>
          </w:p>
        </w:tc>
        <w:tc>
          <w:tcPr>
            <w:tcW w:w="358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accounting firm for our fiscal year ending</w:t>
            </w:r>
          </w:p>
        </w:tc>
      </w:tr>
      <w:tr>
        <w:trPr>
          <w:trHeight w:val="239"/>
        </w:trPr>
        <w:tc>
          <w:tcPr>
            <w:tcW w:w="56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June 27, 2025.</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72" w:lineRule="exact"/>
        <w:rPr>
          <w:sz w:val="20"/>
          <w:szCs w:val="20"/>
          <w:color w:val="auto"/>
        </w:rPr>
      </w:pPr>
    </w:p>
    <w:p>
      <w:pPr>
        <w:jc w:val="both"/>
        <w:ind w:left="1060" w:hanging="719"/>
        <w:spacing w:after="0" w:line="253" w:lineRule="auto"/>
        <w:tabs>
          <w:tab w:leader="none" w:pos="1040" w:val="left"/>
        </w:tabs>
        <w:rPr>
          <w:sz w:val="20"/>
          <w:szCs w:val="20"/>
          <w:color w:val="auto"/>
        </w:rPr>
      </w:pPr>
      <w:r>
        <w:rPr>
          <w:rFonts w:ascii="Arial" w:cs="Arial" w:eastAsia="Arial" w:hAnsi="Arial"/>
          <w:sz w:val="18"/>
          <w:szCs w:val="18"/>
          <w:color w:val="auto"/>
        </w:rPr>
        <w:t>Three:</w:t>
        <w:tab/>
        <w:t>A non-binding, advisory vote to approve the compensation of our named executive officers, as disclosed herein.</w:t>
      </w:r>
    </w:p>
    <w:p>
      <w:pPr>
        <w:spacing w:after="0" w:line="169" w:lineRule="exact"/>
        <w:rPr>
          <w:sz w:val="20"/>
          <w:szCs w:val="20"/>
          <w:color w:val="auto"/>
        </w:rPr>
      </w:pPr>
    </w:p>
    <w:p>
      <w:pPr>
        <w:ind w:left="320" w:right="280" w:hanging="266"/>
        <w:spacing w:after="0" w:line="281" w:lineRule="auto"/>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8" w:lineRule="exact"/>
        <w:rPr>
          <w:sz w:val="20"/>
          <w:szCs w:val="20"/>
          <w:color w:val="auto"/>
        </w:rPr>
      </w:pPr>
    </w:p>
    <w:p>
      <w:pPr>
        <w:ind w:left="320" w:hanging="266"/>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recommends that you vote your shares:</w:t>
      </w:r>
    </w:p>
    <w:p>
      <w:pPr>
        <w:spacing w:after="0" w:line="103" w:lineRule="exact"/>
        <w:rPr>
          <w:rFonts w:ascii="Arial" w:cs="Arial" w:eastAsia="Arial" w:hAnsi="Arial"/>
          <w:sz w:val="18"/>
          <w:szCs w:val="18"/>
          <w:color w:val="auto"/>
        </w:rPr>
      </w:pPr>
    </w:p>
    <w:p>
      <w:pPr>
        <w:jc w:val="both"/>
        <w:ind w:left="580" w:hanging="166"/>
        <w:spacing w:after="0" w:line="253" w:lineRule="auto"/>
        <w:tabs>
          <w:tab w:leader="none" w:pos="580" w:val="left"/>
        </w:tabs>
        <w:numPr>
          <w:ilvl w:val="1"/>
          <w:numId w:val="20"/>
        </w:numPr>
        <w:rPr>
          <w:rFonts w:ascii="Arial" w:cs="Arial" w:eastAsia="Arial" w:hAnsi="Arial"/>
          <w:sz w:val="18"/>
          <w:szCs w:val="18"/>
          <w:color w:val="578255"/>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nominees listed in this proxy statement and recommended by the Board for election as Class III directors (Proposal One).</w:t>
      </w:r>
    </w:p>
    <w:p>
      <w:pPr>
        <w:spacing w:after="0" w:line="60" w:lineRule="exact"/>
        <w:rPr>
          <w:rFonts w:ascii="Arial" w:cs="Arial" w:eastAsia="Arial" w:hAnsi="Arial"/>
          <w:sz w:val="18"/>
          <w:szCs w:val="18"/>
          <w:color w:val="578255"/>
        </w:rPr>
      </w:pPr>
    </w:p>
    <w:p>
      <w:pPr>
        <w:jc w:val="both"/>
        <w:ind w:left="580" w:hanging="166"/>
        <w:spacing w:after="0" w:line="244" w:lineRule="auto"/>
        <w:tabs>
          <w:tab w:leader="none" w:pos="580" w:val="left"/>
        </w:tabs>
        <w:numPr>
          <w:ilvl w:val="1"/>
          <w:numId w:val="20"/>
        </w:numPr>
        <w:rPr>
          <w:rFonts w:ascii="Arial" w:cs="Arial" w:eastAsia="Arial" w:hAnsi="Arial"/>
          <w:sz w:val="18"/>
          <w:szCs w:val="18"/>
          <w:color w:val="578255"/>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ABAS Ltd. as our independent registered public accounting firm for our fiscal year ending June 27, 2025 (Proposal Two).</w:t>
      </w:r>
    </w:p>
    <w:p>
      <w:pPr>
        <w:spacing w:after="0" w:line="68" w:lineRule="exact"/>
        <w:rPr>
          <w:rFonts w:ascii="Arial" w:cs="Arial" w:eastAsia="Arial" w:hAnsi="Arial"/>
          <w:sz w:val="18"/>
          <w:szCs w:val="18"/>
          <w:color w:val="578255"/>
        </w:rPr>
      </w:pPr>
    </w:p>
    <w:p>
      <w:pPr>
        <w:ind w:left="580" w:hanging="166"/>
        <w:spacing w:after="0" w:line="271" w:lineRule="auto"/>
        <w:tabs>
          <w:tab w:leader="none" w:pos="580" w:val="left"/>
        </w:tabs>
        <w:numPr>
          <w:ilvl w:val="1"/>
          <w:numId w:val="20"/>
        </w:numPr>
        <w:rPr>
          <w:rFonts w:ascii="Arial" w:cs="Arial" w:eastAsia="Arial" w:hAnsi="Arial"/>
          <w:sz w:val="18"/>
          <w:szCs w:val="18"/>
          <w:color w:val="578255"/>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compensation of our named executive officers (Proposal Three).</w:t>
      </w:r>
    </w:p>
    <w:p>
      <w:pPr>
        <w:spacing w:after="0" w:line="154" w:lineRule="exact"/>
        <w:rPr>
          <w:sz w:val="20"/>
          <w:szCs w:val="20"/>
          <w:color w:val="auto"/>
        </w:rPr>
      </w:pPr>
    </w:p>
    <w:p>
      <w:pPr>
        <w:ind w:left="320" w:right="80" w:hanging="266"/>
        <w:spacing w:after="0" w:line="281" w:lineRule="auto"/>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voting requirement to approve each of the proposals and how are votes counted?</w:t>
      </w:r>
    </w:p>
    <w:p>
      <w:pPr>
        <w:spacing w:after="0" w:line="28" w:lineRule="exact"/>
        <w:rPr>
          <w:sz w:val="20"/>
          <w:szCs w:val="20"/>
          <w:color w:val="auto"/>
        </w:rPr>
      </w:pPr>
    </w:p>
    <w:p>
      <w:pPr>
        <w:jc w:val="both"/>
        <w:ind w:left="320" w:hanging="266"/>
        <w:spacing w:after="0" w:line="247"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Proposal One</w:t>
      </w:r>
      <w:r>
        <w:rPr>
          <w:rFonts w:ascii="Arial" w:cs="Arial" w:eastAsia="Arial" w:hAnsi="Arial"/>
          <w:sz w:val="18"/>
          <w:szCs w:val="18"/>
          <w:color w:val="auto"/>
        </w:rPr>
        <w:t>. A plurality of the votes cast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for the election of directors. You may vote “FOR” or “WITHHOLD” on each nominee for election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74" w:right="20"/>
        <w:spacing w:after="0" w:line="238" w:lineRule="auto"/>
        <w:rPr>
          <w:sz w:val="20"/>
          <w:szCs w:val="20"/>
          <w:color w:val="auto"/>
        </w:rPr>
      </w:pPr>
      <w:r>
        <w:rPr>
          <w:rFonts w:ascii="Arial" w:cs="Arial" w:eastAsia="Arial" w:hAnsi="Arial"/>
          <w:sz w:val="18"/>
          <w:szCs w:val="18"/>
          <w:color w:val="auto"/>
        </w:rPr>
        <w:t>director. The nominees for director receiving the highest number of affirmative votes will be elected as directors. Abstentions and broker “non-votes” will not affect the outcome of the election. However, as set forth below under the heading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Governance—Majority Voting Director Resignation Policy in Uncontested Elections</w:t>
      </w:r>
      <w:r>
        <w:rPr>
          <w:rFonts w:ascii="Arial" w:cs="Arial" w:eastAsia="Arial" w:hAnsi="Arial"/>
          <w:sz w:val="18"/>
          <w:szCs w:val="18"/>
          <w:color w:val="auto"/>
        </w:rPr>
        <w:t>,” we have a policy</w:t>
      </w:r>
      <w:r>
        <w:rPr>
          <w:rFonts w:ascii="Arial" w:cs="Arial" w:eastAsia="Arial" w:hAnsi="Arial"/>
          <w:sz w:val="18"/>
          <w:szCs w:val="18"/>
          <w:i w:val="1"/>
          <w:iCs w:val="1"/>
          <w:color w:val="auto"/>
        </w:rPr>
        <w:t xml:space="preserve"> </w:t>
      </w:r>
      <w:r>
        <w:rPr>
          <w:rFonts w:ascii="Arial" w:cs="Arial" w:eastAsia="Arial" w:hAnsi="Arial"/>
          <w:sz w:val="18"/>
          <w:szCs w:val="18"/>
          <w:color w:val="auto"/>
        </w:rPr>
        <w:t>that if a director receives more “WITHHOLD” votes than “FOR” votes in an uncontested election such as this one, the director shall offer his or her resignation for consideration by the Board.</w:t>
      </w:r>
    </w:p>
    <w:p>
      <w:pPr>
        <w:spacing w:after="0" w:line="78" w:lineRule="exact"/>
        <w:rPr>
          <w:sz w:val="20"/>
          <w:szCs w:val="20"/>
          <w:color w:val="auto"/>
        </w:rPr>
      </w:pPr>
    </w:p>
    <w:p>
      <w:pPr>
        <w:jc w:val="both"/>
        <w:ind w:left="294"/>
        <w:spacing w:after="0" w:line="237" w:lineRule="auto"/>
        <w:rPr>
          <w:sz w:val="20"/>
          <w:szCs w:val="20"/>
          <w:color w:val="auto"/>
        </w:rPr>
      </w:pPr>
      <w:r>
        <w:rPr>
          <w:rFonts w:ascii="Arial" w:cs="Arial" w:eastAsia="Arial" w:hAnsi="Arial"/>
          <w:sz w:val="18"/>
          <w:szCs w:val="18"/>
          <w:b w:val="1"/>
          <w:bCs w:val="1"/>
          <w:i w:val="1"/>
          <w:iCs w:val="1"/>
          <w:color w:val="auto"/>
        </w:rPr>
        <w:t>Proposals Two and Three</w:t>
      </w:r>
      <w:r>
        <w:rPr>
          <w:rFonts w:ascii="Arial" w:cs="Arial" w:eastAsia="Arial" w:hAnsi="Arial"/>
          <w:sz w:val="18"/>
          <w:szCs w:val="18"/>
          <w:color w:val="auto"/>
        </w:rPr>
        <w:t>. The affirmative vote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majority of the votes cast by shareholders present in person (including virtually) or represented by proxy at the meeting and entitled to vote on the applicable proposal is required to (1) ratify the appointment of PricewaterhouseCoopers ABAS Ltd. as our independent registered public accounting firm for our fiscal year ending June 27, 2025, and (2) approve, on a non-binding, advisory basis, the compensation of our named executive officers. You may vote “FOR,” “AGAINST” or “ABSTAIN” on these proposals. Abstentions and broker “non-votes” are not deemed to be votes cast and, therefore, are not included in the tabulation of voting results on these proposals.</w:t>
      </w:r>
    </w:p>
    <w:p>
      <w:pPr>
        <w:spacing w:after="0" w:line="80" w:lineRule="exact"/>
        <w:rPr>
          <w:sz w:val="20"/>
          <w:szCs w:val="20"/>
          <w:color w:val="auto"/>
        </w:rPr>
      </w:pPr>
    </w:p>
    <w:p>
      <w:pPr>
        <w:jc w:val="both"/>
        <w:ind w:left="294"/>
        <w:spacing w:after="0"/>
        <w:rPr>
          <w:sz w:val="20"/>
          <w:szCs w:val="20"/>
          <w:color w:val="auto"/>
        </w:rPr>
      </w:pPr>
      <w:r>
        <w:rPr>
          <w:rFonts w:ascii="Arial" w:cs="Arial" w:eastAsia="Arial" w:hAnsi="Arial"/>
          <w:sz w:val="18"/>
          <w:szCs w:val="18"/>
          <w:color w:val="auto"/>
        </w:rPr>
        <w:t>All shares entitled to vote and represented by properly submitted proxies received prior to the Annual Meeting (and not revoked) will be voted at the Annual Meeting in accordance with the instructions indicated by such proxy. If no instructions are indicated on such proxy, the shares represented by that proxy will be voted as recommended by the Board.</w:t>
      </w:r>
    </w:p>
    <w:p>
      <w:pPr>
        <w:spacing w:after="0" w:line="180" w:lineRule="exact"/>
        <w:rPr>
          <w:sz w:val="20"/>
          <w:szCs w:val="20"/>
          <w:color w:val="auto"/>
        </w:rPr>
      </w:pPr>
    </w:p>
    <w:p>
      <w:pPr>
        <w:ind w:left="274" w:right="140" w:hanging="274"/>
        <w:spacing w:after="0" w:line="257" w:lineRule="auto"/>
        <w:tabs>
          <w:tab w:leader="none" w:pos="27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Annual Meeting?</w:t>
      </w:r>
    </w:p>
    <w:p>
      <w:pPr>
        <w:spacing w:after="0" w:line="51" w:lineRule="exact"/>
        <w:rPr>
          <w:sz w:val="20"/>
          <w:szCs w:val="20"/>
          <w:color w:val="auto"/>
        </w:rPr>
      </w:pPr>
    </w:p>
    <w:p>
      <w:pPr>
        <w:jc w:val="both"/>
        <w:ind w:left="274" w:hanging="274"/>
        <w:spacing w:after="0" w:line="237"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presence of the holders of at least one-third of the total shares entitled to vote at the Annual Meeting is necessary to constitute a quorum at the Annual Meeting. Such shareholders are counted as present at the meeting if (1) they are present virtually at the Annual Meeting or (2) have properly submitted a proxy. Abstentions and broker “non-votes” are counted as present and entitled to vote and are, therefore, included for the purposes of determining whether a quorum is present at the Annual Meeting. A broker “non-vote” occurs when a nominee holding shares for a beneficial owner has not received voting instructions from the beneficial owner, and the broker does not have, or declines to exercise, discretionary authority to vote those shares.</w:t>
      </w:r>
    </w:p>
    <w:p>
      <w:pPr>
        <w:spacing w:after="0" w:line="994" w:lineRule="exact"/>
        <w:rPr>
          <w:sz w:val="20"/>
          <w:szCs w:val="20"/>
          <w:color w:val="auto"/>
        </w:rPr>
      </w:pPr>
    </w:p>
    <w:p>
      <w:pPr>
        <w:sectPr>
          <w:pgSz w:w="11900" w:h="16838" w:orient="portrait"/>
          <w:cols w:equalWidth="0" w:num="2">
            <w:col w:w="4480" w:space="326"/>
            <w:col w:w="4434"/>
          </w:cols>
          <w:pgMar w:left="1300" w:top="114" w:right="1359" w:bottom="1440" w:gutter="0" w:footer="0" w:header="0"/>
          <w:type w:val="continuous"/>
        </w:sectPr>
      </w:pPr>
    </w:p>
    <w:p>
      <w:pPr>
        <w:spacing w:after="0" w:line="83"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8</w:t>
      </w:r>
      <w:r>
        <w:rPr>
          <w:sz w:val="20"/>
          <w:szCs w:val="20"/>
          <w:color w:val="auto"/>
        </w:rPr>
        <w:tab/>
      </w:r>
      <w:r>
        <w:rPr>
          <w:sz w:val="1"/>
          <w:szCs w:val="1"/>
          <w:color w:val="auto"/>
        </w:rPr>
        <w:drawing>
          <wp:inline distT="0" distB="0" distL="0" distR="0">
            <wp:extent cx="342900" cy="7683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14" w:name="page15"/>
    <w:bookmarkEnd w:id="14"/>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QUESTIONS AND ANSWERS ABOUT THE ANNUAL MEETING AND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80" w:right="360" w:hanging="266"/>
        <w:spacing w:after="0" w:line="281" w:lineRule="auto"/>
        <w:tabs>
          <w:tab w:leader="none" w:pos="1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during the Annual Meeting?</w:t>
      </w:r>
    </w:p>
    <w:p>
      <w:pPr>
        <w:spacing w:after="0" w:line="28" w:lineRule="exact"/>
        <w:rPr>
          <w:sz w:val="20"/>
          <w:szCs w:val="20"/>
          <w:color w:val="auto"/>
        </w:rPr>
      </w:pPr>
    </w:p>
    <w:p>
      <w:pPr>
        <w:jc w:val="both"/>
        <w:ind w:left="1180" w:hanging="266"/>
        <w:spacing w:after="0" w:line="280"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Shareholders of record may vote their shares electronically during the Annual Meeting by logging into </w:t>
      </w:r>
      <w:r>
        <w:rPr>
          <w:rFonts w:ascii="Arial" w:cs="Arial" w:eastAsia="Arial" w:hAnsi="Arial"/>
          <w:sz w:val="17"/>
          <w:szCs w:val="17"/>
          <w:b w:val="1"/>
          <w:bCs w:val="1"/>
          <w:color w:val="578255"/>
        </w:rPr>
        <w:t>www.virtualshareholdermeeting.com/FN2024</w:t>
      </w:r>
      <w:r>
        <w:rPr>
          <w:rFonts w:ascii="Arial" w:cs="Arial" w:eastAsia="Arial" w:hAnsi="Arial"/>
          <w:sz w:val="17"/>
          <w:szCs w:val="17"/>
          <w:color w:val="auto"/>
        </w:rPr>
        <w:t>.</w:t>
      </w:r>
    </w:p>
    <w:p>
      <w:pPr>
        <w:spacing w:after="0" w:line="31" w:lineRule="exact"/>
        <w:rPr>
          <w:rFonts w:ascii="Arial" w:cs="Arial" w:eastAsia="Arial" w:hAnsi="Arial"/>
          <w:sz w:val="17"/>
          <w:szCs w:val="17"/>
          <w:color w:val="auto"/>
        </w:rPr>
      </w:pPr>
    </w:p>
    <w:p>
      <w:pPr>
        <w:jc w:val="both"/>
        <w:ind w:left="1200"/>
        <w:spacing w:after="0" w:line="238" w:lineRule="auto"/>
        <w:rPr>
          <w:rFonts w:ascii="Arial" w:cs="Arial" w:eastAsia="Arial" w:hAnsi="Arial"/>
          <w:sz w:val="17"/>
          <w:szCs w:val="17"/>
          <w:color w:val="auto"/>
        </w:rPr>
      </w:pPr>
      <w:r>
        <w:rPr>
          <w:rFonts w:ascii="Arial" w:cs="Arial" w:eastAsia="Arial" w:hAnsi="Arial"/>
          <w:sz w:val="18"/>
          <w:szCs w:val="18"/>
          <w:color w:val="auto"/>
        </w:rPr>
        <w:t>Beneficial owners may vote their shares electronically during the Annual Meeting only if they obtain a “legal proxy” from the broker, bank or nominee that holds the shares giving the beneficial owner the right to vote the shares. Voting online during the meeting will replace any previous votes.</w:t>
      </w:r>
    </w:p>
    <w:p>
      <w:pPr>
        <w:spacing w:after="0" w:line="1" w:lineRule="exact"/>
        <w:rPr>
          <w:rFonts w:ascii="Arial" w:cs="Arial" w:eastAsia="Arial" w:hAnsi="Arial"/>
          <w:sz w:val="17"/>
          <w:szCs w:val="17"/>
          <w:color w:val="auto"/>
        </w:rPr>
      </w:pPr>
    </w:p>
    <w:p>
      <w:pPr>
        <w:jc w:val="both"/>
        <w:ind w:left="1200"/>
        <w:spacing w:after="0" w:line="241" w:lineRule="auto"/>
        <w:rPr>
          <w:rFonts w:ascii="Arial" w:cs="Arial" w:eastAsia="Arial" w:hAnsi="Arial"/>
          <w:sz w:val="17"/>
          <w:szCs w:val="17"/>
          <w:color w:val="auto"/>
        </w:rPr>
      </w:pPr>
      <w:r>
        <w:rPr>
          <w:rFonts w:ascii="Arial" w:cs="Arial" w:eastAsia="Arial" w:hAnsi="Arial"/>
          <w:sz w:val="18"/>
          <w:szCs w:val="18"/>
          <w:b w:val="1"/>
          <w:bCs w:val="1"/>
          <w:color w:val="auto"/>
        </w:rPr>
        <w:t>Even if you plan to attend the Annual Meeting, we recommend you also submit your vote as described in the Notice and as described below, so your vote will be counted even if you later decide not to attend the meeting</w:t>
      </w:r>
      <w:r>
        <w:rPr>
          <w:rFonts w:ascii="Arial" w:cs="Arial" w:eastAsia="Arial" w:hAnsi="Arial"/>
          <w:sz w:val="18"/>
          <w:szCs w:val="18"/>
          <w:color w:val="auto"/>
        </w:rPr>
        <w:t>.</w:t>
      </w:r>
    </w:p>
    <w:p>
      <w:pPr>
        <w:spacing w:after="0" w:line="171" w:lineRule="exact"/>
        <w:rPr>
          <w:sz w:val="20"/>
          <w:szCs w:val="20"/>
          <w:color w:val="auto"/>
        </w:rPr>
      </w:pPr>
    </w:p>
    <w:p>
      <w:pPr>
        <w:ind w:left="1180" w:right="80" w:hanging="266"/>
        <w:spacing w:after="0" w:line="281" w:lineRule="auto"/>
        <w:tabs>
          <w:tab w:leader="none" w:pos="1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Annual Meeting?</w:t>
      </w:r>
    </w:p>
    <w:p>
      <w:pPr>
        <w:spacing w:after="0" w:line="28" w:lineRule="exact"/>
        <w:rPr>
          <w:sz w:val="20"/>
          <w:szCs w:val="20"/>
          <w:color w:val="auto"/>
        </w:rPr>
      </w:pPr>
    </w:p>
    <w:p>
      <w:pPr>
        <w:jc w:val="both"/>
        <w:ind w:left="1180" w:hanging="26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you hold shares directly as the shareholder of record or beneficially in street name, you may direct how your shares are voted without attending the Annual Meeting. If you are a shareholder of record, you may vote by submitting a proxy; please refer to the voting instructions in the Notice or below.</w:t>
      </w:r>
    </w:p>
    <w:p>
      <w:pPr>
        <w:spacing w:after="0" w:line="76" w:lineRule="exact"/>
        <w:rPr>
          <w:rFonts w:ascii="Arial" w:cs="Arial" w:eastAsia="Arial" w:hAnsi="Arial"/>
          <w:sz w:val="18"/>
          <w:szCs w:val="18"/>
          <w:color w:val="auto"/>
        </w:rPr>
      </w:pPr>
    </w:p>
    <w:p>
      <w:pPr>
        <w:jc w:val="both"/>
        <w:ind w:left="1200"/>
        <w:spacing w:after="0" w:line="244" w:lineRule="auto"/>
        <w:rPr>
          <w:rFonts w:ascii="Arial" w:cs="Arial" w:eastAsia="Arial" w:hAnsi="Arial"/>
          <w:sz w:val="18"/>
          <w:szCs w:val="18"/>
          <w:color w:val="auto"/>
        </w:rPr>
      </w:pPr>
      <w:r>
        <w:rPr>
          <w:rFonts w:ascii="Arial" w:cs="Arial" w:eastAsia="Arial" w:hAnsi="Arial"/>
          <w:sz w:val="18"/>
          <w:szCs w:val="18"/>
          <w:color w:val="auto"/>
        </w:rPr>
        <w:t>If you hold shares beneficially in street name, you may vote by submitting voting instructions to your broker, bank or nominee; please refer to the voting instructions provided to you by your broker, bank or nominee.</w:t>
      </w:r>
    </w:p>
    <w:p>
      <w:pPr>
        <w:spacing w:after="0" w:line="68" w:lineRule="exact"/>
        <w:rPr>
          <w:rFonts w:ascii="Arial" w:cs="Arial" w:eastAsia="Arial" w:hAnsi="Arial"/>
          <w:sz w:val="18"/>
          <w:szCs w:val="18"/>
          <w:color w:val="auto"/>
        </w:rPr>
      </w:pPr>
    </w:p>
    <w:p>
      <w:pPr>
        <w:jc w:val="both"/>
        <w:ind w:left="1200"/>
        <w:spacing w:after="0" w:line="238" w:lineRule="auto"/>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access may submit proxies until 11:59 p.m., Eastern Standard Time, on December 11, 2024, by following the “Vote by Internet” instructions described in the Notice, or by following the instructions at www.proxyvote.com. Most Fabrinet shareholders who hold shares beneficially in street name may vote by accessing the website specified in the voting instructions provided by their brokers, trustees or nominees. If you are a beneficial owner, please check the voting instructions provided by your broker, trustee or nominee for information regarding Internet voting availability.</w:t>
      </w:r>
    </w:p>
    <w:p>
      <w:pPr>
        <w:spacing w:after="0" w:line="72" w:lineRule="exact"/>
        <w:rPr>
          <w:rFonts w:ascii="Arial" w:cs="Arial" w:eastAsia="Arial" w:hAnsi="Arial"/>
          <w:sz w:val="18"/>
          <w:szCs w:val="18"/>
          <w:color w:val="auto"/>
        </w:rPr>
      </w:pPr>
    </w:p>
    <w:p>
      <w:pPr>
        <w:jc w:val="both"/>
        <w:ind w:left="1200"/>
        <w:spacing w:after="0" w:line="242" w:lineRule="auto"/>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Depending on how your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held, you may be able to vote by telephone. If this option is available to you, you will have received information with the Notice or the voting instructions provided by your broker, bank or nominee explaining this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94" w:right="920"/>
        <w:spacing w:after="0"/>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request a</w:t>
      </w:r>
      <w:r>
        <w:rPr>
          <w:rFonts w:ascii="Arial" w:cs="Arial" w:eastAsia="Arial" w:hAnsi="Arial"/>
          <w:sz w:val="18"/>
          <w:szCs w:val="18"/>
          <w:b w:val="1"/>
          <w:bCs w:val="1"/>
          <w:color w:val="auto"/>
        </w:rPr>
        <w:t xml:space="preserve"> </w:t>
      </w:r>
      <w:r>
        <w:rPr>
          <w:rFonts w:ascii="Arial" w:cs="Arial" w:eastAsia="Arial" w:hAnsi="Arial"/>
          <w:sz w:val="18"/>
          <w:szCs w:val="18"/>
          <w:color w:val="auto"/>
        </w:rPr>
        <w:t>paper proxy card from Fabrinet and indicate their vote by completing, signing and dating the card where indicated and by returning it in the prepaid envelope that will be included with the proxy card. Please follow the procedures outlined in the Notice to request a paper proxy card.</w:t>
      </w:r>
    </w:p>
    <w:p>
      <w:pPr>
        <w:spacing w:after="0" w:line="77" w:lineRule="exact"/>
        <w:rPr>
          <w:sz w:val="20"/>
          <w:szCs w:val="20"/>
          <w:color w:val="auto"/>
        </w:rPr>
      </w:pPr>
    </w:p>
    <w:p>
      <w:pPr>
        <w:jc w:val="both"/>
        <w:ind w:left="294" w:right="920"/>
        <w:spacing w:after="0" w:line="238" w:lineRule="auto"/>
        <w:rPr>
          <w:sz w:val="20"/>
          <w:szCs w:val="20"/>
          <w:color w:val="auto"/>
        </w:rPr>
      </w:pPr>
      <w:r>
        <w:rPr>
          <w:rFonts w:ascii="Arial" w:cs="Arial" w:eastAsia="Arial" w:hAnsi="Arial"/>
          <w:sz w:val="18"/>
          <w:szCs w:val="18"/>
          <w:color w:val="auto"/>
        </w:rPr>
        <w:t>We may use the Broadridge QuickVote™ service to assist beneficial shareholders with voting their shares over the telephone. Alternatively, Kingsdale Advisors may contact beneficial shareholders to assist them with conveniently voting their shares directly over the phone. If you have any questions about the Annual Meeting, please contact Kingsdale by telephone at (866) 228-3049 (toll-free in North America) or (416) 867-2272 (call collect outside North America), or by email at contactus@kingsdaleadvisors.com.</w:t>
      </w:r>
    </w:p>
    <w:p>
      <w:pPr>
        <w:spacing w:after="0" w:line="186" w:lineRule="exact"/>
        <w:rPr>
          <w:sz w:val="20"/>
          <w:szCs w:val="20"/>
          <w:color w:val="auto"/>
        </w:rPr>
      </w:pPr>
    </w:p>
    <w:p>
      <w:pPr>
        <w:jc w:val="both"/>
        <w:ind w:left="274" w:right="1120" w:hanging="274"/>
        <w:spacing w:after="0" w:line="257" w:lineRule="auto"/>
        <w:tabs>
          <w:tab w:leader="none" w:pos="27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shareholder of record and as a beneficial owner?</w:t>
      </w:r>
    </w:p>
    <w:p>
      <w:pPr>
        <w:spacing w:after="0" w:line="51" w:lineRule="exact"/>
        <w:rPr>
          <w:sz w:val="20"/>
          <w:szCs w:val="20"/>
          <w:color w:val="auto"/>
        </w:rPr>
      </w:pPr>
    </w:p>
    <w:p>
      <w:pPr>
        <w:jc w:val="both"/>
        <w:ind w:left="274" w:right="920" w:hanging="274"/>
        <w:spacing w:after="0" w:line="239"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Shareholder of Record. </w:t>
      </w:r>
      <w:r>
        <w:rPr>
          <w:rFonts w:ascii="Arial" w:cs="Arial" w:eastAsia="Arial" w:hAnsi="Arial"/>
          <w:sz w:val="18"/>
          <w:szCs w:val="18"/>
          <w:color w:val="auto"/>
        </w:rPr>
        <w:t>If your shares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directly in your name with our transfer agent, Computershare Trust Company, you are considered the “shareholder of record” with respect to those shares, and we have sent the Notice directly to you. As a shareholder of record, you have the right to grant your voting proxy directly to us or to a third party, or to vote virtually during the Annual Meeting.</w:t>
      </w:r>
    </w:p>
    <w:p>
      <w:pPr>
        <w:spacing w:after="0" w:line="75" w:lineRule="exact"/>
        <w:rPr>
          <w:rFonts w:ascii="Arial" w:cs="Arial" w:eastAsia="Arial" w:hAnsi="Arial"/>
          <w:sz w:val="18"/>
          <w:szCs w:val="18"/>
          <w:color w:val="auto"/>
        </w:rPr>
      </w:pPr>
    </w:p>
    <w:p>
      <w:pPr>
        <w:jc w:val="both"/>
        <w:ind w:left="294" w:right="920"/>
        <w:spacing w:after="0" w:line="23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If your shares are held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account or by a bank or nominee, you are considered the “beneficial owner” of shares held in “street name,” and the Notice is being forwarded to you by your broker, bank or nominee (who is considered the shareholder of record with respect to those shares). As the beneficial owner, you have the right to direct your broker, bank or nominee how to vote your shares. Your broker, bank or nominee has enclosed or provided voting instructions for you to use in directing the broker, bank or nominee how to vote your shares. You are also invited to attend the Annual Meeting. However, because you are not the shareholder of record, you may not vote your shares virtually during the Annual Meeting unless you obtain a “legal proxy” from your broker, bank or nominee giving you the right to vote the shares at the Annual Meeting.</w:t>
      </w:r>
    </w:p>
    <w:p>
      <w:pPr>
        <w:spacing w:after="0" w:line="729" w:lineRule="exact"/>
        <w:rPr>
          <w:sz w:val="20"/>
          <w:szCs w:val="20"/>
          <w:color w:val="auto"/>
        </w:rPr>
      </w:pPr>
    </w:p>
    <w:p>
      <w:pPr>
        <w:sectPr>
          <w:pgSz w:w="11900" w:h="16838" w:orient="portrait"/>
          <w:cols w:equalWidth="0" w:num="2">
            <w:col w:w="5340" w:space="326"/>
            <w:col w:w="5354"/>
          </w:cols>
          <w:pgMar w:left="440" w:top="114" w:right="4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6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60" w:type="dxa"/>
            <w:vAlign w:val="bottom"/>
          </w:tcPr>
          <w:p>
            <w:pPr>
              <w:jc w:val="right"/>
              <w:ind w:right="857"/>
              <w:spacing w:after="0"/>
              <w:rPr>
                <w:sz w:val="20"/>
                <w:szCs w:val="20"/>
                <w:color w:val="auto"/>
              </w:rPr>
            </w:pPr>
            <w:r>
              <w:rPr>
                <w:rFonts w:ascii="Arial" w:cs="Arial" w:eastAsia="Arial" w:hAnsi="Arial"/>
                <w:sz w:val="13"/>
                <w:szCs w:val="13"/>
                <w:color w:val="auto"/>
              </w:rPr>
              <w:t>9</w:t>
            </w:r>
          </w:p>
        </w:tc>
      </w:tr>
      <w:tr>
        <w:trPr>
          <w:trHeight w:val="224"/>
        </w:trPr>
        <w:tc>
          <w:tcPr>
            <w:tcW w:w="66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ANNUAL MEETING AND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If you hold your shares through a broker and do not provide your broker with specific voting instructions, your broker will have the discretion to vote your shares only on routine matters. As a result:</w:t>
      </w:r>
    </w:p>
    <w:p>
      <w:pPr>
        <w:spacing w:after="0" w:line="66" w:lineRule="exact"/>
        <w:rPr>
          <w:sz w:val="20"/>
          <w:szCs w:val="20"/>
          <w:color w:val="auto"/>
        </w:rPr>
      </w:pPr>
    </w:p>
    <w:p>
      <w:pPr>
        <w:jc w:val="both"/>
        <w:ind w:left="580" w:hanging="166"/>
        <w:spacing w:after="0" w:line="245" w:lineRule="auto"/>
        <w:tabs>
          <w:tab w:leader="none" w:pos="580" w:val="left"/>
        </w:tabs>
        <w:numPr>
          <w:ilvl w:val="1"/>
          <w:numId w:val="31"/>
        </w:numPr>
        <w:rPr>
          <w:rFonts w:ascii="Arial" w:cs="Arial" w:eastAsia="Arial" w:hAnsi="Arial"/>
          <w:sz w:val="18"/>
          <w:szCs w:val="18"/>
          <w:color w:val="578255"/>
        </w:rPr>
      </w:pPr>
      <w:r>
        <w:rPr>
          <w:rFonts w:ascii="Arial" w:cs="Arial" w:eastAsia="Arial" w:hAnsi="Arial"/>
          <w:sz w:val="18"/>
          <w:szCs w:val="18"/>
          <w:color w:val="auto"/>
        </w:rPr>
        <w:t>Your broker will have the authority to exercise discretion to vote your shares with respect to the</w:t>
      </w:r>
    </w:p>
    <w:p>
      <w:pPr>
        <w:jc w:val="both"/>
        <w:ind w:left="580"/>
        <w:spacing w:after="0" w:line="239" w:lineRule="auto"/>
        <w:rPr>
          <w:rFonts w:ascii="Arial" w:cs="Arial" w:eastAsia="Arial" w:hAnsi="Arial"/>
          <w:sz w:val="18"/>
          <w:szCs w:val="18"/>
          <w:color w:val="578255"/>
        </w:rPr>
      </w:pPr>
      <w:r>
        <w:rPr>
          <w:rFonts w:ascii="Arial" w:cs="Arial" w:eastAsia="Arial" w:hAnsi="Arial"/>
          <w:sz w:val="18"/>
          <w:szCs w:val="18"/>
          <w:color w:val="auto"/>
        </w:rPr>
        <w:t>ratification of the appointment of PricewaterhouseCoopers ABAS Ltd. as our independent registered public accounting firm for our fiscal year ending June 27, 2025, because the rules of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treat that matter as routine.</w:t>
      </w:r>
    </w:p>
    <w:p>
      <w:pPr>
        <w:spacing w:after="0" w:line="68" w:lineRule="exact"/>
        <w:rPr>
          <w:rFonts w:ascii="Arial" w:cs="Arial" w:eastAsia="Arial" w:hAnsi="Arial"/>
          <w:sz w:val="18"/>
          <w:szCs w:val="18"/>
          <w:color w:val="578255"/>
        </w:rPr>
      </w:pPr>
    </w:p>
    <w:p>
      <w:pPr>
        <w:jc w:val="both"/>
        <w:ind w:left="580" w:hanging="166"/>
        <w:spacing w:after="0" w:line="242" w:lineRule="auto"/>
        <w:tabs>
          <w:tab w:leader="none" w:pos="580" w:val="left"/>
        </w:tabs>
        <w:numPr>
          <w:ilvl w:val="1"/>
          <w:numId w:val="31"/>
        </w:numPr>
        <w:rPr>
          <w:rFonts w:ascii="Arial" w:cs="Arial" w:eastAsia="Arial" w:hAnsi="Arial"/>
          <w:sz w:val="18"/>
          <w:szCs w:val="18"/>
          <w:color w:val="578255"/>
        </w:rPr>
      </w:pPr>
      <w:r>
        <w:rPr>
          <w:rFonts w:ascii="Arial" w:cs="Arial" w:eastAsia="Arial" w:hAnsi="Arial"/>
          <w:sz w:val="18"/>
          <w:szCs w:val="18"/>
          <w:color w:val="auto"/>
        </w:rPr>
        <w:t>Your broker will not have the authority to exercise discretion to vote your shares with respect to the election of directors and the advisory vote to approve the compensation of our named executive officers because NYSE rules treat those matters as non-routine.</w:t>
      </w:r>
    </w:p>
    <w:p>
      <w:pPr>
        <w:spacing w:after="0" w:line="178" w:lineRule="exact"/>
        <w:rPr>
          <w:rFonts w:ascii="Arial" w:cs="Arial" w:eastAsia="Arial" w:hAnsi="Arial"/>
          <w:sz w:val="18"/>
          <w:szCs w:val="18"/>
          <w:color w:val="578255"/>
        </w:rPr>
      </w:pPr>
    </w:p>
    <w:p>
      <w:pPr>
        <w:ind w:left="320" w:right="840" w:hanging="266"/>
        <w:spacing w:after="0" w:line="281" w:lineRule="auto"/>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Annual Meeting?</w:t>
      </w:r>
    </w:p>
    <w:p>
      <w:pPr>
        <w:spacing w:after="0" w:line="28" w:lineRule="exact"/>
        <w:rPr>
          <w:sz w:val="20"/>
          <w:szCs w:val="20"/>
          <w:color w:val="auto"/>
        </w:rPr>
      </w:pPr>
    </w:p>
    <w:p>
      <w:pPr>
        <w:jc w:val="both"/>
        <w:ind w:left="320" w:hanging="266"/>
        <w:spacing w:after="0" w:line="239"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proxy holders will have discretion to vote on those matters in accordance with their best judgment. We do not currently anticipate that any other matters will be raised at the Annual Meeting.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 Can I change my vote?</w:t>
      </w:r>
    </w:p>
    <w:p>
      <w:pPr>
        <w:spacing w:after="0" w:line="104" w:lineRule="exact"/>
        <w:rPr>
          <w:sz w:val="20"/>
          <w:szCs w:val="20"/>
          <w:color w:val="auto"/>
        </w:rPr>
      </w:pPr>
    </w:p>
    <w:p>
      <w:pPr>
        <w:jc w:val="both"/>
        <w:ind w:left="320" w:hanging="266"/>
        <w:spacing w:after="0" w:line="247"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any rules your broker, bank or nominee may have, you may change your vote at any time before the electronic polls close at the Annual Meeting.</w:t>
      </w:r>
    </w:p>
    <w:p>
      <w:pPr>
        <w:spacing w:after="0" w:line="65" w:lineRule="exact"/>
        <w:rPr>
          <w:rFonts w:ascii="Arial" w:cs="Arial" w:eastAsia="Arial" w:hAnsi="Arial"/>
          <w:sz w:val="18"/>
          <w:szCs w:val="18"/>
          <w:color w:val="auto"/>
        </w:rPr>
      </w:pPr>
    </w:p>
    <w:p>
      <w:pPr>
        <w:jc w:val="both"/>
        <w:ind w:left="340"/>
        <w:spacing w:after="0" w:line="237" w:lineRule="auto"/>
        <w:rPr>
          <w:rFonts w:ascii="Arial" w:cs="Arial" w:eastAsia="Arial" w:hAnsi="Arial"/>
          <w:sz w:val="18"/>
          <w:szCs w:val="18"/>
          <w:color w:val="auto"/>
        </w:rPr>
      </w:pPr>
      <w:r>
        <w:rPr>
          <w:rFonts w:ascii="Arial" w:cs="Arial" w:eastAsia="Arial" w:hAnsi="Arial"/>
          <w:sz w:val="18"/>
          <w:szCs w:val="18"/>
          <w:color w:val="auto"/>
        </w:rPr>
        <w:t>If you are the shareholder of record, you may change your vote by (1) granting a new proxy bearing a later date (which automatically revokes the earlier proxy) using any of the voting methods described above (and until the applicable deadline for each method), (2) providing a written notice of revocation to our Corporate Secretary, c/o Fabrinet USA, Inc., 4900 Patrick Henry Drive, Santa Clara, CA 95054 prior to your shares being voted, or (3) virtually attending the Annual Meeting and voting online during the meeting. Attending the Annual Meeting will not cause your previously granted proxy to be revoked unless you specifically request this.</w:t>
      </w:r>
    </w:p>
    <w:p>
      <w:pPr>
        <w:spacing w:after="0" w:line="81" w:lineRule="exact"/>
        <w:rPr>
          <w:rFonts w:ascii="Arial" w:cs="Arial" w:eastAsia="Arial" w:hAnsi="Arial"/>
          <w:sz w:val="18"/>
          <w:szCs w:val="18"/>
          <w:color w:val="auto"/>
        </w:rPr>
      </w:pPr>
    </w:p>
    <w:p>
      <w:pPr>
        <w:jc w:val="both"/>
        <w:ind w:left="340"/>
        <w:spacing w:after="0" w:line="247" w:lineRule="auto"/>
        <w:rPr>
          <w:rFonts w:ascii="Arial" w:cs="Arial" w:eastAsia="Arial" w:hAnsi="Arial"/>
          <w:sz w:val="18"/>
          <w:szCs w:val="18"/>
          <w:color w:val="auto"/>
        </w:rPr>
      </w:pPr>
      <w:r>
        <w:rPr>
          <w:rFonts w:ascii="Arial" w:cs="Arial" w:eastAsia="Arial" w:hAnsi="Arial"/>
          <w:sz w:val="18"/>
          <w:szCs w:val="18"/>
          <w:color w:val="auto"/>
        </w:rPr>
        <w:t>If you are the beneficial owner of shares held in street name, you may change your vote by (1) submitting new voting instructions to your broker, bank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00"/>
        <w:spacing w:after="0" w:line="244" w:lineRule="auto"/>
        <w:rPr>
          <w:sz w:val="20"/>
          <w:szCs w:val="20"/>
          <w:color w:val="auto"/>
        </w:rPr>
      </w:pPr>
      <w:r>
        <w:rPr>
          <w:rFonts w:ascii="Arial" w:cs="Arial" w:eastAsia="Arial" w:hAnsi="Arial"/>
          <w:sz w:val="18"/>
          <w:szCs w:val="18"/>
          <w:color w:val="auto"/>
        </w:rPr>
        <w:t>nominee, or (2) attending the Annual Meeting and voting online during the meeting if you first have obtained a legal proxy from your broker, bank or nominee giving you the right to vote your shares at the Annual Meeting.</w:t>
      </w:r>
    </w:p>
    <w:p>
      <w:pPr>
        <w:spacing w:after="0" w:line="176" w:lineRule="exact"/>
        <w:rPr>
          <w:sz w:val="20"/>
          <w:szCs w:val="20"/>
          <w:color w:val="auto"/>
        </w:rPr>
      </w:pPr>
    </w:p>
    <w:p>
      <w:pPr>
        <w:ind w:left="280" w:right="100" w:hanging="274"/>
        <w:spacing w:after="0" w:line="257" w:lineRule="auto"/>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decide to attend the Annual Meeting but I have already voted or submitted a proxy card covering my shares?</w:t>
      </w:r>
    </w:p>
    <w:p>
      <w:pPr>
        <w:spacing w:after="0" w:line="51" w:lineRule="exact"/>
        <w:rPr>
          <w:sz w:val="20"/>
          <w:szCs w:val="20"/>
          <w:color w:val="auto"/>
        </w:rPr>
      </w:pPr>
    </w:p>
    <w:p>
      <w:pPr>
        <w:jc w:val="both"/>
        <w:ind w:left="280" w:hanging="274"/>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any rules your broker, bank or nominee may have, you may attend the Annual Meeting and vote during the meeting even if you have already voted or submitted a proxy card. Any previous votes that were submitted by you will be superseded by the vote you cast at the Annual Meeting. Please be aware that attendance at the Annual Meeting will not, by itself, revoke a proxy.</w:t>
      </w:r>
    </w:p>
    <w:p>
      <w:pPr>
        <w:spacing w:after="0" w:line="72" w:lineRule="exact"/>
        <w:rPr>
          <w:rFonts w:ascii="Arial" w:cs="Arial" w:eastAsia="Arial" w:hAnsi="Arial"/>
          <w:sz w:val="18"/>
          <w:szCs w:val="18"/>
          <w:color w:val="auto"/>
        </w:rPr>
      </w:pPr>
    </w:p>
    <w:p>
      <w:pPr>
        <w:jc w:val="both"/>
        <w:ind w:left="300"/>
        <w:spacing w:after="0" w:line="242" w:lineRule="auto"/>
        <w:rPr>
          <w:rFonts w:ascii="Arial" w:cs="Arial" w:eastAsia="Arial" w:hAnsi="Arial"/>
          <w:sz w:val="18"/>
          <w:szCs w:val="18"/>
          <w:color w:val="auto"/>
        </w:rPr>
      </w:pPr>
      <w:r>
        <w:rPr>
          <w:rFonts w:ascii="Arial" w:cs="Arial" w:eastAsia="Arial" w:hAnsi="Arial"/>
          <w:sz w:val="18"/>
          <w:szCs w:val="18"/>
          <w:color w:val="auto"/>
        </w:rPr>
        <w:t>If a broker, bank or nominee beneficially holds your shares in street name and you wish to attend the Annual Meeting and vote during the meeting, you must obtain a legal proxy from the broker, bank or nominee holding your shares that gives you the right to vote the shares.</w:t>
      </w:r>
    </w:p>
    <w:p>
      <w:pPr>
        <w:spacing w:after="0" w:line="179" w:lineRule="exact"/>
        <w:rPr>
          <w:sz w:val="20"/>
          <w:szCs w:val="20"/>
          <w:color w:val="auto"/>
        </w:rPr>
      </w:pPr>
    </w:p>
    <w:p>
      <w:pPr>
        <w:ind w:left="280" w:right="180" w:hanging="274"/>
        <w:spacing w:after="0" w:line="281" w:lineRule="auto"/>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8" w:lineRule="exact"/>
        <w:rPr>
          <w:sz w:val="20"/>
          <w:szCs w:val="20"/>
          <w:color w:val="auto"/>
        </w:rPr>
      </w:pPr>
    </w:p>
    <w:p>
      <w:pPr>
        <w:jc w:val="both"/>
        <w:ind w:left="280" w:hanging="274"/>
        <w:spacing w:after="0" w:line="242"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Is my vote confidential?</w:t>
      </w:r>
    </w:p>
    <w:p>
      <w:pPr>
        <w:spacing w:after="0" w:line="104" w:lineRule="exact"/>
        <w:rPr>
          <w:sz w:val="20"/>
          <w:szCs w:val="20"/>
          <w:color w:val="auto"/>
        </w:rPr>
      </w:pPr>
    </w:p>
    <w:p>
      <w:pPr>
        <w:jc w:val="both"/>
        <w:ind w:left="280" w:hanging="274"/>
        <w:spacing w:after="0" w:line="237"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Your vote will not be disclosed either within Fabrinet or to third parties, except: (1) as necessary to meet applicable legal requirements, (2) to allow for the tabulation of votes and certification of the vote, and</w:t>
      </w:r>
    </w:p>
    <w:p>
      <w:pPr>
        <w:spacing w:after="0" w:line="4" w:lineRule="exact"/>
        <w:rPr>
          <w:rFonts w:ascii="Arial" w:cs="Arial" w:eastAsia="Arial" w:hAnsi="Arial"/>
          <w:sz w:val="18"/>
          <w:szCs w:val="18"/>
          <w:color w:val="auto"/>
        </w:rPr>
      </w:pPr>
    </w:p>
    <w:p>
      <w:pPr>
        <w:jc w:val="both"/>
        <w:ind w:left="280" w:right="20" w:hanging="4"/>
        <w:spacing w:after="0"/>
        <w:tabs>
          <w:tab w:leader="none" w:pos="6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facilitate a successful proxy solicitation. Occasionally, shareholders provide written comments on their proxy cards, which may be forwarded to Fabrinet’s management.</w:t>
      </w:r>
    </w:p>
    <w:p>
      <w:pPr>
        <w:spacing w:after="0" w:line="180" w:lineRule="exact"/>
        <w:rPr>
          <w:sz w:val="20"/>
          <w:szCs w:val="20"/>
          <w:color w:val="auto"/>
        </w:rPr>
      </w:pPr>
    </w:p>
    <w:p>
      <w:pPr>
        <w:ind w:left="280" w:right="20" w:hanging="274"/>
        <w:spacing w:after="0" w:line="281" w:lineRule="auto"/>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Annual Meeting?</w:t>
      </w:r>
    </w:p>
    <w:p>
      <w:pPr>
        <w:spacing w:after="0" w:line="28" w:lineRule="exact"/>
        <w:rPr>
          <w:sz w:val="20"/>
          <w:szCs w:val="20"/>
          <w:color w:val="auto"/>
        </w:rPr>
      </w:pPr>
    </w:p>
    <w:p>
      <w:pPr>
        <w:jc w:val="both"/>
        <w:ind w:left="280" w:hanging="274"/>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Annual Meeting. We will also disclose voting results on a Form 8-K filed with the SEC within four business days after the Annual Meeting, which will also be available in the “Investors—Financials &amp; Filings—SEC Filings” section of our website at www.fabrinet.com.</w:t>
      </w:r>
    </w:p>
    <w:p>
      <w:pPr>
        <w:spacing w:after="0" w:line="291"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83"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10</w:t>
      </w:r>
      <w:r>
        <w:rPr>
          <w:sz w:val="20"/>
          <w:szCs w:val="20"/>
          <w:color w:val="auto"/>
        </w:rPr>
        <w:tab/>
      </w:r>
      <w:r>
        <w:rPr>
          <w:sz w:val="1"/>
          <w:szCs w:val="1"/>
          <w:color w:val="auto"/>
        </w:rPr>
        <w:drawing>
          <wp:inline distT="0" distB="0" distL="0" distR="0">
            <wp:extent cx="342900" cy="7683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16" w:name="page17"/>
    <w:bookmarkEnd w:id="16"/>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QUESTIONS AND ANSWERS ABOUT THE ANNUAL MEETING AND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80" w:right="60" w:hanging="266"/>
        <w:spacing w:after="0" w:line="281" w:lineRule="auto"/>
        <w:tabs>
          <w:tab w:leader="none" w:pos="1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soliciting votes for the Annual Meeting?</w:t>
      </w:r>
    </w:p>
    <w:p>
      <w:pPr>
        <w:spacing w:after="0" w:line="28" w:lineRule="exact"/>
        <w:rPr>
          <w:sz w:val="20"/>
          <w:szCs w:val="20"/>
          <w:color w:val="auto"/>
        </w:rPr>
      </w:pPr>
    </w:p>
    <w:p>
      <w:pPr>
        <w:jc w:val="both"/>
        <w:ind w:left="1180" w:hanging="266"/>
        <w:spacing w:after="0" w:line="23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We have engaged Kingsdale Advisors as our shareholder advisor and proxy solicitation agent and will pay fees of approximately $20,500, plus certain out-of-pocket expenses, to Kingsdale to assist us with the solicitation of proxies. Our directors, officers and employees also may solicit proxies in person or by other means of communication. Such directors, officers and employees will not be additionally compensated, but may be reimbursed for reasonable out-of-pocket expenses in connection with such solicitation.</w:t>
      </w:r>
    </w:p>
    <w:p>
      <w:pPr>
        <w:spacing w:after="0" w:line="73" w:lineRule="exact"/>
        <w:rPr>
          <w:rFonts w:ascii="Arial" w:cs="Arial" w:eastAsia="Arial" w:hAnsi="Arial"/>
          <w:sz w:val="18"/>
          <w:szCs w:val="18"/>
          <w:color w:val="auto"/>
        </w:rPr>
      </w:pPr>
    </w:p>
    <w:p>
      <w:pPr>
        <w:jc w:val="both"/>
        <w:ind w:left="1200"/>
        <w:spacing w:after="0" w:line="244" w:lineRule="auto"/>
        <w:rPr>
          <w:rFonts w:ascii="Arial" w:cs="Arial" w:eastAsia="Arial" w:hAnsi="Arial"/>
          <w:sz w:val="18"/>
          <w:szCs w:val="18"/>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76" w:lineRule="exact"/>
        <w:rPr>
          <w:sz w:val="20"/>
          <w:szCs w:val="20"/>
          <w:color w:val="auto"/>
        </w:rPr>
      </w:pPr>
    </w:p>
    <w:p>
      <w:pPr>
        <w:ind w:left="1180" w:right="180" w:hanging="266"/>
        <w:spacing w:after="0" w:line="250" w:lineRule="auto"/>
        <w:tabs>
          <w:tab w:leader="none" w:pos="1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shareholders or to nominate individuals to serve as directors?</w:t>
      </w:r>
    </w:p>
    <w:p>
      <w:pPr>
        <w:spacing w:after="0" w:line="56" w:lineRule="exact"/>
        <w:rPr>
          <w:sz w:val="20"/>
          <w:szCs w:val="20"/>
          <w:color w:val="auto"/>
        </w:rPr>
      </w:pPr>
    </w:p>
    <w:p>
      <w:pPr>
        <w:jc w:val="both"/>
        <w:ind w:left="1180" w:hanging="266"/>
        <w:spacing w:after="0" w:line="253"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Shareholders may submit proposals, including recommendations of director candidates, for consideration at future shareholder meetings.</w:t>
      </w:r>
    </w:p>
    <w:p>
      <w:pPr>
        <w:spacing w:after="0" w:line="60" w:lineRule="exact"/>
        <w:rPr>
          <w:rFonts w:ascii="Arial" w:cs="Arial" w:eastAsia="Arial" w:hAnsi="Arial"/>
          <w:sz w:val="18"/>
          <w:szCs w:val="18"/>
          <w:color w:val="auto"/>
        </w:rPr>
      </w:pPr>
    </w:p>
    <w:p>
      <w:pPr>
        <w:jc w:val="both"/>
        <w:ind w:left="1200"/>
        <w:spacing w:after="0" w:line="253" w:lineRule="auto"/>
        <w:rPr>
          <w:rFonts w:ascii="Arial" w:cs="Arial" w:eastAsia="Arial" w:hAnsi="Arial"/>
          <w:sz w:val="18"/>
          <w:szCs w:val="18"/>
          <w:color w:val="auto"/>
        </w:rPr>
      </w:pPr>
      <w:r>
        <w:rPr>
          <w:rFonts w:ascii="Arial" w:cs="Arial" w:eastAsia="Arial" w:hAnsi="Arial"/>
          <w:sz w:val="17"/>
          <w:szCs w:val="17"/>
          <w:b w:val="1"/>
          <w:bCs w:val="1"/>
          <w:color w:val="auto"/>
        </w:rPr>
        <w:t xml:space="preserve">For inclusion in Fabrinet’s proxy materials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may present proper proposals for inclusion in our proxy statement and for consideration at our next annual meeting of shareholders by submitting their proposals in writing to our Corporate Secretary in a timely manner. In order to be included in the proxy statement for our 2025 annual meeting of shareholders, shareholder proposals must be received by our Corporate Secretary no later than June 25, 2025 and must otherwise comply with the requirements of Rule 14a-8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w:t>
      </w:r>
    </w:p>
    <w:p>
      <w:pPr>
        <w:spacing w:after="0" w:line="267" w:lineRule="exact"/>
        <w:rPr>
          <w:rFonts w:ascii="Arial" w:cs="Arial" w:eastAsia="Arial" w:hAnsi="Arial"/>
          <w:sz w:val="18"/>
          <w:szCs w:val="18"/>
          <w:color w:val="auto"/>
        </w:rPr>
      </w:pPr>
    </w:p>
    <w:p>
      <w:pPr>
        <w:jc w:val="both"/>
        <w:ind w:left="120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To be brought before an annual meeting </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our memorandum and articles of association establish an advance notice procedure for shareholders who wish to present certain matters before an annual meeting of shareholders.</w:t>
      </w:r>
    </w:p>
    <w:p>
      <w:pPr>
        <w:spacing w:after="0" w:line="68" w:lineRule="exact"/>
        <w:rPr>
          <w:rFonts w:ascii="Arial" w:cs="Arial" w:eastAsia="Arial" w:hAnsi="Arial"/>
          <w:sz w:val="18"/>
          <w:szCs w:val="18"/>
          <w:color w:val="auto"/>
        </w:rPr>
      </w:pPr>
    </w:p>
    <w:p>
      <w:pPr>
        <w:jc w:val="both"/>
        <w:ind w:left="1200"/>
        <w:spacing w:after="0" w:line="245" w:lineRule="auto"/>
        <w:rPr>
          <w:rFonts w:ascii="Arial" w:cs="Arial" w:eastAsia="Arial" w:hAnsi="Arial"/>
          <w:sz w:val="18"/>
          <w:szCs w:val="18"/>
          <w:color w:val="auto"/>
        </w:rPr>
      </w:pPr>
      <w:r>
        <w:rPr>
          <w:rFonts w:ascii="Arial" w:cs="Arial" w:eastAsia="Arial" w:hAnsi="Arial"/>
          <w:sz w:val="18"/>
          <w:szCs w:val="18"/>
          <w:color w:val="auto"/>
        </w:rPr>
        <w:t>Nominations for the election of directors only can be made (1) by or at the direction of the Board, or</w:t>
      </w:r>
    </w:p>
    <w:p>
      <w:pPr>
        <w:jc w:val="both"/>
        <w:ind w:left="1200" w:firstLine="2"/>
        <w:spacing w:after="0" w:line="242" w:lineRule="auto"/>
        <w:tabs>
          <w:tab w:leader="none" w:pos="15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by a shareholder who has delivered written notice to our Corporate Secretary within the Notice Period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 w:right="920"/>
        <w:spacing w:after="0" w:line="244" w:lineRule="auto"/>
        <w:rPr>
          <w:sz w:val="20"/>
          <w:szCs w:val="20"/>
          <w:color w:val="auto"/>
        </w:rPr>
      </w:pPr>
      <w:r>
        <w:rPr>
          <w:rFonts w:ascii="Arial" w:cs="Arial" w:eastAsia="Arial" w:hAnsi="Arial"/>
          <w:sz w:val="18"/>
          <w:szCs w:val="18"/>
          <w:color w:val="auto"/>
        </w:rPr>
        <w:t>defined below) and who was a shareholder at the time of such notice and as of the record date for such meeting. The notice must contain specified information about the nominees and about the shareholder proposing such nominations.</w:t>
      </w:r>
    </w:p>
    <w:p>
      <w:pPr>
        <w:spacing w:after="0" w:line="68" w:lineRule="exact"/>
        <w:rPr>
          <w:sz w:val="20"/>
          <w:szCs w:val="20"/>
          <w:color w:val="auto"/>
        </w:rPr>
      </w:pPr>
    </w:p>
    <w:p>
      <w:pPr>
        <w:jc w:val="both"/>
        <w:ind w:left="6" w:right="920"/>
        <w:spacing w:after="0" w:line="241" w:lineRule="auto"/>
        <w:rPr>
          <w:sz w:val="20"/>
          <w:szCs w:val="20"/>
          <w:color w:val="auto"/>
        </w:rPr>
      </w:pPr>
      <w:r>
        <w:rPr>
          <w:rFonts w:ascii="Arial" w:cs="Arial" w:eastAsia="Arial" w:hAnsi="Arial"/>
          <w:sz w:val="18"/>
          <w:szCs w:val="18"/>
          <w:color w:val="auto"/>
        </w:rPr>
        <w:t>Our memorandum and articles of association also provide that the only business that may be conducted at an annual meeting is business that is</w:t>
      </w:r>
    </w:p>
    <w:p>
      <w:pPr>
        <w:spacing w:after="0" w:line="2" w:lineRule="exact"/>
        <w:rPr>
          <w:sz w:val="20"/>
          <w:szCs w:val="20"/>
          <w:color w:val="auto"/>
        </w:rPr>
      </w:pPr>
    </w:p>
    <w:p>
      <w:pPr>
        <w:jc w:val="both"/>
        <w:ind w:left="6" w:right="920" w:hanging="6"/>
        <w:spacing w:after="0" w:line="236" w:lineRule="auto"/>
        <w:tabs>
          <w:tab w:leader="none" w:pos="4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properly brought before the meeting in accordance with our proxy materials with respect to such meeting, (2) properly brought before the meeting by or at the direction of the Board, or (3) properly brought before the meeting by a shareholder who has delivered written notice to our Corporate Secretary, c/o Fabrinet USA, Inc., 4900 Patrick Henry Drive, Santa Clara, CA 95054 within the Notice Period (as defined below) and who is a shareholder at the time of such notice and as of the record date for such meeting. The notice must contain specified information about the matters to be brought before such meeting and about the shareholder proposing such matters.</w:t>
      </w:r>
    </w:p>
    <w:p>
      <w:pPr>
        <w:spacing w:after="0" w:line="76" w:lineRule="exact"/>
        <w:rPr>
          <w:sz w:val="20"/>
          <w:szCs w:val="20"/>
          <w:color w:val="auto"/>
        </w:rPr>
      </w:pPr>
    </w:p>
    <w:p>
      <w:pPr>
        <w:jc w:val="both"/>
        <w:ind w:left="6" w:right="920"/>
        <w:spacing w:after="0" w:line="239" w:lineRule="auto"/>
        <w:rPr>
          <w:sz w:val="20"/>
          <w:szCs w:val="20"/>
          <w:color w:val="auto"/>
        </w:rPr>
      </w:pPr>
      <w:r>
        <w:rPr>
          <w:rFonts w:ascii="Arial" w:cs="Arial" w:eastAsia="Arial" w:hAnsi="Arial"/>
          <w:sz w:val="18"/>
          <w:szCs w:val="18"/>
          <w:color w:val="auto"/>
        </w:rPr>
        <w:t>The “Notice Period” is defined as that period not less than 45 days nor more than 75 days prior to the one-year anniversary of the date on which we first mailed our proxy materials or a notice of availability of proxy materials (whichever is earlier) to shareholders in connection with the preceding year’s annual meeting of shareholders. As a result, the Notice Period for the 2025 annual meeting of shareholders will start on August 9, 2025 and end on September 8, 2025.</w:t>
      </w:r>
    </w:p>
    <w:p>
      <w:pPr>
        <w:spacing w:after="0" w:line="72" w:lineRule="exact"/>
        <w:rPr>
          <w:sz w:val="20"/>
          <w:szCs w:val="20"/>
          <w:color w:val="auto"/>
        </w:rPr>
      </w:pPr>
    </w:p>
    <w:p>
      <w:pPr>
        <w:jc w:val="both"/>
        <w:ind w:left="6" w:right="920"/>
        <w:spacing w:after="0" w:line="238" w:lineRule="auto"/>
        <w:rPr>
          <w:sz w:val="20"/>
          <w:szCs w:val="20"/>
          <w:color w:val="auto"/>
        </w:rPr>
      </w:pPr>
      <w:r>
        <w:rPr>
          <w:rFonts w:ascii="Arial" w:cs="Arial" w:eastAsia="Arial" w:hAnsi="Arial"/>
          <w:sz w:val="18"/>
          <w:szCs w:val="18"/>
          <w:color w:val="auto"/>
        </w:rPr>
        <w:t>In addition, to comply with Rule 14a-19 of the Exchange Act, shareholders who intend to solicit proxies in support of director nominees (other than our nominees) at our 2025 annual meeting of shareholders must provide notice to our Corporate Secretary that sets forth the information required by Rule 14a-19 under the Exchange Act no later than October 13, 2025. Please note that the notice requirement under Rule 14a-19 is in addition to the applicable notice requirements under the advance notice provisions of our memorandum and articles of association as described above.</w:t>
      </w:r>
    </w:p>
    <w:p>
      <w:pPr>
        <w:spacing w:after="0" w:line="75" w:lineRule="exact"/>
        <w:rPr>
          <w:sz w:val="20"/>
          <w:szCs w:val="20"/>
          <w:color w:val="auto"/>
        </w:rPr>
      </w:pPr>
    </w:p>
    <w:p>
      <w:pPr>
        <w:jc w:val="both"/>
        <w:ind w:left="6" w:right="920"/>
        <w:spacing w:after="0" w:line="244" w:lineRule="auto"/>
        <w:rPr>
          <w:sz w:val="20"/>
          <w:szCs w:val="20"/>
          <w:color w:val="auto"/>
        </w:rPr>
      </w:pPr>
      <w:r>
        <w:rPr>
          <w:rFonts w:ascii="Arial" w:cs="Arial" w:eastAsia="Arial" w:hAnsi="Arial"/>
          <w:sz w:val="18"/>
          <w:szCs w:val="18"/>
          <w:color w:val="auto"/>
        </w:rPr>
        <w:t>If a shareholder who has notified us of his or her intention to present a proposal at an annual meeting does not appear to present his or her proposal at such meeting, we are not required to present the proposal for vote at such meeting.</w:t>
      </w:r>
    </w:p>
    <w:p>
      <w:pPr>
        <w:spacing w:after="0" w:line="68" w:lineRule="exact"/>
        <w:rPr>
          <w:sz w:val="20"/>
          <w:szCs w:val="20"/>
          <w:color w:val="auto"/>
        </w:rPr>
      </w:pPr>
    </w:p>
    <w:p>
      <w:pPr>
        <w:jc w:val="both"/>
        <w:ind w:left="6" w:right="940"/>
        <w:spacing w:after="0" w:line="253" w:lineRule="auto"/>
        <w:rPr>
          <w:sz w:val="20"/>
          <w:szCs w:val="20"/>
          <w:color w:val="auto"/>
        </w:rPr>
      </w:pPr>
      <w:r>
        <w:rPr>
          <w:rFonts w:ascii="Arial" w:cs="Arial" w:eastAsia="Arial" w:hAnsi="Arial"/>
          <w:sz w:val="18"/>
          <w:szCs w:val="18"/>
          <w:color w:val="auto"/>
        </w:rPr>
        <w:t>A copy of the full text of the provisions of our memorandum and articles of association discussed above may be obtained by writing to our Corporate</w:t>
      </w:r>
    </w:p>
    <w:p>
      <w:pPr>
        <w:spacing w:after="0" w:line="1121" w:lineRule="exact"/>
        <w:rPr>
          <w:sz w:val="20"/>
          <w:szCs w:val="20"/>
          <w:color w:val="auto"/>
        </w:rPr>
      </w:pPr>
    </w:p>
    <w:p>
      <w:pPr>
        <w:sectPr>
          <w:pgSz w:w="11900" w:h="16838" w:orient="portrait"/>
          <w:cols w:equalWidth="0" w:num="2">
            <w:col w:w="5340" w:space="614"/>
            <w:col w:w="5066"/>
          </w:cols>
          <w:pgMar w:left="440" w:top="114" w:right="4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11</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ANNUAL MEETING AND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Secretary, c/o Fabrinet USA, Inc., 4900 Patrick Henry Drive, Santa Clara, CA 95054, or by accessing Fabrinet’s filings on the SEC’s website at www.sec.gov.</w:t>
      </w:r>
    </w:p>
    <w:p>
      <w:pPr>
        <w:spacing w:after="0" w:line="6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All notices of proposals by shareholders, whether or not included in our proxy materials, should be sent to our Corporate Secretary, c/o Fabrinet USA, Inc., 4900 Patrick Henry Drive, Santa Clara, CA 95054.</w:t>
      </w:r>
    </w:p>
    <w:p>
      <w:pPr>
        <w:spacing w:after="0" w:line="174" w:lineRule="exact"/>
        <w:rPr>
          <w:sz w:val="20"/>
          <w:szCs w:val="20"/>
          <w:color w:val="auto"/>
        </w:rPr>
      </w:pPr>
    </w:p>
    <w:p>
      <w:pPr>
        <w:ind w:left="320" w:right="400" w:hanging="266"/>
        <w:spacing w:after="0" w:line="281" w:lineRule="auto"/>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 separate set of proxy materials or the Fiscal 2024 Annual Report?</w:t>
      </w:r>
    </w:p>
    <w:p>
      <w:pPr>
        <w:spacing w:after="0" w:line="28" w:lineRule="exact"/>
        <w:rPr>
          <w:sz w:val="20"/>
          <w:szCs w:val="20"/>
          <w:color w:val="auto"/>
        </w:rPr>
      </w:pPr>
    </w:p>
    <w:p>
      <w:pPr>
        <w:jc w:val="both"/>
        <w:ind w:left="320" w:hanging="26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share an address with another shareholder, each shareholder may not receive a separate copy of our proxy materials and Fiscal 2024 Annual Report. Upon written request we will promptly send a separate copy of our proxy materials and Fiscal 2024 Annual Report, without charge, to any shareholder at a shared address where a single copy of the documents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80"/>
        <w:spacing w:after="0" w:line="239" w:lineRule="auto"/>
        <w:rPr>
          <w:sz w:val="20"/>
          <w:szCs w:val="20"/>
          <w:color w:val="auto"/>
        </w:rPr>
      </w:pPr>
      <w:r>
        <w:rPr>
          <w:rFonts w:ascii="Arial" w:cs="Arial" w:eastAsia="Arial" w:hAnsi="Arial"/>
          <w:sz w:val="18"/>
          <w:szCs w:val="18"/>
          <w:color w:val="auto"/>
        </w:rPr>
        <w:t>delivered. Shareholders may request additional copies of our proxy materials and Fiscal 2024 Annual Report by contacting our investor relations at IR@fabrinet.com, or writing to Fabrinet, c/o Fabrinet USA, Inc., 4900 Patrick Henry Drive, Santa Clara, CA 95054, Attention: Investor Relations. Shareholders who share an address and received multiple copies of our proxy materials and Fiscal 2024 Annual Report can also request to receive a single copy by following the instructions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Whom do I contact if I have questions?</w:t>
      </w:r>
    </w:p>
    <w:p>
      <w:pPr>
        <w:spacing w:after="0" w:line="104" w:lineRule="exact"/>
        <w:rPr>
          <w:sz w:val="20"/>
          <w:szCs w:val="20"/>
          <w:color w:val="auto"/>
        </w:rPr>
      </w:pPr>
    </w:p>
    <w:p>
      <w:pPr>
        <w:jc w:val="both"/>
        <w:ind w:left="280" w:hanging="274"/>
        <w:spacing w:after="0" w:line="241" w:lineRule="auto"/>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 have any questions or need assistance completing your proxy or voting instruction form, please contact Kingsdale Advisors by telephone at</w:t>
      </w:r>
    </w:p>
    <w:p>
      <w:pPr>
        <w:spacing w:after="0" w:line="1" w:lineRule="exact"/>
        <w:rPr>
          <w:rFonts w:ascii="Arial" w:cs="Arial" w:eastAsia="Arial" w:hAnsi="Arial"/>
          <w:sz w:val="18"/>
          <w:szCs w:val="18"/>
          <w:color w:val="auto"/>
        </w:rPr>
      </w:pPr>
    </w:p>
    <w:p>
      <w:pPr>
        <w:ind w:left="780" w:hanging="504"/>
        <w:spacing w:after="0" w:line="234" w:lineRule="auto"/>
        <w:tabs>
          <w:tab w:leader="none" w:pos="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228-3049 (toll-free within North America) or</w:t>
      </w:r>
    </w:p>
    <w:p>
      <w:pPr>
        <w:ind w:left="860" w:hanging="584"/>
        <w:spacing w:after="0" w:line="235"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867-2272  (call  collect  outside  of  North</w:t>
      </w:r>
    </w:p>
    <w:p>
      <w:pPr>
        <w:ind w:left="280"/>
        <w:spacing w:after="0" w:line="250" w:lineRule="auto"/>
        <w:rPr>
          <w:rFonts w:ascii="Arial" w:cs="Arial" w:eastAsia="Arial" w:hAnsi="Arial"/>
          <w:sz w:val="18"/>
          <w:szCs w:val="18"/>
          <w:color w:val="auto"/>
        </w:rPr>
      </w:pPr>
      <w:r>
        <w:rPr>
          <w:rFonts w:ascii="Arial" w:cs="Arial" w:eastAsia="Arial" w:hAnsi="Arial"/>
          <w:sz w:val="18"/>
          <w:szCs w:val="18"/>
          <w:color w:val="auto"/>
        </w:rPr>
        <w:t>America), or by email at contactus@kingsdaleadvisors.com.</w:t>
      </w:r>
    </w:p>
    <w:p>
      <w:pPr>
        <w:spacing w:after="0" w:line="299"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89"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12</w:t>
      </w:r>
      <w:r>
        <w:rPr>
          <w:sz w:val="20"/>
          <w:szCs w:val="20"/>
          <w:color w:val="auto"/>
        </w:rPr>
        <w:tab/>
      </w:r>
      <w:r>
        <w:rPr>
          <w:sz w:val="1"/>
          <w:szCs w:val="1"/>
          <w:color w:val="auto"/>
        </w:rPr>
        <w:drawing>
          <wp:inline distT="0" distB="0" distL="0" distR="0">
            <wp:extent cx="342900" cy="7747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18" w:name="page19"/>
    <w:bookmarkEnd w:id="1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40"/>
          <w:szCs w:val="40"/>
          <w:b w:val="1"/>
          <w:bCs w:val="1"/>
          <w:color w:val="578255"/>
        </w:rPr>
        <w:t>FISCAL YEAR END</w:t>
      </w:r>
    </w:p>
    <w:p>
      <w:pPr>
        <w:spacing w:after="0" w:line="392" w:lineRule="exact"/>
        <w:rPr>
          <w:sz w:val="20"/>
          <w:szCs w:val="20"/>
          <w:color w:val="auto"/>
        </w:rPr>
      </w:pPr>
    </w:p>
    <w:p>
      <w:pPr>
        <w:jc w:val="both"/>
        <w:ind w:left="920" w:right="940"/>
        <w:spacing w:after="0" w:line="244" w:lineRule="auto"/>
        <w:rPr>
          <w:sz w:val="20"/>
          <w:szCs w:val="20"/>
          <w:color w:val="auto"/>
        </w:rPr>
      </w:pPr>
      <w:r>
        <w:rPr>
          <w:rFonts w:ascii="Arial" w:cs="Arial" w:eastAsia="Arial" w:hAnsi="Arial"/>
          <w:sz w:val="18"/>
          <w:szCs w:val="18"/>
          <w:color w:val="auto"/>
        </w:rPr>
        <w:t>This proxy statement provides information about the matters to be voted on at the Annual Meeting and additional information about Fabrinet and its executive officers and directors. Some of the information is provided as of the end of our 2022, 2023 or 2024 fiscal years, and some information is more recent. Our fiscal years end on the last Friday of June of each calendar year. Our 2022, 2023 and 2024 fiscal years ended on June 24, 2022, June 30, 2023 and June 28, 2024, respectively. Our 2025 fiscal year will end on June 27,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13</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39"/>
          <w:szCs w:val="39"/>
          <w:b w:val="1"/>
          <w:bCs w:val="1"/>
          <w:color w:val="578255"/>
        </w:rPr>
        <w:t>PROPOSAL ONE: ELECTION OF DIRECTORS</w:t>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amended and restated memorandum and articles of association provide that the number of our directors will be fixed from time to time by the Board, but may not consist of more than 15 directors. The Board presently consists of eight directors who are divided into three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classes with overlapping three-year terms as set forth below. Upon expiration of the term of a class of directors, directors for that class will be elected for three-year terms at the annual meeting of shareholders in the year in which that term expires.</w:t>
      </w:r>
    </w:p>
    <w:p>
      <w:pPr>
        <w:spacing w:after="0" w:line="303"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040" w:type="dxa"/>
            <w:vAlign w:val="bottom"/>
            <w:shd w:val="clear" w:color="auto" w:fill="819F7C"/>
          </w:tcPr>
          <w:p>
            <w:pPr>
              <w:jc w:val="center"/>
              <w:spacing w:after="0"/>
              <w:rPr>
                <w:sz w:val="20"/>
                <w:szCs w:val="20"/>
                <w:color w:val="auto"/>
              </w:rPr>
            </w:pPr>
            <w:r>
              <w:rPr>
                <w:rFonts w:ascii="Arial" w:cs="Arial" w:eastAsia="Arial" w:hAnsi="Arial"/>
                <w:sz w:val="17"/>
                <w:szCs w:val="17"/>
                <w:b w:val="1"/>
                <w:bCs w:val="1"/>
                <w:color w:val="FFFFFF"/>
                <w:w w:val="99"/>
              </w:rPr>
              <w:t>Class I Directors</w:t>
            </w:r>
          </w:p>
        </w:tc>
        <w:tc>
          <w:tcPr>
            <w:tcW w:w="2860" w:type="dxa"/>
            <w:vAlign w:val="bottom"/>
            <w:shd w:val="clear" w:color="auto" w:fill="819F7C"/>
          </w:tcPr>
          <w:p>
            <w:pPr>
              <w:jc w:val="center"/>
              <w:ind w:left="132"/>
              <w:spacing w:after="0"/>
              <w:rPr>
                <w:sz w:val="20"/>
                <w:szCs w:val="20"/>
                <w:color w:val="auto"/>
              </w:rPr>
            </w:pPr>
            <w:r>
              <w:rPr>
                <w:rFonts w:ascii="Arial" w:cs="Arial" w:eastAsia="Arial" w:hAnsi="Arial"/>
                <w:sz w:val="17"/>
                <w:szCs w:val="17"/>
                <w:b w:val="1"/>
                <w:bCs w:val="1"/>
                <w:color w:val="FFFFFF"/>
              </w:rPr>
              <w:t>Class II Directors</w:t>
            </w:r>
          </w:p>
        </w:tc>
        <w:tc>
          <w:tcPr>
            <w:tcW w:w="3280" w:type="dxa"/>
            <w:vAlign w:val="bottom"/>
            <w:shd w:val="clear" w:color="auto" w:fill="819F7C"/>
          </w:tcPr>
          <w:p>
            <w:pPr>
              <w:jc w:val="center"/>
              <w:ind w:left="172"/>
              <w:spacing w:after="0"/>
              <w:rPr>
                <w:sz w:val="20"/>
                <w:szCs w:val="20"/>
                <w:color w:val="auto"/>
              </w:rPr>
            </w:pPr>
            <w:r>
              <w:rPr>
                <w:rFonts w:ascii="Arial" w:cs="Arial" w:eastAsia="Arial" w:hAnsi="Arial"/>
                <w:sz w:val="17"/>
                <w:szCs w:val="17"/>
                <w:b w:val="1"/>
                <w:bCs w:val="1"/>
                <w:color w:val="FFFFFF"/>
              </w:rPr>
              <w:t>Class III Directors</w:t>
            </w:r>
          </w:p>
        </w:tc>
      </w:tr>
      <w:tr>
        <w:trPr>
          <w:trHeight w:val="245"/>
        </w:trPr>
        <w:tc>
          <w:tcPr>
            <w:tcW w:w="304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7"/>
                <w:szCs w:val="17"/>
                <w:b w:val="1"/>
                <w:bCs w:val="1"/>
                <w:color w:val="FFFFFF"/>
              </w:rPr>
              <w:t>(Term Expires in 2025)</w:t>
            </w:r>
          </w:p>
        </w:tc>
        <w:tc>
          <w:tcPr>
            <w:tcW w:w="2860" w:type="dxa"/>
            <w:vAlign w:val="bottom"/>
            <w:tcBorders>
              <w:bottom w:val="single" w:sz="8" w:color="819F7C"/>
            </w:tcBorders>
            <w:shd w:val="clear" w:color="auto" w:fill="819F7C"/>
          </w:tcPr>
          <w:p>
            <w:pPr>
              <w:jc w:val="center"/>
              <w:ind w:left="132"/>
              <w:spacing w:after="0"/>
              <w:rPr>
                <w:sz w:val="20"/>
                <w:szCs w:val="20"/>
                <w:color w:val="auto"/>
              </w:rPr>
            </w:pPr>
            <w:r>
              <w:rPr>
                <w:rFonts w:ascii="Arial" w:cs="Arial" w:eastAsia="Arial" w:hAnsi="Arial"/>
                <w:sz w:val="17"/>
                <w:szCs w:val="17"/>
                <w:b w:val="1"/>
                <w:bCs w:val="1"/>
                <w:color w:val="FFFFFF"/>
                <w:w w:val="99"/>
              </w:rPr>
              <w:t>(Term Expires in 2026)</w:t>
            </w:r>
          </w:p>
        </w:tc>
        <w:tc>
          <w:tcPr>
            <w:tcW w:w="3280" w:type="dxa"/>
            <w:vAlign w:val="bottom"/>
            <w:tcBorders>
              <w:bottom w:val="single" w:sz="8" w:color="819F7C"/>
            </w:tcBorders>
            <w:shd w:val="clear" w:color="auto" w:fill="819F7C"/>
          </w:tcPr>
          <w:p>
            <w:pPr>
              <w:jc w:val="center"/>
              <w:ind w:left="172"/>
              <w:spacing w:after="0"/>
              <w:rPr>
                <w:sz w:val="20"/>
                <w:szCs w:val="20"/>
                <w:color w:val="auto"/>
              </w:rPr>
            </w:pPr>
            <w:r>
              <w:rPr>
                <w:rFonts w:ascii="Arial" w:cs="Arial" w:eastAsia="Arial" w:hAnsi="Arial"/>
                <w:sz w:val="17"/>
                <w:szCs w:val="17"/>
                <w:b w:val="1"/>
                <w:bCs w:val="1"/>
                <w:color w:val="FFFFFF"/>
                <w:w w:val="99"/>
              </w:rPr>
              <w:t>(Term Expires at Annual Meeting)</w:t>
            </w:r>
          </w:p>
        </w:tc>
      </w:tr>
      <w:tr>
        <w:trPr>
          <w:trHeight w:val="274"/>
        </w:trPr>
        <w:tc>
          <w:tcPr>
            <w:tcW w:w="3040" w:type="dxa"/>
            <w:vAlign w:val="bottom"/>
          </w:tcPr>
          <w:p>
            <w:pPr>
              <w:jc w:val="center"/>
              <w:spacing w:after="0"/>
              <w:rPr>
                <w:sz w:val="20"/>
                <w:szCs w:val="20"/>
                <w:color w:val="auto"/>
              </w:rPr>
            </w:pPr>
            <w:r>
              <w:rPr>
                <w:rFonts w:ascii="Arial" w:cs="Arial" w:eastAsia="Arial" w:hAnsi="Arial"/>
                <w:sz w:val="18"/>
                <w:szCs w:val="18"/>
                <w:color w:val="auto"/>
                <w:w w:val="99"/>
              </w:rPr>
              <w:t>Dr. Homa Bahrami</w:t>
            </w:r>
          </w:p>
        </w:tc>
        <w:tc>
          <w:tcPr>
            <w:tcW w:w="2860" w:type="dxa"/>
            <w:vAlign w:val="bottom"/>
          </w:tcPr>
          <w:p>
            <w:pPr>
              <w:jc w:val="center"/>
              <w:ind w:left="132"/>
              <w:spacing w:after="0"/>
              <w:rPr>
                <w:sz w:val="20"/>
                <w:szCs w:val="20"/>
                <w:color w:val="auto"/>
              </w:rPr>
            </w:pPr>
            <w:r>
              <w:rPr>
                <w:rFonts w:ascii="Arial" w:cs="Arial" w:eastAsia="Arial" w:hAnsi="Arial"/>
                <w:sz w:val="18"/>
                <w:szCs w:val="18"/>
                <w:color w:val="auto"/>
                <w:w w:val="99"/>
              </w:rPr>
              <w:t>Seamus Grady</w:t>
            </w:r>
          </w:p>
        </w:tc>
        <w:tc>
          <w:tcPr>
            <w:tcW w:w="3280" w:type="dxa"/>
            <w:vAlign w:val="bottom"/>
          </w:tcPr>
          <w:p>
            <w:pPr>
              <w:jc w:val="center"/>
              <w:ind w:left="172"/>
              <w:spacing w:after="0"/>
              <w:rPr>
                <w:sz w:val="20"/>
                <w:szCs w:val="20"/>
                <w:color w:val="auto"/>
              </w:rPr>
            </w:pPr>
            <w:r>
              <w:rPr>
                <w:rFonts w:ascii="Arial" w:cs="Arial" w:eastAsia="Arial" w:hAnsi="Arial"/>
                <w:sz w:val="18"/>
                <w:szCs w:val="18"/>
                <w:color w:val="auto"/>
                <w:w w:val="99"/>
              </w:rPr>
              <w:t>Forbes I.J. Alexander</w:t>
            </w:r>
          </w:p>
        </w:tc>
      </w:tr>
      <w:tr>
        <w:trPr>
          <w:trHeight w:val="310"/>
        </w:trPr>
        <w:tc>
          <w:tcPr>
            <w:tcW w:w="3040" w:type="dxa"/>
            <w:vAlign w:val="bottom"/>
          </w:tcPr>
          <w:p>
            <w:pPr>
              <w:jc w:val="center"/>
              <w:spacing w:after="0"/>
              <w:rPr>
                <w:sz w:val="20"/>
                <w:szCs w:val="20"/>
                <w:color w:val="auto"/>
              </w:rPr>
            </w:pPr>
            <w:r>
              <w:rPr>
                <w:rFonts w:ascii="Arial" w:cs="Arial" w:eastAsia="Arial" w:hAnsi="Arial"/>
                <w:sz w:val="18"/>
                <w:szCs w:val="18"/>
                <w:color w:val="auto"/>
              </w:rPr>
              <w:t>Darlene S. Knight</w:t>
            </w:r>
          </w:p>
        </w:tc>
        <w:tc>
          <w:tcPr>
            <w:tcW w:w="2860" w:type="dxa"/>
            <w:vAlign w:val="bottom"/>
          </w:tcPr>
          <w:p>
            <w:pPr>
              <w:jc w:val="center"/>
              <w:ind w:left="132"/>
              <w:spacing w:after="0"/>
              <w:rPr>
                <w:sz w:val="20"/>
                <w:szCs w:val="20"/>
                <w:color w:val="auto"/>
              </w:rPr>
            </w:pPr>
            <w:r>
              <w:rPr>
                <w:rFonts w:ascii="Arial" w:cs="Arial" w:eastAsia="Arial" w:hAnsi="Arial"/>
                <w:sz w:val="18"/>
                <w:szCs w:val="18"/>
                <w:color w:val="auto"/>
                <w:w w:val="98"/>
              </w:rPr>
              <w:t>Thomas F. Kelly</w:t>
            </w:r>
          </w:p>
        </w:tc>
        <w:tc>
          <w:tcPr>
            <w:tcW w:w="3280" w:type="dxa"/>
            <w:vAlign w:val="bottom"/>
          </w:tcPr>
          <w:p>
            <w:pPr>
              <w:jc w:val="center"/>
              <w:ind w:left="172"/>
              <w:spacing w:after="0"/>
              <w:rPr>
                <w:sz w:val="20"/>
                <w:szCs w:val="20"/>
                <w:color w:val="auto"/>
              </w:rPr>
            </w:pPr>
            <w:r>
              <w:rPr>
                <w:rFonts w:ascii="Arial" w:cs="Arial" w:eastAsia="Arial" w:hAnsi="Arial"/>
                <w:sz w:val="18"/>
                <w:szCs w:val="18"/>
                <w:color w:val="auto"/>
                <w:w w:val="99"/>
              </w:rPr>
              <w:t>Dr. Frank H. Levinson</w:t>
            </w:r>
          </w:p>
        </w:tc>
      </w:tr>
      <w:tr>
        <w:trPr>
          <w:trHeight w:val="311"/>
        </w:trPr>
        <w:tc>
          <w:tcPr>
            <w:tcW w:w="3040" w:type="dxa"/>
            <w:vAlign w:val="bottom"/>
          </w:tcPr>
          <w:p>
            <w:pPr>
              <w:jc w:val="center"/>
              <w:spacing w:after="0"/>
              <w:rPr>
                <w:sz w:val="20"/>
                <w:szCs w:val="20"/>
                <w:color w:val="auto"/>
              </w:rPr>
            </w:pPr>
            <w:r>
              <w:rPr>
                <w:rFonts w:ascii="Arial" w:cs="Arial" w:eastAsia="Arial" w:hAnsi="Arial"/>
                <w:sz w:val="18"/>
                <w:szCs w:val="18"/>
                <w:color w:val="auto"/>
                <w:w w:val="99"/>
              </w:rPr>
              <w:t>Rollance E. Olson</w:t>
            </w:r>
          </w:p>
        </w:tc>
        <w:tc>
          <w:tcPr>
            <w:tcW w:w="2860" w:type="dxa"/>
            <w:vAlign w:val="bottom"/>
          </w:tcPr>
          <w:p>
            <w:pPr>
              <w:spacing w:after="0"/>
              <w:rPr>
                <w:sz w:val="24"/>
                <w:szCs w:val="24"/>
                <w:color w:val="auto"/>
              </w:rPr>
            </w:pPr>
          </w:p>
        </w:tc>
        <w:tc>
          <w:tcPr>
            <w:tcW w:w="3280" w:type="dxa"/>
            <w:vAlign w:val="bottom"/>
          </w:tcPr>
          <w:p>
            <w:pPr>
              <w:jc w:val="center"/>
              <w:ind w:left="172"/>
              <w:spacing w:after="0"/>
              <w:rPr>
                <w:sz w:val="20"/>
                <w:szCs w:val="20"/>
                <w:color w:val="auto"/>
              </w:rPr>
            </w:pPr>
            <w:r>
              <w:rPr>
                <w:rFonts w:ascii="Arial" w:cs="Arial" w:eastAsia="Arial" w:hAnsi="Arial"/>
                <w:sz w:val="18"/>
                <w:szCs w:val="18"/>
                <w:color w:val="auto"/>
                <w:w w:val="97"/>
              </w:rPr>
              <w:t>David T. (Tom) Mitchell</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Three candidates have been nominated for election at the Annual Meeting as Class III directors for a three-year term expiring in 2027. Upon the recommendation of the Nominating &amp; Corporate Governance Committee, the Board nominated </w:t>
      </w:r>
      <w:r>
        <w:rPr>
          <w:rFonts w:ascii="Arial" w:cs="Arial" w:eastAsia="Arial" w:hAnsi="Arial"/>
          <w:sz w:val="18"/>
          <w:szCs w:val="18"/>
          <w:b w:val="1"/>
          <w:bCs w:val="1"/>
          <w:color w:val="auto"/>
        </w:rPr>
        <w:t>Forbes I.J.</w:t>
      </w:r>
      <w:r>
        <w:rPr>
          <w:rFonts w:ascii="Arial" w:cs="Arial" w:eastAsia="Arial" w:hAnsi="Arial"/>
          <w:sz w:val="18"/>
          <w:szCs w:val="18"/>
          <w:color w:val="auto"/>
        </w:rPr>
        <w:t xml:space="preserve"> </w:t>
      </w:r>
      <w:r>
        <w:rPr>
          <w:rFonts w:ascii="Arial" w:cs="Arial" w:eastAsia="Arial" w:hAnsi="Arial"/>
          <w:sz w:val="18"/>
          <w:szCs w:val="18"/>
          <w:b w:val="1"/>
          <w:bCs w:val="1"/>
          <w:color w:val="auto"/>
        </w:rPr>
        <w:t>Alexander</w:t>
      </w:r>
      <w:r>
        <w:rPr>
          <w:rFonts w:ascii="Arial" w:cs="Arial" w:eastAsia="Arial" w:hAnsi="Arial"/>
          <w:sz w:val="18"/>
          <w:szCs w:val="18"/>
          <w:color w:val="auto"/>
        </w:rPr>
        <w:t>,</w:t>
      </w:r>
      <w:r>
        <w:rPr>
          <w:rFonts w:ascii="Arial" w:cs="Arial" w:eastAsia="Arial" w:hAnsi="Arial"/>
          <w:sz w:val="18"/>
          <w:szCs w:val="18"/>
          <w:b w:val="1"/>
          <w:bCs w:val="1"/>
          <w:color w:val="auto"/>
        </w:rPr>
        <w:t xml:space="preserve"> Dr. Frank H. Levinson </w:t>
      </w:r>
      <w:r>
        <w:rPr>
          <w:rFonts w:ascii="Arial" w:cs="Arial" w:eastAsia="Arial" w:hAnsi="Arial"/>
          <w:sz w:val="18"/>
          <w:szCs w:val="18"/>
          <w:color w:val="auto"/>
        </w:rPr>
        <w:t>and</w:t>
      </w:r>
      <w:r>
        <w:rPr>
          <w:rFonts w:ascii="Arial" w:cs="Arial" w:eastAsia="Arial" w:hAnsi="Arial"/>
          <w:sz w:val="18"/>
          <w:szCs w:val="18"/>
          <w:b w:val="1"/>
          <w:bCs w:val="1"/>
          <w:color w:val="auto"/>
        </w:rPr>
        <w:t xml:space="preserve"> David T. (Tom) Mitchell </w:t>
      </w:r>
      <w:r>
        <w:rPr>
          <w:rFonts w:ascii="Arial" w:cs="Arial" w:eastAsia="Arial" w:hAnsi="Arial"/>
          <w:sz w:val="18"/>
          <w:szCs w:val="18"/>
          <w:color w:val="auto"/>
        </w:rPr>
        <w:t>for election as Class III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Biographical information for each of the nominees is set forth below.</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nominee has consented to being named in this proxy statement and to serving as a director if elected, and we have no reason to believe any nominee will be unavailable to serve. In the event Mr. Alexander, Dr. Levinson or Mr. Mitchell is unable or declines to serve as a director at the time of the Annual Meeting, the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proxies will be voted for any nominee who may be proposed by the Nominating &amp; Corporate Governance Committee and designated by the Board to fill the vacancy.</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sign your proxy or voting instruction card or vote by telephone or over the Internet, but do not give instructions with respect to the election of directors, your shares will be voted for the three persons recommended by the Board. If you wish to give specific instructions with respect to the election of directors, you may do so by indicating your instructions on your proxy or voting instruction card, or when you vote by telephone or over the Internet. If you do not give voting instructions to your broker, your broker will not vote your shares on this matter.</w:t>
      </w:r>
    </w:p>
    <w:p>
      <w:pPr>
        <w:spacing w:after="0" w:line="200"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58293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 listed above.</w:t>
      </w:r>
    </w:p>
    <w:p>
      <w:pPr>
        <w:spacing w:after="0" w:line="320" w:lineRule="exact"/>
        <w:rPr>
          <w:sz w:val="20"/>
          <w:szCs w:val="20"/>
          <w:color w:val="auto"/>
        </w:rPr>
      </w:pPr>
    </w:p>
    <w:p>
      <w:pPr>
        <w:spacing w:after="0"/>
        <w:tabs>
          <w:tab w:leader="none" w:pos="6669" w:val="left"/>
        </w:tabs>
        <w:rPr>
          <w:sz w:val="20"/>
          <w:szCs w:val="20"/>
          <w:color w:val="auto"/>
        </w:rPr>
      </w:pPr>
      <w:r>
        <w:rPr>
          <w:rFonts w:ascii="Arial" w:cs="Arial" w:eastAsia="Arial" w:hAnsi="Arial"/>
          <w:sz w:val="12"/>
          <w:szCs w:val="12"/>
          <w:color w:val="auto"/>
        </w:rPr>
        <w:t>14</w:t>
      </w:r>
      <w:r>
        <w:rPr>
          <w:sz w:val="20"/>
          <w:szCs w:val="20"/>
          <w:color w:val="auto"/>
        </w:rPr>
        <w:tab/>
      </w:r>
      <w:r>
        <w:rPr>
          <w:sz w:val="1"/>
          <w:szCs w:val="1"/>
          <w:color w:val="auto"/>
        </w:rPr>
        <w:drawing>
          <wp:inline distT="0" distB="0" distL="0" distR="0">
            <wp:extent cx="342900" cy="7747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149860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0" w:name="page21"/>
    <w:bookmarkEnd w:id="2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4" w:lineRule="exact"/>
        <w:rPr>
          <w:sz w:val="20"/>
          <w:szCs w:val="20"/>
          <w:color w:val="auto"/>
        </w:rPr>
      </w:pPr>
    </w:p>
    <w:p>
      <w:pPr>
        <w:jc w:val="both"/>
        <w:ind w:left="920"/>
        <w:spacing w:after="0" w:line="239" w:lineRule="auto"/>
        <w:rPr>
          <w:sz w:val="20"/>
          <w:szCs w:val="20"/>
          <w:color w:val="auto"/>
        </w:rPr>
      </w:pPr>
      <w:r>
        <w:rPr>
          <w:rFonts w:ascii="Arial" w:cs="Arial" w:eastAsia="Arial" w:hAnsi="Arial"/>
          <w:sz w:val="18"/>
          <w:szCs w:val="18"/>
          <w:color w:val="auto"/>
        </w:rPr>
        <w:t>The names of the members of the Board, their ages, their positions with Fabrinet and other biographical information as of October 16, 2024, are set forth below. A discussion of the qualifications, attributes and skills of each of the directors and the director nominee that led the Board and the Nominating &amp; Corporate Governance Committee to conclude that he or she should serve as a director follows each of the biographies below.</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46"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 Matters</w:t>
      </w:r>
      <w:r>
        <w:rPr>
          <w:rFonts w:ascii="Arial" w:cs="Arial" w:eastAsia="Arial" w:hAnsi="Arial"/>
          <w:sz w:val="18"/>
          <w:szCs w:val="18"/>
          <w:color w:val="auto"/>
        </w:rPr>
        <w:t>” below for additional information regarding the Board.</w:t>
      </w:r>
    </w:p>
    <w:p>
      <w:pPr>
        <w:spacing w:after="0" w:line="982"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tbl>
      <w:tblPr>
        <w:tblLayout w:type="fixed"/>
        <w:tblInd w:w="920" w:type="dxa"/>
        <w:tblCellMar>
          <w:top w:w="0" w:type="dxa"/>
          <w:left w:w="0" w:type="dxa"/>
          <w:bottom w:w="0" w:type="dxa"/>
          <w:right w:w="0" w:type="dxa"/>
        </w:tblCellMar>
      </w:tblPr>
      <w:tr>
        <w:trPr>
          <w:trHeight w:val="310"/>
        </w:trPr>
        <w:tc>
          <w:tcPr>
            <w:tcW w:w="1820" w:type="dxa"/>
            <w:vAlign w:val="bottom"/>
            <w:shd w:val="clear" w:color="auto" w:fill="819F7C"/>
          </w:tcPr>
          <w:p>
            <w:pPr>
              <w:spacing w:after="0"/>
              <w:rPr>
                <w:sz w:val="24"/>
                <w:szCs w:val="24"/>
                <w:color w:val="auto"/>
              </w:rPr>
            </w:pPr>
          </w:p>
        </w:tc>
        <w:tc>
          <w:tcPr>
            <w:tcW w:w="400" w:type="dxa"/>
            <w:vAlign w:val="bottom"/>
            <w:shd w:val="clear" w:color="auto" w:fill="819F7C"/>
          </w:tcPr>
          <w:p>
            <w:pPr>
              <w:spacing w:after="0"/>
              <w:rPr>
                <w:sz w:val="24"/>
                <w:szCs w:val="24"/>
                <w:color w:val="auto"/>
              </w:rPr>
            </w:pPr>
          </w:p>
        </w:tc>
        <w:tc>
          <w:tcPr>
            <w:tcW w:w="720" w:type="dxa"/>
            <w:vAlign w:val="bottom"/>
            <w:shd w:val="clear" w:color="auto" w:fill="819F7C"/>
          </w:tcPr>
          <w:p>
            <w:pPr>
              <w:spacing w:after="0"/>
              <w:rPr>
                <w:sz w:val="24"/>
                <w:szCs w:val="24"/>
                <w:color w:val="auto"/>
              </w:rPr>
            </w:pPr>
          </w:p>
        </w:tc>
        <w:tc>
          <w:tcPr>
            <w:tcW w:w="620" w:type="dxa"/>
            <w:vAlign w:val="bottom"/>
            <w:shd w:val="clear" w:color="auto" w:fill="819F7C"/>
          </w:tcPr>
          <w:p>
            <w:pPr>
              <w:spacing w:after="0"/>
              <w:rPr>
                <w:sz w:val="24"/>
                <w:szCs w:val="24"/>
                <w:color w:val="auto"/>
              </w:rPr>
            </w:pPr>
          </w:p>
        </w:tc>
        <w:tc>
          <w:tcPr>
            <w:tcW w:w="2340" w:type="dxa"/>
            <w:vAlign w:val="bottom"/>
            <w:shd w:val="clear" w:color="auto" w:fill="819F7C"/>
          </w:tcPr>
          <w:p>
            <w:pPr>
              <w:spacing w:after="0"/>
              <w:rPr>
                <w:sz w:val="24"/>
                <w:szCs w:val="24"/>
                <w:color w:val="auto"/>
              </w:rPr>
            </w:pPr>
          </w:p>
        </w:tc>
        <w:tc>
          <w:tcPr>
            <w:tcW w:w="1200" w:type="dxa"/>
            <w:vAlign w:val="bottom"/>
            <w:shd w:val="clear" w:color="auto" w:fill="819F7C"/>
          </w:tcPr>
          <w:p>
            <w:pPr>
              <w:spacing w:after="0"/>
              <w:rPr>
                <w:sz w:val="24"/>
                <w:szCs w:val="24"/>
                <w:color w:val="auto"/>
              </w:rPr>
            </w:pPr>
          </w:p>
        </w:tc>
        <w:tc>
          <w:tcPr>
            <w:tcW w:w="1420" w:type="dxa"/>
            <w:vAlign w:val="bottom"/>
            <w:gridSpan w:val="3"/>
            <w:shd w:val="clear" w:color="auto" w:fill="819F7C"/>
          </w:tcPr>
          <w:p>
            <w:pPr>
              <w:jc w:val="center"/>
              <w:spacing w:after="0"/>
              <w:rPr>
                <w:sz w:val="20"/>
                <w:szCs w:val="20"/>
                <w:color w:val="auto"/>
              </w:rPr>
            </w:pPr>
            <w:r>
              <w:rPr>
                <w:rFonts w:ascii="Arial" w:cs="Arial" w:eastAsia="Arial" w:hAnsi="Arial"/>
                <w:sz w:val="16"/>
                <w:szCs w:val="16"/>
                <w:b w:val="1"/>
                <w:bCs w:val="1"/>
                <w:color w:val="FFFFFF"/>
              </w:rPr>
              <w:t>Committee</w:t>
            </w:r>
          </w:p>
        </w:tc>
        <w:tc>
          <w:tcPr>
            <w:tcW w:w="660" w:type="dxa"/>
            <w:vAlign w:val="bottom"/>
            <w:shd w:val="clear" w:color="auto" w:fill="819F7C"/>
          </w:tcPr>
          <w:p>
            <w:pPr>
              <w:jc w:val="center"/>
              <w:spacing w:after="0"/>
              <w:rPr>
                <w:sz w:val="20"/>
                <w:szCs w:val="20"/>
                <w:color w:val="auto"/>
              </w:rPr>
            </w:pPr>
            <w:r>
              <w:rPr>
                <w:rFonts w:ascii="Arial" w:cs="Arial" w:eastAsia="Arial" w:hAnsi="Arial"/>
                <w:sz w:val="16"/>
                <w:szCs w:val="16"/>
                <w:b w:val="1"/>
                <w:bCs w:val="1"/>
                <w:color w:val="FFFFFF"/>
              </w:rPr>
              <w:t>Other</w:t>
            </w:r>
          </w:p>
        </w:tc>
      </w:tr>
      <w:tr>
        <w:trPr>
          <w:trHeight w:val="216"/>
        </w:trPr>
        <w:tc>
          <w:tcPr>
            <w:tcW w:w="1820" w:type="dxa"/>
            <w:vAlign w:val="bottom"/>
            <w:shd w:val="clear" w:color="auto" w:fill="819F7C"/>
          </w:tcPr>
          <w:p>
            <w:pPr>
              <w:spacing w:after="0"/>
              <w:rPr>
                <w:sz w:val="18"/>
                <w:szCs w:val="18"/>
                <w:color w:val="auto"/>
              </w:rPr>
            </w:pPr>
          </w:p>
        </w:tc>
        <w:tc>
          <w:tcPr>
            <w:tcW w:w="400" w:type="dxa"/>
            <w:vAlign w:val="bottom"/>
            <w:shd w:val="clear" w:color="auto" w:fill="819F7C"/>
          </w:tcPr>
          <w:p>
            <w:pPr>
              <w:spacing w:after="0"/>
              <w:rPr>
                <w:sz w:val="18"/>
                <w:szCs w:val="18"/>
                <w:color w:val="auto"/>
              </w:rPr>
            </w:pPr>
          </w:p>
        </w:tc>
        <w:tc>
          <w:tcPr>
            <w:tcW w:w="720" w:type="dxa"/>
            <w:vAlign w:val="bottom"/>
            <w:shd w:val="clear" w:color="auto" w:fill="819F7C"/>
          </w:tcPr>
          <w:p>
            <w:pPr>
              <w:spacing w:after="0"/>
              <w:rPr>
                <w:sz w:val="18"/>
                <w:szCs w:val="18"/>
                <w:color w:val="auto"/>
              </w:rPr>
            </w:pPr>
          </w:p>
        </w:tc>
        <w:tc>
          <w:tcPr>
            <w:tcW w:w="620" w:type="dxa"/>
            <w:vAlign w:val="bottom"/>
            <w:shd w:val="clear" w:color="auto" w:fill="819F7C"/>
          </w:tcPr>
          <w:p>
            <w:pPr>
              <w:spacing w:after="0"/>
              <w:rPr>
                <w:sz w:val="18"/>
                <w:szCs w:val="18"/>
                <w:color w:val="auto"/>
              </w:rPr>
            </w:pPr>
          </w:p>
        </w:tc>
        <w:tc>
          <w:tcPr>
            <w:tcW w:w="2340" w:type="dxa"/>
            <w:vAlign w:val="bottom"/>
            <w:shd w:val="clear" w:color="auto" w:fill="819F7C"/>
          </w:tcPr>
          <w:p>
            <w:pPr>
              <w:spacing w:after="0"/>
              <w:rPr>
                <w:sz w:val="18"/>
                <w:szCs w:val="18"/>
                <w:color w:val="auto"/>
              </w:rPr>
            </w:pPr>
          </w:p>
        </w:tc>
        <w:tc>
          <w:tcPr>
            <w:tcW w:w="1200" w:type="dxa"/>
            <w:vAlign w:val="bottom"/>
            <w:shd w:val="clear" w:color="auto" w:fill="819F7C"/>
          </w:tcPr>
          <w:p>
            <w:pPr>
              <w:spacing w:after="0"/>
              <w:rPr>
                <w:sz w:val="18"/>
                <w:szCs w:val="18"/>
                <w:color w:val="auto"/>
              </w:rPr>
            </w:pPr>
          </w:p>
        </w:tc>
        <w:tc>
          <w:tcPr>
            <w:tcW w:w="1420" w:type="dxa"/>
            <w:vAlign w:val="bottom"/>
            <w:gridSpan w:val="3"/>
            <w:shd w:val="clear" w:color="auto" w:fill="819F7C"/>
          </w:tcPr>
          <w:p>
            <w:pPr>
              <w:jc w:val="center"/>
              <w:spacing w:after="0"/>
              <w:rPr>
                <w:sz w:val="20"/>
                <w:szCs w:val="20"/>
                <w:color w:val="auto"/>
              </w:rPr>
            </w:pPr>
            <w:r>
              <w:rPr>
                <w:rFonts w:ascii="Arial" w:cs="Arial" w:eastAsia="Arial" w:hAnsi="Arial"/>
                <w:sz w:val="16"/>
                <w:szCs w:val="16"/>
                <w:b w:val="1"/>
                <w:bCs w:val="1"/>
                <w:color w:val="FFFFFF"/>
              </w:rPr>
              <w:t>Memberships</w:t>
            </w:r>
          </w:p>
        </w:tc>
        <w:tc>
          <w:tcPr>
            <w:tcW w:w="660" w:type="dxa"/>
            <w:vAlign w:val="bottom"/>
            <w:shd w:val="clear" w:color="auto" w:fill="819F7C"/>
          </w:tcPr>
          <w:p>
            <w:pPr>
              <w:jc w:val="center"/>
              <w:spacing w:after="0"/>
              <w:rPr>
                <w:sz w:val="20"/>
                <w:szCs w:val="20"/>
                <w:color w:val="auto"/>
              </w:rPr>
            </w:pPr>
            <w:r>
              <w:rPr>
                <w:rFonts w:ascii="Arial" w:cs="Arial" w:eastAsia="Arial" w:hAnsi="Arial"/>
                <w:sz w:val="16"/>
                <w:szCs w:val="16"/>
                <w:b w:val="1"/>
                <w:bCs w:val="1"/>
                <w:color w:val="FFFFFF"/>
                <w:w w:val="99"/>
              </w:rPr>
              <w:t>Public</w:t>
            </w:r>
          </w:p>
        </w:tc>
      </w:tr>
      <w:tr>
        <w:trPr>
          <w:trHeight w:val="188"/>
        </w:trPr>
        <w:tc>
          <w:tcPr>
            <w:tcW w:w="1820" w:type="dxa"/>
            <w:vAlign w:val="bottom"/>
            <w:shd w:val="clear" w:color="auto" w:fill="819F7C"/>
          </w:tcPr>
          <w:p>
            <w:pPr>
              <w:spacing w:after="0"/>
              <w:rPr>
                <w:sz w:val="16"/>
                <w:szCs w:val="16"/>
                <w:color w:val="auto"/>
              </w:rPr>
            </w:pPr>
          </w:p>
        </w:tc>
        <w:tc>
          <w:tcPr>
            <w:tcW w:w="400" w:type="dxa"/>
            <w:vAlign w:val="bottom"/>
            <w:shd w:val="clear" w:color="auto" w:fill="819F7C"/>
          </w:tcPr>
          <w:p>
            <w:pPr>
              <w:spacing w:after="0"/>
              <w:rPr>
                <w:sz w:val="16"/>
                <w:szCs w:val="16"/>
                <w:color w:val="auto"/>
              </w:rPr>
            </w:pPr>
          </w:p>
        </w:tc>
        <w:tc>
          <w:tcPr>
            <w:tcW w:w="720" w:type="dxa"/>
            <w:vAlign w:val="bottom"/>
            <w:shd w:val="clear" w:color="auto" w:fill="819F7C"/>
          </w:tcPr>
          <w:p>
            <w:pPr>
              <w:jc w:val="center"/>
              <w:spacing w:after="0"/>
              <w:rPr>
                <w:sz w:val="20"/>
                <w:szCs w:val="20"/>
                <w:color w:val="auto"/>
              </w:rPr>
            </w:pPr>
            <w:r>
              <w:rPr>
                <w:rFonts w:ascii="Arial" w:cs="Arial" w:eastAsia="Arial" w:hAnsi="Arial"/>
                <w:sz w:val="16"/>
                <w:szCs w:val="16"/>
                <w:b w:val="1"/>
                <w:bCs w:val="1"/>
                <w:color w:val="FFFFFF"/>
              </w:rPr>
              <w:t>Director</w:t>
            </w:r>
          </w:p>
        </w:tc>
        <w:tc>
          <w:tcPr>
            <w:tcW w:w="620" w:type="dxa"/>
            <w:vAlign w:val="bottom"/>
            <w:shd w:val="clear" w:color="auto" w:fill="819F7C"/>
          </w:tcPr>
          <w:p>
            <w:pPr>
              <w:ind w:left="60"/>
              <w:spacing w:after="0"/>
              <w:rPr>
                <w:sz w:val="20"/>
                <w:szCs w:val="20"/>
                <w:color w:val="auto"/>
              </w:rPr>
            </w:pPr>
            <w:r>
              <w:rPr>
                <w:rFonts w:ascii="Arial" w:cs="Arial" w:eastAsia="Arial" w:hAnsi="Arial"/>
                <w:sz w:val="16"/>
                <w:szCs w:val="16"/>
                <w:b w:val="1"/>
                <w:bCs w:val="1"/>
                <w:color w:val="FFFFFF"/>
              </w:rPr>
              <w:t>Tenure</w:t>
            </w:r>
          </w:p>
        </w:tc>
        <w:tc>
          <w:tcPr>
            <w:tcW w:w="2340" w:type="dxa"/>
            <w:vAlign w:val="bottom"/>
            <w:shd w:val="clear" w:color="auto" w:fill="819F7C"/>
          </w:tcPr>
          <w:p>
            <w:pPr>
              <w:spacing w:after="0"/>
              <w:rPr>
                <w:sz w:val="16"/>
                <w:szCs w:val="16"/>
                <w:color w:val="auto"/>
              </w:rPr>
            </w:pPr>
          </w:p>
        </w:tc>
        <w:tc>
          <w:tcPr>
            <w:tcW w:w="1200" w:type="dxa"/>
            <w:vAlign w:val="bottom"/>
            <w:shd w:val="clear" w:color="auto" w:fill="819F7C"/>
          </w:tcPr>
          <w:p>
            <w:pPr>
              <w:spacing w:after="0"/>
              <w:rPr>
                <w:sz w:val="16"/>
                <w:szCs w:val="16"/>
                <w:color w:val="auto"/>
              </w:rPr>
            </w:pPr>
          </w:p>
        </w:tc>
        <w:tc>
          <w:tcPr>
            <w:tcW w:w="440" w:type="dxa"/>
            <w:vAlign w:val="bottom"/>
            <w:shd w:val="clear" w:color="auto" w:fill="819F7C"/>
          </w:tcPr>
          <w:p>
            <w:pPr>
              <w:spacing w:after="0"/>
              <w:rPr>
                <w:sz w:val="16"/>
                <w:szCs w:val="16"/>
                <w:color w:val="auto"/>
              </w:rPr>
            </w:pPr>
          </w:p>
        </w:tc>
        <w:tc>
          <w:tcPr>
            <w:tcW w:w="440" w:type="dxa"/>
            <w:vAlign w:val="bottom"/>
            <w:shd w:val="clear" w:color="auto" w:fill="819F7C"/>
          </w:tcPr>
          <w:p>
            <w:pPr>
              <w:spacing w:after="0"/>
              <w:rPr>
                <w:sz w:val="16"/>
                <w:szCs w:val="16"/>
                <w:color w:val="auto"/>
              </w:rPr>
            </w:pPr>
          </w:p>
        </w:tc>
        <w:tc>
          <w:tcPr>
            <w:tcW w:w="540" w:type="dxa"/>
            <w:vAlign w:val="bottom"/>
            <w:shd w:val="clear" w:color="auto" w:fill="819F7C"/>
          </w:tcPr>
          <w:p>
            <w:pPr>
              <w:spacing w:after="0"/>
              <w:rPr>
                <w:sz w:val="16"/>
                <w:szCs w:val="16"/>
                <w:color w:val="auto"/>
              </w:rPr>
            </w:pPr>
          </w:p>
        </w:tc>
        <w:tc>
          <w:tcPr>
            <w:tcW w:w="660" w:type="dxa"/>
            <w:vAlign w:val="bottom"/>
            <w:shd w:val="clear" w:color="auto" w:fill="819F7C"/>
          </w:tcPr>
          <w:p>
            <w:pPr>
              <w:jc w:val="center"/>
              <w:spacing w:after="0"/>
              <w:rPr>
                <w:sz w:val="20"/>
                <w:szCs w:val="20"/>
                <w:color w:val="auto"/>
              </w:rPr>
            </w:pPr>
            <w:r>
              <w:rPr>
                <w:rFonts w:ascii="Arial" w:cs="Arial" w:eastAsia="Arial" w:hAnsi="Arial"/>
                <w:sz w:val="16"/>
                <w:szCs w:val="16"/>
                <w:b w:val="1"/>
                <w:bCs w:val="1"/>
                <w:color w:val="FFFFFF"/>
              </w:rPr>
              <w:t>Co.</w:t>
            </w:r>
          </w:p>
        </w:tc>
      </w:tr>
      <w:tr>
        <w:trPr>
          <w:trHeight w:val="224"/>
        </w:trPr>
        <w:tc>
          <w:tcPr>
            <w:tcW w:w="1820" w:type="dxa"/>
            <w:vAlign w:val="bottom"/>
            <w:tcBorders>
              <w:bottom w:val="single" w:sz="8" w:color="819F7C"/>
            </w:tcBorders>
            <w:shd w:val="clear" w:color="auto" w:fill="819F7C"/>
          </w:tcPr>
          <w:p>
            <w:pPr>
              <w:ind w:left="700"/>
              <w:spacing w:after="0"/>
              <w:rPr>
                <w:sz w:val="20"/>
                <w:szCs w:val="20"/>
                <w:color w:val="auto"/>
              </w:rPr>
            </w:pPr>
            <w:r>
              <w:rPr>
                <w:rFonts w:ascii="Arial" w:cs="Arial" w:eastAsia="Arial" w:hAnsi="Arial"/>
                <w:sz w:val="16"/>
                <w:szCs w:val="16"/>
                <w:b w:val="1"/>
                <w:bCs w:val="1"/>
                <w:color w:val="FFFFFF"/>
              </w:rPr>
              <w:t>Name</w:t>
            </w:r>
          </w:p>
        </w:tc>
        <w:tc>
          <w:tcPr>
            <w:tcW w:w="40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6"/>
                <w:szCs w:val="16"/>
                <w:b w:val="1"/>
                <w:bCs w:val="1"/>
                <w:color w:val="FFFFFF"/>
                <w:w w:val="99"/>
              </w:rPr>
              <w:t>Age</w:t>
            </w:r>
          </w:p>
        </w:tc>
        <w:tc>
          <w:tcPr>
            <w:tcW w:w="72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6"/>
                <w:szCs w:val="16"/>
                <w:b w:val="1"/>
                <w:bCs w:val="1"/>
                <w:color w:val="FFFFFF"/>
              </w:rPr>
              <w:t>Since</w:t>
            </w:r>
          </w:p>
        </w:tc>
        <w:tc>
          <w:tcPr>
            <w:tcW w:w="620" w:type="dxa"/>
            <w:vAlign w:val="bottom"/>
            <w:tcBorders>
              <w:bottom w:val="single" w:sz="8" w:color="819F7C"/>
            </w:tcBorders>
            <w:shd w:val="clear" w:color="auto" w:fill="819F7C"/>
          </w:tcPr>
          <w:p>
            <w:pPr>
              <w:ind w:left="60"/>
              <w:spacing w:after="0"/>
              <w:rPr>
                <w:sz w:val="20"/>
                <w:szCs w:val="20"/>
                <w:color w:val="auto"/>
              </w:rPr>
            </w:pPr>
            <w:r>
              <w:rPr>
                <w:rFonts w:ascii="Arial" w:cs="Arial" w:eastAsia="Arial" w:hAnsi="Arial"/>
                <w:sz w:val="16"/>
                <w:szCs w:val="16"/>
                <w:b w:val="1"/>
                <w:bCs w:val="1"/>
                <w:color w:val="FFFFFF"/>
                <w:w w:val="99"/>
              </w:rPr>
              <w:t>(Years)</w:t>
            </w:r>
          </w:p>
        </w:tc>
        <w:tc>
          <w:tcPr>
            <w:tcW w:w="2340" w:type="dxa"/>
            <w:vAlign w:val="bottom"/>
            <w:tcBorders>
              <w:bottom w:val="single" w:sz="8" w:color="819F7C"/>
            </w:tcBorders>
            <w:shd w:val="clear" w:color="auto" w:fill="819F7C"/>
          </w:tcPr>
          <w:p>
            <w:pPr>
              <w:ind w:left="420"/>
              <w:spacing w:after="0"/>
              <w:rPr>
                <w:sz w:val="20"/>
                <w:szCs w:val="20"/>
                <w:color w:val="auto"/>
              </w:rPr>
            </w:pPr>
            <w:r>
              <w:rPr>
                <w:rFonts w:ascii="Arial" w:cs="Arial" w:eastAsia="Arial" w:hAnsi="Arial"/>
                <w:sz w:val="16"/>
                <w:szCs w:val="16"/>
                <w:b w:val="1"/>
                <w:bCs w:val="1"/>
                <w:color w:val="FFFFFF"/>
              </w:rPr>
              <w:t>Position with Fabrinet</w:t>
            </w:r>
          </w:p>
        </w:tc>
        <w:tc>
          <w:tcPr>
            <w:tcW w:w="1200" w:type="dxa"/>
            <w:vAlign w:val="bottom"/>
            <w:tcBorders>
              <w:bottom w:val="single" w:sz="8" w:color="819F7C"/>
            </w:tcBorders>
            <w:shd w:val="clear" w:color="auto" w:fill="819F7C"/>
          </w:tcPr>
          <w:p>
            <w:pPr>
              <w:jc w:val="center"/>
              <w:ind w:left="79"/>
              <w:spacing w:after="0"/>
              <w:rPr>
                <w:sz w:val="20"/>
                <w:szCs w:val="20"/>
                <w:color w:val="auto"/>
              </w:rPr>
            </w:pPr>
            <w:r>
              <w:rPr>
                <w:rFonts w:ascii="Arial" w:cs="Arial" w:eastAsia="Arial" w:hAnsi="Arial"/>
                <w:sz w:val="16"/>
                <w:szCs w:val="16"/>
                <w:b w:val="1"/>
                <w:bCs w:val="1"/>
                <w:color w:val="FFFFFF"/>
              </w:rPr>
              <w:t>Independent</w:t>
            </w:r>
          </w:p>
        </w:tc>
        <w:tc>
          <w:tcPr>
            <w:tcW w:w="44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6"/>
                <w:szCs w:val="16"/>
                <w:b w:val="1"/>
                <w:bCs w:val="1"/>
                <w:color w:val="FFFFFF"/>
              </w:rPr>
              <w:t>AC</w:t>
            </w:r>
          </w:p>
        </w:tc>
        <w:tc>
          <w:tcPr>
            <w:tcW w:w="44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6"/>
                <w:szCs w:val="16"/>
                <w:b w:val="1"/>
                <w:bCs w:val="1"/>
                <w:color w:val="FFFFFF"/>
              </w:rPr>
              <w:t>CC</w:t>
            </w:r>
          </w:p>
        </w:tc>
        <w:tc>
          <w:tcPr>
            <w:tcW w:w="54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6"/>
                <w:szCs w:val="16"/>
                <w:b w:val="1"/>
                <w:bCs w:val="1"/>
                <w:color w:val="FFFFFF"/>
              </w:rPr>
              <w:t>NCGC</w:t>
            </w:r>
          </w:p>
        </w:tc>
        <w:tc>
          <w:tcPr>
            <w:tcW w:w="66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6"/>
                <w:szCs w:val="16"/>
                <w:b w:val="1"/>
                <w:bCs w:val="1"/>
                <w:color w:val="FFFFFF"/>
              </w:rPr>
              <w:t>Boards</w:t>
            </w:r>
          </w:p>
        </w:tc>
      </w:tr>
      <w:tr>
        <w:trPr>
          <w:trHeight w:val="236"/>
        </w:trPr>
        <w:tc>
          <w:tcPr>
            <w:tcW w:w="1820" w:type="dxa"/>
            <w:vAlign w:val="bottom"/>
            <w:tcBorders>
              <w:bottom w:val="single" w:sz="8" w:color="E5E9E3"/>
            </w:tcBorders>
            <w:shd w:val="clear" w:color="auto" w:fill="E5E9E3"/>
          </w:tcPr>
          <w:p>
            <w:pPr>
              <w:ind w:left="40"/>
              <w:spacing w:after="0"/>
              <w:rPr>
                <w:sz w:val="20"/>
                <w:szCs w:val="20"/>
                <w:color w:val="auto"/>
              </w:rPr>
            </w:pPr>
            <w:r>
              <w:rPr>
                <w:rFonts w:ascii="Arial" w:cs="Arial" w:eastAsia="Arial" w:hAnsi="Arial"/>
                <w:sz w:val="16"/>
                <w:szCs w:val="16"/>
                <w:b w:val="1"/>
                <w:bCs w:val="1"/>
                <w:color w:val="auto"/>
              </w:rPr>
              <w:t>Nominees for Director</w:t>
            </w:r>
          </w:p>
        </w:tc>
        <w:tc>
          <w:tcPr>
            <w:tcW w:w="400" w:type="dxa"/>
            <w:vAlign w:val="bottom"/>
            <w:tcBorders>
              <w:bottom w:val="single" w:sz="8" w:color="E5E9E3"/>
            </w:tcBorders>
            <w:shd w:val="clear" w:color="auto" w:fill="E5E9E3"/>
          </w:tcPr>
          <w:p>
            <w:pPr>
              <w:spacing w:after="0"/>
              <w:rPr>
                <w:sz w:val="20"/>
                <w:szCs w:val="20"/>
                <w:color w:val="auto"/>
              </w:rPr>
            </w:pPr>
          </w:p>
        </w:tc>
        <w:tc>
          <w:tcPr>
            <w:tcW w:w="720" w:type="dxa"/>
            <w:vAlign w:val="bottom"/>
            <w:tcBorders>
              <w:bottom w:val="single" w:sz="8" w:color="E5E9E3"/>
            </w:tcBorders>
            <w:shd w:val="clear" w:color="auto" w:fill="E5E9E3"/>
          </w:tcPr>
          <w:p>
            <w:pPr>
              <w:spacing w:after="0"/>
              <w:rPr>
                <w:sz w:val="20"/>
                <w:szCs w:val="20"/>
                <w:color w:val="auto"/>
              </w:rPr>
            </w:pPr>
          </w:p>
        </w:tc>
        <w:tc>
          <w:tcPr>
            <w:tcW w:w="620" w:type="dxa"/>
            <w:vAlign w:val="bottom"/>
            <w:tcBorders>
              <w:bottom w:val="single" w:sz="8" w:color="E5E9E3"/>
            </w:tcBorders>
            <w:shd w:val="clear" w:color="auto" w:fill="E5E9E3"/>
          </w:tcPr>
          <w:p>
            <w:pPr>
              <w:spacing w:after="0"/>
              <w:rPr>
                <w:sz w:val="20"/>
                <w:szCs w:val="20"/>
                <w:color w:val="auto"/>
              </w:rPr>
            </w:pPr>
          </w:p>
        </w:tc>
        <w:tc>
          <w:tcPr>
            <w:tcW w:w="2340" w:type="dxa"/>
            <w:vAlign w:val="bottom"/>
            <w:tcBorders>
              <w:bottom w:val="single" w:sz="8" w:color="E5E9E3"/>
            </w:tcBorders>
            <w:shd w:val="clear" w:color="auto" w:fill="E5E9E3"/>
          </w:tcPr>
          <w:p>
            <w:pPr>
              <w:spacing w:after="0"/>
              <w:rPr>
                <w:sz w:val="20"/>
                <w:szCs w:val="20"/>
                <w:color w:val="auto"/>
              </w:rPr>
            </w:pPr>
          </w:p>
        </w:tc>
        <w:tc>
          <w:tcPr>
            <w:tcW w:w="1200" w:type="dxa"/>
            <w:vAlign w:val="bottom"/>
            <w:tcBorders>
              <w:bottom w:val="single" w:sz="8" w:color="E5E9E3"/>
            </w:tcBorders>
            <w:shd w:val="clear" w:color="auto" w:fill="E5E9E3"/>
          </w:tcPr>
          <w:p>
            <w:pPr>
              <w:spacing w:after="0"/>
              <w:rPr>
                <w:sz w:val="20"/>
                <w:szCs w:val="20"/>
                <w:color w:val="auto"/>
              </w:rPr>
            </w:pPr>
          </w:p>
        </w:tc>
        <w:tc>
          <w:tcPr>
            <w:tcW w:w="440" w:type="dxa"/>
            <w:vAlign w:val="bottom"/>
            <w:tcBorders>
              <w:bottom w:val="single" w:sz="8" w:color="E5E9E3"/>
            </w:tcBorders>
            <w:shd w:val="clear" w:color="auto" w:fill="E5E9E3"/>
          </w:tcPr>
          <w:p>
            <w:pPr>
              <w:spacing w:after="0"/>
              <w:rPr>
                <w:sz w:val="20"/>
                <w:szCs w:val="20"/>
                <w:color w:val="auto"/>
              </w:rPr>
            </w:pPr>
          </w:p>
        </w:tc>
        <w:tc>
          <w:tcPr>
            <w:tcW w:w="440" w:type="dxa"/>
            <w:vAlign w:val="bottom"/>
            <w:tcBorders>
              <w:bottom w:val="single" w:sz="8" w:color="E5E9E3"/>
            </w:tcBorders>
            <w:shd w:val="clear" w:color="auto" w:fill="E5E9E3"/>
          </w:tcPr>
          <w:p>
            <w:pPr>
              <w:spacing w:after="0"/>
              <w:rPr>
                <w:sz w:val="20"/>
                <w:szCs w:val="20"/>
                <w:color w:val="auto"/>
              </w:rPr>
            </w:pPr>
          </w:p>
        </w:tc>
        <w:tc>
          <w:tcPr>
            <w:tcW w:w="540" w:type="dxa"/>
            <w:vAlign w:val="bottom"/>
            <w:tcBorders>
              <w:bottom w:val="single" w:sz="8" w:color="E5E9E3"/>
            </w:tcBorders>
            <w:shd w:val="clear" w:color="auto" w:fill="E5E9E3"/>
          </w:tcPr>
          <w:p>
            <w:pPr>
              <w:spacing w:after="0"/>
              <w:rPr>
                <w:sz w:val="20"/>
                <w:szCs w:val="20"/>
                <w:color w:val="auto"/>
              </w:rPr>
            </w:pPr>
          </w:p>
        </w:tc>
        <w:tc>
          <w:tcPr>
            <w:tcW w:w="660" w:type="dxa"/>
            <w:vAlign w:val="bottom"/>
            <w:tcBorders>
              <w:bottom w:val="single" w:sz="8" w:color="E5E9E3"/>
            </w:tcBorders>
            <w:shd w:val="clear" w:color="auto" w:fill="E5E9E3"/>
          </w:tcPr>
          <w:p>
            <w:pPr>
              <w:spacing w:after="0"/>
              <w:rPr>
                <w:sz w:val="20"/>
                <w:szCs w:val="20"/>
                <w:color w:val="auto"/>
              </w:rPr>
            </w:pPr>
          </w:p>
        </w:tc>
      </w:tr>
      <w:tr>
        <w:trPr>
          <w:trHeight w:val="257"/>
        </w:trPr>
        <w:tc>
          <w:tcPr>
            <w:tcW w:w="1820" w:type="dxa"/>
            <w:vAlign w:val="bottom"/>
          </w:tcPr>
          <w:p>
            <w:pPr>
              <w:ind w:left="40"/>
              <w:spacing w:after="0"/>
              <w:rPr>
                <w:sz w:val="20"/>
                <w:szCs w:val="20"/>
                <w:color w:val="auto"/>
              </w:rPr>
            </w:pPr>
            <w:r>
              <w:rPr>
                <w:rFonts w:ascii="Arial" w:cs="Arial" w:eastAsia="Arial" w:hAnsi="Arial"/>
                <w:sz w:val="16"/>
                <w:szCs w:val="16"/>
                <w:color w:val="auto"/>
              </w:rPr>
              <w:t>Forbes I.J. Alexander</w:t>
            </w:r>
          </w:p>
        </w:tc>
        <w:tc>
          <w:tcPr>
            <w:tcW w:w="400" w:type="dxa"/>
            <w:vAlign w:val="bottom"/>
          </w:tcPr>
          <w:p>
            <w:pPr>
              <w:jc w:val="center"/>
              <w:spacing w:after="0"/>
              <w:rPr>
                <w:sz w:val="20"/>
                <w:szCs w:val="20"/>
                <w:color w:val="auto"/>
              </w:rPr>
            </w:pPr>
            <w:r>
              <w:rPr>
                <w:rFonts w:ascii="Arial" w:cs="Arial" w:eastAsia="Arial" w:hAnsi="Arial"/>
                <w:sz w:val="16"/>
                <w:szCs w:val="16"/>
                <w:color w:val="auto"/>
              </w:rPr>
              <w:t>64</w:t>
            </w:r>
          </w:p>
        </w:tc>
        <w:tc>
          <w:tcPr>
            <w:tcW w:w="720" w:type="dxa"/>
            <w:vAlign w:val="bottom"/>
          </w:tcPr>
          <w:p>
            <w:pPr>
              <w:jc w:val="center"/>
              <w:spacing w:after="0"/>
              <w:rPr>
                <w:sz w:val="20"/>
                <w:szCs w:val="20"/>
                <w:color w:val="auto"/>
              </w:rPr>
            </w:pPr>
            <w:r>
              <w:rPr>
                <w:rFonts w:ascii="Arial" w:cs="Arial" w:eastAsia="Arial" w:hAnsi="Arial"/>
                <w:sz w:val="16"/>
                <w:szCs w:val="16"/>
                <w:color w:val="auto"/>
              </w:rPr>
              <w:t>2024</w:t>
            </w:r>
          </w:p>
        </w:tc>
        <w:tc>
          <w:tcPr>
            <w:tcW w:w="620" w:type="dxa"/>
            <w:vAlign w:val="bottom"/>
          </w:tcPr>
          <w:p>
            <w:pPr>
              <w:jc w:val="center"/>
              <w:spacing w:after="0"/>
              <w:rPr>
                <w:sz w:val="20"/>
                <w:szCs w:val="20"/>
                <w:color w:val="auto"/>
              </w:rPr>
            </w:pPr>
            <w:r>
              <w:rPr>
                <w:rFonts w:ascii="Arial" w:cs="Arial" w:eastAsia="Arial" w:hAnsi="Arial"/>
                <w:sz w:val="16"/>
                <w:szCs w:val="16"/>
                <w:color w:val="auto"/>
                <w:w w:val="98"/>
              </w:rPr>
              <w:t>&gt;1</w:t>
            </w:r>
          </w:p>
        </w:tc>
        <w:tc>
          <w:tcPr>
            <w:tcW w:w="2340" w:type="dxa"/>
            <w:vAlign w:val="bottom"/>
          </w:tcPr>
          <w:p>
            <w:pPr>
              <w:ind w:left="40"/>
              <w:spacing w:after="0"/>
              <w:rPr>
                <w:sz w:val="20"/>
                <w:szCs w:val="20"/>
                <w:color w:val="auto"/>
              </w:rPr>
            </w:pPr>
            <w:r>
              <w:rPr>
                <w:rFonts w:ascii="Arial" w:cs="Arial" w:eastAsia="Arial" w:hAnsi="Arial"/>
                <w:sz w:val="16"/>
                <w:szCs w:val="16"/>
                <w:color w:val="auto"/>
              </w:rPr>
              <w:t>Director</w:t>
            </w:r>
          </w:p>
        </w:tc>
        <w:tc>
          <w:tcPr>
            <w:tcW w:w="1200" w:type="dxa"/>
            <w:vAlign w:val="bottom"/>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None</w:t>
            </w:r>
          </w:p>
        </w:tc>
      </w:tr>
      <w:tr>
        <w:trPr>
          <w:trHeight w:val="257"/>
        </w:trPr>
        <w:tc>
          <w:tcPr>
            <w:tcW w:w="1820" w:type="dxa"/>
            <w:vAlign w:val="bottom"/>
            <w:shd w:val="clear" w:color="auto" w:fill="E5E9E3"/>
          </w:tcPr>
          <w:p>
            <w:pPr>
              <w:ind w:left="40"/>
              <w:spacing w:after="0"/>
              <w:rPr>
                <w:sz w:val="20"/>
                <w:szCs w:val="20"/>
                <w:color w:val="auto"/>
              </w:rPr>
            </w:pPr>
            <w:r>
              <w:rPr>
                <w:rFonts w:ascii="Arial" w:cs="Arial" w:eastAsia="Arial" w:hAnsi="Arial"/>
                <w:sz w:val="16"/>
                <w:szCs w:val="16"/>
                <w:color w:val="auto"/>
              </w:rPr>
              <w:t>Dr. Frank H. Levinson</w:t>
            </w:r>
          </w:p>
        </w:tc>
        <w:tc>
          <w:tcPr>
            <w:tcW w:w="40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71</w:t>
            </w:r>
          </w:p>
        </w:tc>
        <w:tc>
          <w:tcPr>
            <w:tcW w:w="72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2001</w:t>
            </w:r>
          </w:p>
        </w:tc>
        <w:tc>
          <w:tcPr>
            <w:tcW w:w="62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23</w:t>
            </w:r>
          </w:p>
        </w:tc>
        <w:tc>
          <w:tcPr>
            <w:tcW w:w="2340" w:type="dxa"/>
            <w:vAlign w:val="bottom"/>
            <w:shd w:val="clear" w:color="auto" w:fill="E5E9E3"/>
          </w:tcPr>
          <w:p>
            <w:pPr>
              <w:ind w:left="40"/>
              <w:spacing w:after="0"/>
              <w:rPr>
                <w:sz w:val="20"/>
                <w:szCs w:val="20"/>
                <w:color w:val="auto"/>
              </w:rPr>
            </w:pPr>
            <w:r>
              <w:rPr>
                <w:rFonts w:ascii="Arial" w:cs="Arial" w:eastAsia="Arial" w:hAnsi="Arial"/>
                <w:sz w:val="16"/>
                <w:szCs w:val="16"/>
                <w:color w:val="auto"/>
              </w:rPr>
              <w:t>Director</w:t>
            </w:r>
          </w:p>
        </w:tc>
        <w:tc>
          <w:tcPr>
            <w:tcW w:w="1200" w:type="dxa"/>
            <w:vAlign w:val="bottom"/>
            <w:shd w:val="clear" w:color="auto" w:fill="E5E9E3"/>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shd w:val="clear" w:color="auto" w:fill="E5E9E3"/>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4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Chair</w:t>
            </w:r>
          </w:p>
        </w:tc>
        <w:tc>
          <w:tcPr>
            <w:tcW w:w="540" w:type="dxa"/>
            <w:vAlign w:val="bottom"/>
            <w:shd w:val="clear" w:color="auto" w:fill="E5E9E3"/>
          </w:tcPr>
          <w:p>
            <w:pPr>
              <w:spacing w:after="0"/>
              <w:rPr>
                <w:sz w:val="22"/>
                <w:szCs w:val="22"/>
                <w:color w:val="auto"/>
              </w:rPr>
            </w:pPr>
          </w:p>
        </w:tc>
        <w:tc>
          <w:tcPr>
            <w:tcW w:w="66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None</w:t>
            </w:r>
          </w:p>
        </w:tc>
      </w:tr>
      <w:tr>
        <w:trPr>
          <w:trHeight w:val="202"/>
        </w:trPr>
        <w:tc>
          <w:tcPr>
            <w:tcW w:w="1820" w:type="dxa"/>
            <w:vAlign w:val="bottom"/>
          </w:tcPr>
          <w:p>
            <w:pPr>
              <w:ind w:left="40"/>
              <w:spacing w:after="0"/>
              <w:rPr>
                <w:sz w:val="20"/>
                <w:szCs w:val="20"/>
                <w:color w:val="auto"/>
              </w:rPr>
            </w:pPr>
            <w:r>
              <w:rPr>
                <w:rFonts w:ascii="Arial" w:cs="Arial" w:eastAsia="Arial" w:hAnsi="Arial"/>
                <w:sz w:val="16"/>
                <w:szCs w:val="16"/>
                <w:color w:val="auto"/>
              </w:rPr>
              <w:t>David T. (Tom) Mitchell</w:t>
            </w:r>
          </w:p>
        </w:tc>
        <w:tc>
          <w:tcPr>
            <w:tcW w:w="400" w:type="dxa"/>
            <w:vAlign w:val="bottom"/>
          </w:tcPr>
          <w:p>
            <w:pPr>
              <w:jc w:val="center"/>
              <w:spacing w:after="0"/>
              <w:rPr>
                <w:sz w:val="20"/>
                <w:szCs w:val="20"/>
                <w:color w:val="auto"/>
              </w:rPr>
            </w:pPr>
            <w:r>
              <w:rPr>
                <w:rFonts w:ascii="Arial" w:cs="Arial" w:eastAsia="Arial" w:hAnsi="Arial"/>
                <w:sz w:val="16"/>
                <w:szCs w:val="16"/>
                <w:color w:val="auto"/>
              </w:rPr>
              <w:t>82</w:t>
            </w:r>
          </w:p>
        </w:tc>
        <w:tc>
          <w:tcPr>
            <w:tcW w:w="720" w:type="dxa"/>
            <w:vAlign w:val="bottom"/>
          </w:tcPr>
          <w:p>
            <w:pPr>
              <w:jc w:val="center"/>
              <w:spacing w:after="0"/>
              <w:rPr>
                <w:sz w:val="20"/>
                <w:szCs w:val="20"/>
                <w:color w:val="auto"/>
              </w:rPr>
            </w:pPr>
            <w:r>
              <w:rPr>
                <w:rFonts w:ascii="Arial" w:cs="Arial" w:eastAsia="Arial" w:hAnsi="Arial"/>
                <w:sz w:val="16"/>
                <w:szCs w:val="16"/>
                <w:color w:val="auto"/>
              </w:rPr>
              <w:t>2000</w:t>
            </w:r>
          </w:p>
        </w:tc>
        <w:tc>
          <w:tcPr>
            <w:tcW w:w="620" w:type="dxa"/>
            <w:vAlign w:val="bottom"/>
          </w:tcPr>
          <w:p>
            <w:pPr>
              <w:jc w:val="center"/>
              <w:spacing w:after="0"/>
              <w:rPr>
                <w:sz w:val="20"/>
                <w:szCs w:val="20"/>
                <w:color w:val="auto"/>
              </w:rPr>
            </w:pPr>
            <w:r>
              <w:rPr>
                <w:rFonts w:ascii="Arial" w:cs="Arial" w:eastAsia="Arial" w:hAnsi="Arial"/>
                <w:sz w:val="16"/>
                <w:szCs w:val="16"/>
                <w:color w:val="auto"/>
              </w:rPr>
              <w:t>24</w:t>
            </w:r>
          </w:p>
        </w:tc>
        <w:tc>
          <w:tcPr>
            <w:tcW w:w="2340" w:type="dxa"/>
            <w:vAlign w:val="bottom"/>
          </w:tcPr>
          <w:p>
            <w:pPr>
              <w:ind w:left="40"/>
              <w:spacing w:after="0"/>
              <w:rPr>
                <w:sz w:val="20"/>
                <w:szCs w:val="20"/>
                <w:color w:val="auto"/>
              </w:rPr>
            </w:pPr>
            <w:r>
              <w:rPr>
                <w:rFonts w:ascii="Arial" w:cs="Arial" w:eastAsia="Arial" w:hAnsi="Arial"/>
                <w:sz w:val="16"/>
                <w:szCs w:val="16"/>
                <w:color w:val="auto"/>
              </w:rPr>
              <w:t>Founder and Chairman of the</w:t>
            </w: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None</w:t>
            </w:r>
          </w:p>
        </w:tc>
      </w:tr>
      <w:tr>
        <w:trPr>
          <w:trHeight w:val="215"/>
        </w:trPr>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40" w:type="dxa"/>
            <w:vAlign w:val="bottom"/>
          </w:tcPr>
          <w:p>
            <w:pPr>
              <w:ind w:left="40"/>
              <w:spacing w:after="0"/>
              <w:rPr>
                <w:sz w:val="20"/>
                <w:szCs w:val="20"/>
                <w:color w:val="auto"/>
              </w:rPr>
            </w:pPr>
            <w:r>
              <w:rPr>
                <w:rFonts w:ascii="Arial" w:cs="Arial" w:eastAsia="Arial" w:hAnsi="Arial"/>
                <w:sz w:val="16"/>
                <w:szCs w:val="16"/>
                <w:color w:val="auto"/>
              </w:rPr>
              <w:t>Board</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9"/>
        </w:trPr>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6"/>
        </w:trPr>
        <w:tc>
          <w:tcPr>
            <w:tcW w:w="1820" w:type="dxa"/>
            <w:vAlign w:val="bottom"/>
            <w:tcBorders>
              <w:bottom w:val="single" w:sz="8" w:color="E5E9E3"/>
            </w:tcBorders>
            <w:shd w:val="clear" w:color="auto" w:fill="E5E9E3"/>
          </w:tcPr>
          <w:p>
            <w:pPr>
              <w:ind w:left="40"/>
              <w:spacing w:after="0"/>
              <w:rPr>
                <w:sz w:val="20"/>
                <w:szCs w:val="20"/>
                <w:color w:val="auto"/>
              </w:rPr>
            </w:pPr>
            <w:r>
              <w:rPr>
                <w:rFonts w:ascii="Arial" w:cs="Arial" w:eastAsia="Arial" w:hAnsi="Arial"/>
                <w:sz w:val="16"/>
                <w:szCs w:val="16"/>
                <w:b w:val="1"/>
                <w:bCs w:val="1"/>
                <w:color w:val="auto"/>
              </w:rPr>
              <w:t>Continuing Directors</w:t>
            </w:r>
          </w:p>
        </w:tc>
        <w:tc>
          <w:tcPr>
            <w:tcW w:w="400" w:type="dxa"/>
            <w:vAlign w:val="bottom"/>
            <w:tcBorders>
              <w:bottom w:val="single" w:sz="8" w:color="E5E9E3"/>
            </w:tcBorders>
            <w:shd w:val="clear" w:color="auto" w:fill="E5E9E3"/>
          </w:tcPr>
          <w:p>
            <w:pPr>
              <w:spacing w:after="0"/>
              <w:rPr>
                <w:sz w:val="20"/>
                <w:szCs w:val="20"/>
                <w:color w:val="auto"/>
              </w:rPr>
            </w:pPr>
          </w:p>
        </w:tc>
        <w:tc>
          <w:tcPr>
            <w:tcW w:w="720" w:type="dxa"/>
            <w:vAlign w:val="bottom"/>
            <w:tcBorders>
              <w:bottom w:val="single" w:sz="8" w:color="E5E9E3"/>
            </w:tcBorders>
            <w:shd w:val="clear" w:color="auto" w:fill="E5E9E3"/>
          </w:tcPr>
          <w:p>
            <w:pPr>
              <w:spacing w:after="0"/>
              <w:rPr>
                <w:sz w:val="20"/>
                <w:szCs w:val="20"/>
                <w:color w:val="auto"/>
              </w:rPr>
            </w:pPr>
          </w:p>
        </w:tc>
        <w:tc>
          <w:tcPr>
            <w:tcW w:w="620" w:type="dxa"/>
            <w:vAlign w:val="bottom"/>
            <w:tcBorders>
              <w:bottom w:val="single" w:sz="8" w:color="E5E9E3"/>
            </w:tcBorders>
            <w:shd w:val="clear" w:color="auto" w:fill="E5E9E3"/>
          </w:tcPr>
          <w:p>
            <w:pPr>
              <w:spacing w:after="0"/>
              <w:rPr>
                <w:sz w:val="20"/>
                <w:szCs w:val="20"/>
                <w:color w:val="auto"/>
              </w:rPr>
            </w:pPr>
          </w:p>
        </w:tc>
        <w:tc>
          <w:tcPr>
            <w:tcW w:w="2340" w:type="dxa"/>
            <w:vAlign w:val="bottom"/>
            <w:tcBorders>
              <w:bottom w:val="single" w:sz="8" w:color="E5E9E3"/>
            </w:tcBorders>
            <w:shd w:val="clear" w:color="auto" w:fill="E5E9E3"/>
          </w:tcPr>
          <w:p>
            <w:pPr>
              <w:spacing w:after="0"/>
              <w:rPr>
                <w:sz w:val="20"/>
                <w:szCs w:val="20"/>
                <w:color w:val="auto"/>
              </w:rPr>
            </w:pPr>
          </w:p>
        </w:tc>
        <w:tc>
          <w:tcPr>
            <w:tcW w:w="1200" w:type="dxa"/>
            <w:vAlign w:val="bottom"/>
            <w:tcBorders>
              <w:bottom w:val="single" w:sz="8" w:color="E5E9E3"/>
            </w:tcBorders>
            <w:shd w:val="clear" w:color="auto" w:fill="E5E9E3"/>
          </w:tcPr>
          <w:p>
            <w:pPr>
              <w:spacing w:after="0"/>
              <w:rPr>
                <w:sz w:val="20"/>
                <w:szCs w:val="20"/>
                <w:color w:val="auto"/>
              </w:rPr>
            </w:pPr>
          </w:p>
        </w:tc>
        <w:tc>
          <w:tcPr>
            <w:tcW w:w="440" w:type="dxa"/>
            <w:vAlign w:val="bottom"/>
            <w:tcBorders>
              <w:bottom w:val="single" w:sz="8" w:color="E5E9E3"/>
            </w:tcBorders>
            <w:shd w:val="clear" w:color="auto" w:fill="E5E9E3"/>
          </w:tcPr>
          <w:p>
            <w:pPr>
              <w:spacing w:after="0"/>
              <w:rPr>
                <w:sz w:val="20"/>
                <w:szCs w:val="20"/>
                <w:color w:val="auto"/>
              </w:rPr>
            </w:pPr>
          </w:p>
        </w:tc>
        <w:tc>
          <w:tcPr>
            <w:tcW w:w="440" w:type="dxa"/>
            <w:vAlign w:val="bottom"/>
            <w:tcBorders>
              <w:bottom w:val="single" w:sz="8" w:color="E5E9E3"/>
            </w:tcBorders>
            <w:shd w:val="clear" w:color="auto" w:fill="E5E9E3"/>
          </w:tcPr>
          <w:p>
            <w:pPr>
              <w:spacing w:after="0"/>
              <w:rPr>
                <w:sz w:val="20"/>
                <w:szCs w:val="20"/>
                <w:color w:val="auto"/>
              </w:rPr>
            </w:pPr>
          </w:p>
        </w:tc>
        <w:tc>
          <w:tcPr>
            <w:tcW w:w="540" w:type="dxa"/>
            <w:vAlign w:val="bottom"/>
            <w:tcBorders>
              <w:bottom w:val="single" w:sz="8" w:color="E5E9E3"/>
            </w:tcBorders>
            <w:shd w:val="clear" w:color="auto" w:fill="E5E9E3"/>
          </w:tcPr>
          <w:p>
            <w:pPr>
              <w:spacing w:after="0"/>
              <w:rPr>
                <w:sz w:val="20"/>
                <w:szCs w:val="20"/>
                <w:color w:val="auto"/>
              </w:rPr>
            </w:pPr>
          </w:p>
        </w:tc>
        <w:tc>
          <w:tcPr>
            <w:tcW w:w="660" w:type="dxa"/>
            <w:vAlign w:val="bottom"/>
            <w:tcBorders>
              <w:bottom w:val="single" w:sz="8" w:color="E5E9E3"/>
            </w:tcBorders>
            <w:shd w:val="clear" w:color="auto" w:fill="E5E9E3"/>
          </w:tcPr>
          <w:p>
            <w:pPr>
              <w:spacing w:after="0"/>
              <w:rPr>
                <w:sz w:val="20"/>
                <w:szCs w:val="20"/>
                <w:color w:val="auto"/>
              </w:rPr>
            </w:pPr>
          </w:p>
        </w:tc>
      </w:tr>
      <w:tr>
        <w:trPr>
          <w:trHeight w:val="257"/>
        </w:trPr>
        <w:tc>
          <w:tcPr>
            <w:tcW w:w="1820" w:type="dxa"/>
            <w:vAlign w:val="bottom"/>
          </w:tcPr>
          <w:p>
            <w:pPr>
              <w:ind w:left="40"/>
              <w:spacing w:after="0"/>
              <w:rPr>
                <w:sz w:val="20"/>
                <w:szCs w:val="20"/>
                <w:color w:val="auto"/>
              </w:rPr>
            </w:pPr>
            <w:r>
              <w:rPr>
                <w:rFonts w:ascii="Arial" w:cs="Arial" w:eastAsia="Arial" w:hAnsi="Arial"/>
                <w:sz w:val="16"/>
                <w:szCs w:val="16"/>
                <w:color w:val="auto"/>
              </w:rPr>
              <w:t>Dr. Homa Bahrami</w:t>
            </w:r>
          </w:p>
        </w:tc>
        <w:tc>
          <w:tcPr>
            <w:tcW w:w="400" w:type="dxa"/>
            <w:vAlign w:val="bottom"/>
          </w:tcPr>
          <w:p>
            <w:pPr>
              <w:jc w:val="center"/>
              <w:spacing w:after="0"/>
              <w:rPr>
                <w:sz w:val="20"/>
                <w:szCs w:val="20"/>
                <w:color w:val="auto"/>
              </w:rPr>
            </w:pPr>
            <w:r>
              <w:rPr>
                <w:rFonts w:ascii="Arial" w:cs="Arial" w:eastAsia="Arial" w:hAnsi="Arial"/>
                <w:sz w:val="16"/>
                <w:szCs w:val="16"/>
                <w:color w:val="auto"/>
              </w:rPr>
              <w:t>69</w:t>
            </w:r>
          </w:p>
        </w:tc>
        <w:tc>
          <w:tcPr>
            <w:tcW w:w="720" w:type="dxa"/>
            <w:vAlign w:val="bottom"/>
          </w:tcPr>
          <w:p>
            <w:pPr>
              <w:jc w:val="center"/>
              <w:spacing w:after="0"/>
              <w:rPr>
                <w:sz w:val="20"/>
                <w:szCs w:val="20"/>
                <w:color w:val="auto"/>
              </w:rPr>
            </w:pPr>
            <w:r>
              <w:rPr>
                <w:rFonts w:ascii="Arial" w:cs="Arial" w:eastAsia="Arial" w:hAnsi="Arial"/>
                <w:sz w:val="16"/>
                <w:szCs w:val="16"/>
                <w:color w:val="auto"/>
              </w:rPr>
              <w:t>2012</w:t>
            </w:r>
          </w:p>
        </w:tc>
        <w:tc>
          <w:tcPr>
            <w:tcW w:w="620" w:type="dxa"/>
            <w:vAlign w:val="bottom"/>
          </w:tcPr>
          <w:p>
            <w:pPr>
              <w:jc w:val="center"/>
              <w:spacing w:after="0"/>
              <w:rPr>
                <w:sz w:val="20"/>
                <w:szCs w:val="20"/>
                <w:color w:val="auto"/>
              </w:rPr>
            </w:pPr>
            <w:r>
              <w:rPr>
                <w:rFonts w:ascii="Arial" w:cs="Arial" w:eastAsia="Arial" w:hAnsi="Arial"/>
                <w:sz w:val="16"/>
                <w:szCs w:val="16"/>
                <w:color w:val="auto"/>
              </w:rPr>
              <w:t>12</w:t>
            </w:r>
          </w:p>
        </w:tc>
        <w:tc>
          <w:tcPr>
            <w:tcW w:w="2340" w:type="dxa"/>
            <w:vAlign w:val="bottom"/>
          </w:tcPr>
          <w:p>
            <w:pPr>
              <w:ind w:left="40"/>
              <w:spacing w:after="0"/>
              <w:rPr>
                <w:sz w:val="20"/>
                <w:szCs w:val="20"/>
                <w:color w:val="auto"/>
              </w:rPr>
            </w:pPr>
            <w:r>
              <w:rPr>
                <w:rFonts w:ascii="Arial" w:cs="Arial" w:eastAsia="Arial" w:hAnsi="Arial"/>
                <w:sz w:val="16"/>
                <w:szCs w:val="16"/>
                <w:color w:val="auto"/>
              </w:rPr>
              <w:t>Director</w:t>
            </w:r>
          </w:p>
        </w:tc>
        <w:tc>
          <w:tcPr>
            <w:tcW w:w="1200" w:type="dxa"/>
            <w:vAlign w:val="bottom"/>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tcPr>
          <w:p>
            <w:pPr>
              <w:spacing w:after="0"/>
              <w:rPr>
                <w:sz w:val="22"/>
                <w:szCs w:val="22"/>
                <w:color w:val="auto"/>
              </w:rPr>
            </w:pPr>
          </w:p>
        </w:tc>
        <w:tc>
          <w:tcPr>
            <w:tcW w:w="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660" w:type="dxa"/>
            <w:vAlign w:val="bottom"/>
          </w:tcPr>
          <w:p>
            <w:pPr>
              <w:jc w:val="center"/>
              <w:spacing w:after="0"/>
              <w:rPr>
                <w:sz w:val="20"/>
                <w:szCs w:val="20"/>
                <w:color w:val="auto"/>
              </w:rPr>
            </w:pPr>
            <w:r>
              <w:rPr>
                <w:rFonts w:ascii="Arial" w:cs="Arial" w:eastAsia="Arial" w:hAnsi="Arial"/>
                <w:sz w:val="16"/>
                <w:szCs w:val="16"/>
                <w:color w:val="auto"/>
              </w:rPr>
              <w:t>None</w:t>
            </w:r>
          </w:p>
        </w:tc>
      </w:tr>
      <w:tr>
        <w:trPr>
          <w:trHeight w:val="202"/>
        </w:trPr>
        <w:tc>
          <w:tcPr>
            <w:tcW w:w="1820" w:type="dxa"/>
            <w:vAlign w:val="bottom"/>
            <w:shd w:val="clear" w:color="auto" w:fill="E5E9E3"/>
          </w:tcPr>
          <w:p>
            <w:pPr>
              <w:ind w:left="40"/>
              <w:spacing w:after="0"/>
              <w:rPr>
                <w:sz w:val="20"/>
                <w:szCs w:val="20"/>
                <w:color w:val="auto"/>
              </w:rPr>
            </w:pPr>
            <w:r>
              <w:rPr>
                <w:rFonts w:ascii="Arial" w:cs="Arial" w:eastAsia="Arial" w:hAnsi="Arial"/>
                <w:sz w:val="16"/>
                <w:szCs w:val="16"/>
                <w:color w:val="auto"/>
              </w:rPr>
              <w:t>Seamus Grady</w:t>
            </w:r>
          </w:p>
        </w:tc>
        <w:tc>
          <w:tcPr>
            <w:tcW w:w="40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57</w:t>
            </w:r>
          </w:p>
        </w:tc>
        <w:tc>
          <w:tcPr>
            <w:tcW w:w="72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2017</w:t>
            </w:r>
          </w:p>
        </w:tc>
        <w:tc>
          <w:tcPr>
            <w:tcW w:w="62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7</w:t>
            </w:r>
          </w:p>
        </w:tc>
        <w:tc>
          <w:tcPr>
            <w:tcW w:w="2340" w:type="dxa"/>
            <w:vAlign w:val="bottom"/>
            <w:shd w:val="clear" w:color="auto" w:fill="E5E9E3"/>
          </w:tcPr>
          <w:p>
            <w:pPr>
              <w:ind w:left="40"/>
              <w:spacing w:after="0"/>
              <w:rPr>
                <w:sz w:val="20"/>
                <w:szCs w:val="20"/>
                <w:color w:val="auto"/>
              </w:rPr>
            </w:pPr>
            <w:r>
              <w:rPr>
                <w:rFonts w:ascii="Arial" w:cs="Arial" w:eastAsia="Arial" w:hAnsi="Arial"/>
                <w:sz w:val="16"/>
                <w:szCs w:val="16"/>
                <w:color w:val="auto"/>
              </w:rPr>
              <w:t>Chief Executive Officer and</w:t>
            </w:r>
          </w:p>
        </w:tc>
        <w:tc>
          <w:tcPr>
            <w:tcW w:w="1200" w:type="dxa"/>
            <w:vAlign w:val="bottom"/>
            <w:shd w:val="clear" w:color="auto" w:fill="E5E9E3"/>
          </w:tcPr>
          <w:p>
            <w:pPr>
              <w:spacing w:after="0"/>
              <w:rPr>
                <w:sz w:val="17"/>
                <w:szCs w:val="17"/>
                <w:color w:val="auto"/>
              </w:rPr>
            </w:pPr>
          </w:p>
        </w:tc>
        <w:tc>
          <w:tcPr>
            <w:tcW w:w="440" w:type="dxa"/>
            <w:vAlign w:val="bottom"/>
            <w:shd w:val="clear" w:color="auto" w:fill="E5E9E3"/>
          </w:tcPr>
          <w:p>
            <w:pPr>
              <w:spacing w:after="0"/>
              <w:rPr>
                <w:sz w:val="17"/>
                <w:szCs w:val="17"/>
                <w:color w:val="auto"/>
              </w:rPr>
            </w:pPr>
          </w:p>
        </w:tc>
        <w:tc>
          <w:tcPr>
            <w:tcW w:w="440" w:type="dxa"/>
            <w:vAlign w:val="bottom"/>
            <w:shd w:val="clear" w:color="auto" w:fill="E5E9E3"/>
          </w:tcPr>
          <w:p>
            <w:pPr>
              <w:spacing w:after="0"/>
              <w:rPr>
                <w:sz w:val="17"/>
                <w:szCs w:val="17"/>
                <w:color w:val="auto"/>
              </w:rPr>
            </w:pPr>
          </w:p>
        </w:tc>
        <w:tc>
          <w:tcPr>
            <w:tcW w:w="540" w:type="dxa"/>
            <w:vAlign w:val="bottom"/>
            <w:shd w:val="clear" w:color="auto" w:fill="E5E9E3"/>
          </w:tcPr>
          <w:p>
            <w:pPr>
              <w:spacing w:after="0"/>
              <w:rPr>
                <w:sz w:val="17"/>
                <w:szCs w:val="17"/>
                <w:color w:val="auto"/>
              </w:rPr>
            </w:pPr>
          </w:p>
        </w:tc>
        <w:tc>
          <w:tcPr>
            <w:tcW w:w="66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None</w:t>
            </w:r>
          </w:p>
        </w:tc>
      </w:tr>
      <w:tr>
        <w:trPr>
          <w:trHeight w:val="224"/>
        </w:trPr>
        <w:tc>
          <w:tcPr>
            <w:tcW w:w="1820" w:type="dxa"/>
            <w:vAlign w:val="bottom"/>
            <w:tcBorders>
              <w:bottom w:val="single" w:sz="8" w:color="E5E9E3"/>
            </w:tcBorders>
            <w:shd w:val="clear" w:color="auto" w:fill="E5E9E3"/>
          </w:tcPr>
          <w:p>
            <w:pPr>
              <w:spacing w:after="0"/>
              <w:rPr>
                <w:sz w:val="19"/>
                <w:szCs w:val="19"/>
                <w:color w:val="auto"/>
              </w:rPr>
            </w:pPr>
          </w:p>
        </w:tc>
        <w:tc>
          <w:tcPr>
            <w:tcW w:w="400" w:type="dxa"/>
            <w:vAlign w:val="bottom"/>
            <w:tcBorders>
              <w:bottom w:val="single" w:sz="8" w:color="E5E9E3"/>
            </w:tcBorders>
            <w:shd w:val="clear" w:color="auto" w:fill="E5E9E3"/>
          </w:tcPr>
          <w:p>
            <w:pPr>
              <w:spacing w:after="0"/>
              <w:rPr>
                <w:sz w:val="19"/>
                <w:szCs w:val="19"/>
                <w:color w:val="auto"/>
              </w:rPr>
            </w:pPr>
          </w:p>
        </w:tc>
        <w:tc>
          <w:tcPr>
            <w:tcW w:w="720" w:type="dxa"/>
            <w:vAlign w:val="bottom"/>
            <w:tcBorders>
              <w:bottom w:val="single" w:sz="8" w:color="E5E9E3"/>
            </w:tcBorders>
            <w:shd w:val="clear" w:color="auto" w:fill="E5E9E3"/>
          </w:tcPr>
          <w:p>
            <w:pPr>
              <w:spacing w:after="0"/>
              <w:rPr>
                <w:sz w:val="19"/>
                <w:szCs w:val="19"/>
                <w:color w:val="auto"/>
              </w:rPr>
            </w:pPr>
          </w:p>
        </w:tc>
        <w:tc>
          <w:tcPr>
            <w:tcW w:w="620" w:type="dxa"/>
            <w:vAlign w:val="bottom"/>
            <w:tcBorders>
              <w:bottom w:val="single" w:sz="8" w:color="E5E9E3"/>
            </w:tcBorders>
            <w:shd w:val="clear" w:color="auto" w:fill="E5E9E3"/>
          </w:tcPr>
          <w:p>
            <w:pPr>
              <w:spacing w:after="0"/>
              <w:rPr>
                <w:sz w:val="19"/>
                <w:szCs w:val="19"/>
                <w:color w:val="auto"/>
              </w:rPr>
            </w:pPr>
          </w:p>
        </w:tc>
        <w:tc>
          <w:tcPr>
            <w:tcW w:w="2340" w:type="dxa"/>
            <w:vAlign w:val="bottom"/>
            <w:tcBorders>
              <w:bottom w:val="single" w:sz="8" w:color="E5E9E3"/>
            </w:tcBorders>
            <w:shd w:val="clear" w:color="auto" w:fill="E5E9E3"/>
          </w:tcPr>
          <w:p>
            <w:pPr>
              <w:ind w:left="40"/>
              <w:spacing w:after="0"/>
              <w:rPr>
                <w:sz w:val="20"/>
                <w:szCs w:val="20"/>
                <w:color w:val="auto"/>
              </w:rPr>
            </w:pPr>
            <w:r>
              <w:rPr>
                <w:rFonts w:ascii="Arial" w:cs="Arial" w:eastAsia="Arial" w:hAnsi="Arial"/>
                <w:sz w:val="16"/>
                <w:szCs w:val="16"/>
                <w:color w:val="auto"/>
              </w:rPr>
              <w:t>Director</w:t>
            </w:r>
          </w:p>
        </w:tc>
        <w:tc>
          <w:tcPr>
            <w:tcW w:w="1200" w:type="dxa"/>
            <w:vAlign w:val="bottom"/>
            <w:tcBorders>
              <w:bottom w:val="single" w:sz="8" w:color="E5E9E3"/>
            </w:tcBorders>
            <w:shd w:val="clear" w:color="auto" w:fill="E5E9E3"/>
          </w:tcPr>
          <w:p>
            <w:pPr>
              <w:spacing w:after="0"/>
              <w:rPr>
                <w:sz w:val="19"/>
                <w:szCs w:val="19"/>
                <w:color w:val="auto"/>
              </w:rPr>
            </w:pPr>
          </w:p>
        </w:tc>
        <w:tc>
          <w:tcPr>
            <w:tcW w:w="440" w:type="dxa"/>
            <w:vAlign w:val="bottom"/>
            <w:tcBorders>
              <w:bottom w:val="single" w:sz="8" w:color="E5E9E3"/>
            </w:tcBorders>
            <w:shd w:val="clear" w:color="auto" w:fill="E5E9E3"/>
          </w:tcPr>
          <w:p>
            <w:pPr>
              <w:spacing w:after="0"/>
              <w:rPr>
                <w:sz w:val="19"/>
                <w:szCs w:val="19"/>
                <w:color w:val="auto"/>
              </w:rPr>
            </w:pPr>
          </w:p>
        </w:tc>
        <w:tc>
          <w:tcPr>
            <w:tcW w:w="440" w:type="dxa"/>
            <w:vAlign w:val="bottom"/>
            <w:tcBorders>
              <w:bottom w:val="single" w:sz="8" w:color="E5E9E3"/>
            </w:tcBorders>
            <w:shd w:val="clear" w:color="auto" w:fill="E5E9E3"/>
          </w:tcPr>
          <w:p>
            <w:pPr>
              <w:spacing w:after="0"/>
              <w:rPr>
                <w:sz w:val="19"/>
                <w:szCs w:val="19"/>
                <w:color w:val="auto"/>
              </w:rPr>
            </w:pPr>
          </w:p>
        </w:tc>
        <w:tc>
          <w:tcPr>
            <w:tcW w:w="540" w:type="dxa"/>
            <w:vAlign w:val="bottom"/>
            <w:tcBorders>
              <w:bottom w:val="single" w:sz="8" w:color="E5E9E3"/>
            </w:tcBorders>
            <w:shd w:val="clear" w:color="auto" w:fill="E5E9E3"/>
          </w:tcPr>
          <w:p>
            <w:pPr>
              <w:spacing w:after="0"/>
              <w:rPr>
                <w:sz w:val="19"/>
                <w:szCs w:val="19"/>
                <w:color w:val="auto"/>
              </w:rPr>
            </w:pPr>
          </w:p>
        </w:tc>
        <w:tc>
          <w:tcPr>
            <w:tcW w:w="660" w:type="dxa"/>
            <w:vAlign w:val="bottom"/>
            <w:tcBorders>
              <w:bottom w:val="single" w:sz="8" w:color="E5E9E3"/>
            </w:tcBorders>
            <w:shd w:val="clear" w:color="auto" w:fill="E5E9E3"/>
          </w:tcPr>
          <w:p>
            <w:pPr>
              <w:spacing w:after="0"/>
              <w:rPr>
                <w:sz w:val="19"/>
                <w:szCs w:val="19"/>
                <w:color w:val="auto"/>
              </w:rPr>
            </w:pPr>
          </w:p>
        </w:tc>
      </w:tr>
      <w:tr>
        <w:trPr>
          <w:trHeight w:val="257"/>
        </w:trPr>
        <w:tc>
          <w:tcPr>
            <w:tcW w:w="1820" w:type="dxa"/>
            <w:vAlign w:val="bottom"/>
          </w:tcPr>
          <w:p>
            <w:pPr>
              <w:ind w:left="40"/>
              <w:spacing w:after="0"/>
              <w:rPr>
                <w:sz w:val="20"/>
                <w:szCs w:val="20"/>
                <w:color w:val="auto"/>
              </w:rPr>
            </w:pPr>
            <w:r>
              <w:rPr>
                <w:rFonts w:ascii="Arial" w:cs="Arial" w:eastAsia="Arial" w:hAnsi="Arial"/>
                <w:sz w:val="16"/>
                <w:szCs w:val="16"/>
                <w:color w:val="auto"/>
              </w:rPr>
              <w:t>Thomas F. Kelly</w:t>
            </w:r>
          </w:p>
        </w:tc>
        <w:tc>
          <w:tcPr>
            <w:tcW w:w="400" w:type="dxa"/>
            <w:vAlign w:val="bottom"/>
          </w:tcPr>
          <w:p>
            <w:pPr>
              <w:jc w:val="center"/>
              <w:spacing w:after="0"/>
              <w:rPr>
                <w:sz w:val="20"/>
                <w:szCs w:val="20"/>
                <w:color w:val="auto"/>
              </w:rPr>
            </w:pPr>
            <w:r>
              <w:rPr>
                <w:rFonts w:ascii="Arial" w:cs="Arial" w:eastAsia="Arial" w:hAnsi="Arial"/>
                <w:sz w:val="16"/>
                <w:szCs w:val="16"/>
                <w:color w:val="auto"/>
              </w:rPr>
              <w:t>71</w:t>
            </w:r>
          </w:p>
        </w:tc>
        <w:tc>
          <w:tcPr>
            <w:tcW w:w="720" w:type="dxa"/>
            <w:vAlign w:val="bottom"/>
          </w:tcPr>
          <w:p>
            <w:pPr>
              <w:jc w:val="center"/>
              <w:spacing w:after="0"/>
              <w:rPr>
                <w:sz w:val="20"/>
                <w:szCs w:val="20"/>
                <w:color w:val="auto"/>
              </w:rPr>
            </w:pPr>
            <w:r>
              <w:rPr>
                <w:rFonts w:ascii="Arial" w:cs="Arial" w:eastAsia="Arial" w:hAnsi="Arial"/>
                <w:sz w:val="16"/>
                <w:szCs w:val="16"/>
                <w:color w:val="auto"/>
              </w:rPr>
              <w:t>2010</w:t>
            </w:r>
          </w:p>
        </w:tc>
        <w:tc>
          <w:tcPr>
            <w:tcW w:w="620" w:type="dxa"/>
            <w:vAlign w:val="bottom"/>
          </w:tcPr>
          <w:p>
            <w:pPr>
              <w:jc w:val="center"/>
              <w:spacing w:after="0"/>
              <w:rPr>
                <w:sz w:val="20"/>
                <w:szCs w:val="20"/>
                <w:color w:val="auto"/>
              </w:rPr>
            </w:pPr>
            <w:r>
              <w:rPr>
                <w:rFonts w:ascii="Arial" w:cs="Arial" w:eastAsia="Arial" w:hAnsi="Arial"/>
                <w:sz w:val="16"/>
                <w:szCs w:val="16"/>
                <w:color w:val="auto"/>
              </w:rPr>
              <w:t>14</w:t>
            </w:r>
          </w:p>
        </w:tc>
        <w:tc>
          <w:tcPr>
            <w:tcW w:w="2340" w:type="dxa"/>
            <w:vAlign w:val="bottom"/>
          </w:tcPr>
          <w:p>
            <w:pPr>
              <w:ind w:left="40"/>
              <w:spacing w:after="0"/>
              <w:rPr>
                <w:sz w:val="20"/>
                <w:szCs w:val="20"/>
                <w:color w:val="auto"/>
              </w:rPr>
            </w:pPr>
            <w:r>
              <w:rPr>
                <w:rFonts w:ascii="Arial" w:cs="Arial" w:eastAsia="Arial" w:hAnsi="Arial"/>
                <w:sz w:val="16"/>
                <w:szCs w:val="16"/>
                <w:color w:val="auto"/>
              </w:rPr>
              <w:t>Director</w:t>
            </w:r>
          </w:p>
        </w:tc>
        <w:tc>
          <w:tcPr>
            <w:tcW w:w="1200" w:type="dxa"/>
            <w:vAlign w:val="bottom"/>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tcPr>
          <w:p>
            <w:pPr>
              <w:jc w:val="center"/>
              <w:spacing w:after="0"/>
              <w:rPr>
                <w:sz w:val="20"/>
                <w:szCs w:val="20"/>
                <w:color w:val="auto"/>
              </w:rPr>
            </w:pPr>
            <w:r>
              <w:rPr>
                <w:rFonts w:ascii="Arial" w:cs="Arial" w:eastAsia="Arial" w:hAnsi="Arial"/>
                <w:sz w:val="16"/>
                <w:szCs w:val="16"/>
                <w:color w:val="auto"/>
              </w:rPr>
              <w:t>Chair</w:t>
            </w:r>
          </w:p>
        </w:tc>
        <w:tc>
          <w:tcPr>
            <w:tcW w:w="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54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None</w:t>
            </w:r>
          </w:p>
        </w:tc>
      </w:tr>
      <w:tr>
        <w:trPr>
          <w:trHeight w:val="256"/>
        </w:trPr>
        <w:tc>
          <w:tcPr>
            <w:tcW w:w="1820" w:type="dxa"/>
            <w:vAlign w:val="bottom"/>
            <w:shd w:val="clear" w:color="auto" w:fill="E5E9E3"/>
          </w:tcPr>
          <w:p>
            <w:pPr>
              <w:ind w:left="40"/>
              <w:spacing w:after="0"/>
              <w:rPr>
                <w:sz w:val="20"/>
                <w:szCs w:val="20"/>
                <w:color w:val="auto"/>
              </w:rPr>
            </w:pPr>
            <w:r>
              <w:rPr>
                <w:rFonts w:ascii="Arial" w:cs="Arial" w:eastAsia="Arial" w:hAnsi="Arial"/>
                <w:sz w:val="16"/>
                <w:szCs w:val="16"/>
                <w:color w:val="auto"/>
              </w:rPr>
              <w:t>Darlene S. Knight</w:t>
            </w:r>
          </w:p>
        </w:tc>
        <w:tc>
          <w:tcPr>
            <w:tcW w:w="40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58</w:t>
            </w:r>
          </w:p>
        </w:tc>
        <w:tc>
          <w:tcPr>
            <w:tcW w:w="72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2022</w:t>
            </w:r>
          </w:p>
        </w:tc>
        <w:tc>
          <w:tcPr>
            <w:tcW w:w="620" w:type="dxa"/>
            <w:vAlign w:val="bottom"/>
            <w:shd w:val="clear" w:color="auto" w:fill="E5E9E3"/>
          </w:tcPr>
          <w:p>
            <w:pPr>
              <w:jc w:val="center"/>
              <w:spacing w:after="0"/>
              <w:rPr>
                <w:sz w:val="20"/>
                <w:szCs w:val="20"/>
                <w:color w:val="auto"/>
              </w:rPr>
            </w:pPr>
            <w:r>
              <w:rPr>
                <w:rFonts w:ascii="Arial" w:cs="Arial" w:eastAsia="Arial" w:hAnsi="Arial"/>
                <w:sz w:val="16"/>
                <w:szCs w:val="16"/>
                <w:color w:val="auto"/>
              </w:rPr>
              <w:t>2</w:t>
            </w:r>
          </w:p>
        </w:tc>
        <w:tc>
          <w:tcPr>
            <w:tcW w:w="2340" w:type="dxa"/>
            <w:vAlign w:val="bottom"/>
            <w:shd w:val="clear" w:color="auto" w:fill="E5E9E3"/>
          </w:tcPr>
          <w:p>
            <w:pPr>
              <w:ind w:left="40"/>
              <w:spacing w:after="0"/>
              <w:rPr>
                <w:sz w:val="20"/>
                <w:szCs w:val="20"/>
                <w:color w:val="auto"/>
              </w:rPr>
            </w:pPr>
            <w:r>
              <w:rPr>
                <w:rFonts w:ascii="Arial" w:cs="Arial" w:eastAsia="Arial" w:hAnsi="Arial"/>
                <w:sz w:val="16"/>
                <w:szCs w:val="16"/>
                <w:color w:val="auto"/>
              </w:rPr>
              <w:t>Director</w:t>
            </w:r>
          </w:p>
        </w:tc>
        <w:tc>
          <w:tcPr>
            <w:tcW w:w="1200" w:type="dxa"/>
            <w:vAlign w:val="bottom"/>
            <w:shd w:val="clear" w:color="auto" w:fill="E5E9E3"/>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shd w:val="clear" w:color="auto" w:fill="E5E9E3"/>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40" w:type="dxa"/>
            <w:vAlign w:val="bottom"/>
            <w:shd w:val="clear" w:color="auto" w:fill="E5E9E3"/>
          </w:tcPr>
          <w:p>
            <w:pPr>
              <w:spacing w:after="0"/>
              <w:rPr>
                <w:sz w:val="22"/>
                <w:szCs w:val="22"/>
                <w:color w:val="auto"/>
              </w:rPr>
            </w:pPr>
          </w:p>
        </w:tc>
        <w:tc>
          <w:tcPr>
            <w:tcW w:w="540" w:type="dxa"/>
            <w:vAlign w:val="bottom"/>
            <w:shd w:val="clear" w:color="auto" w:fill="E5E9E3"/>
          </w:tcPr>
          <w:p>
            <w:pPr>
              <w:spacing w:after="0"/>
              <w:rPr>
                <w:sz w:val="22"/>
                <w:szCs w:val="22"/>
                <w:color w:val="auto"/>
              </w:rPr>
            </w:pPr>
          </w:p>
        </w:tc>
        <w:tc>
          <w:tcPr>
            <w:tcW w:w="660" w:type="dxa"/>
            <w:vAlign w:val="bottom"/>
            <w:shd w:val="clear" w:color="auto" w:fill="E5E9E3"/>
          </w:tcPr>
          <w:p>
            <w:pPr>
              <w:jc w:val="center"/>
              <w:spacing w:after="0"/>
              <w:rPr>
                <w:sz w:val="20"/>
                <w:szCs w:val="20"/>
                <w:color w:val="auto"/>
              </w:rPr>
            </w:pPr>
            <w:r>
              <w:rPr>
                <w:rFonts w:ascii="Arial" w:cs="Arial" w:eastAsia="Arial" w:hAnsi="Arial"/>
                <w:sz w:val="16"/>
                <w:szCs w:val="16"/>
                <w:color w:val="auto"/>
                <w:w w:val="89"/>
              </w:rPr>
              <w:t>1</w:t>
            </w:r>
          </w:p>
        </w:tc>
      </w:tr>
      <w:tr>
        <w:trPr>
          <w:trHeight w:val="270"/>
        </w:trPr>
        <w:tc>
          <w:tcPr>
            <w:tcW w:w="1820" w:type="dxa"/>
            <w:vAlign w:val="bottom"/>
          </w:tcPr>
          <w:p>
            <w:pPr>
              <w:ind w:left="40"/>
              <w:spacing w:after="0"/>
              <w:rPr>
                <w:sz w:val="20"/>
                <w:szCs w:val="20"/>
                <w:color w:val="auto"/>
              </w:rPr>
            </w:pPr>
            <w:r>
              <w:rPr>
                <w:rFonts w:ascii="Arial" w:cs="Arial" w:eastAsia="Arial" w:hAnsi="Arial"/>
                <w:sz w:val="16"/>
                <w:szCs w:val="16"/>
                <w:color w:val="auto"/>
              </w:rPr>
              <w:t>Rollance E. Olson</w:t>
            </w:r>
          </w:p>
        </w:tc>
        <w:tc>
          <w:tcPr>
            <w:tcW w:w="400" w:type="dxa"/>
            <w:vAlign w:val="bottom"/>
          </w:tcPr>
          <w:p>
            <w:pPr>
              <w:jc w:val="center"/>
              <w:spacing w:after="0"/>
              <w:rPr>
                <w:sz w:val="20"/>
                <w:szCs w:val="20"/>
                <w:color w:val="auto"/>
              </w:rPr>
            </w:pPr>
            <w:r>
              <w:rPr>
                <w:rFonts w:ascii="Arial" w:cs="Arial" w:eastAsia="Arial" w:hAnsi="Arial"/>
                <w:sz w:val="16"/>
                <w:szCs w:val="16"/>
                <w:color w:val="auto"/>
              </w:rPr>
              <w:t>81</w:t>
            </w:r>
          </w:p>
        </w:tc>
        <w:tc>
          <w:tcPr>
            <w:tcW w:w="720" w:type="dxa"/>
            <w:vAlign w:val="bottom"/>
          </w:tcPr>
          <w:p>
            <w:pPr>
              <w:jc w:val="center"/>
              <w:spacing w:after="0"/>
              <w:rPr>
                <w:sz w:val="20"/>
                <w:szCs w:val="20"/>
                <w:color w:val="auto"/>
              </w:rPr>
            </w:pPr>
            <w:r>
              <w:rPr>
                <w:rFonts w:ascii="Arial" w:cs="Arial" w:eastAsia="Arial" w:hAnsi="Arial"/>
                <w:sz w:val="16"/>
                <w:szCs w:val="16"/>
                <w:color w:val="auto"/>
              </w:rPr>
              <w:t>2004</w:t>
            </w:r>
          </w:p>
        </w:tc>
        <w:tc>
          <w:tcPr>
            <w:tcW w:w="620" w:type="dxa"/>
            <w:vAlign w:val="bottom"/>
          </w:tcPr>
          <w:p>
            <w:pPr>
              <w:jc w:val="center"/>
              <w:spacing w:after="0"/>
              <w:rPr>
                <w:sz w:val="20"/>
                <w:szCs w:val="20"/>
                <w:color w:val="auto"/>
              </w:rPr>
            </w:pPr>
            <w:r>
              <w:rPr>
                <w:rFonts w:ascii="Arial" w:cs="Arial" w:eastAsia="Arial" w:hAnsi="Arial"/>
                <w:sz w:val="16"/>
                <w:szCs w:val="16"/>
                <w:color w:val="auto"/>
              </w:rPr>
              <w:t>20</w:t>
            </w:r>
          </w:p>
        </w:tc>
        <w:tc>
          <w:tcPr>
            <w:tcW w:w="2340" w:type="dxa"/>
            <w:vAlign w:val="bottom"/>
          </w:tcPr>
          <w:p>
            <w:pPr>
              <w:ind w:left="40"/>
              <w:spacing w:after="0"/>
              <w:rPr>
                <w:sz w:val="20"/>
                <w:szCs w:val="20"/>
                <w:color w:val="auto"/>
              </w:rPr>
            </w:pPr>
            <w:r>
              <w:rPr>
                <w:rFonts w:ascii="Arial" w:cs="Arial" w:eastAsia="Arial" w:hAnsi="Arial"/>
                <w:sz w:val="16"/>
                <w:szCs w:val="16"/>
                <w:color w:val="auto"/>
              </w:rPr>
              <w:t>Lead Independent Director</w:t>
            </w:r>
          </w:p>
        </w:tc>
        <w:tc>
          <w:tcPr>
            <w:tcW w:w="1200" w:type="dxa"/>
            <w:vAlign w:val="bottom"/>
          </w:tcPr>
          <w:p>
            <w:pPr>
              <w:jc w:val="center"/>
              <w:ind w:left="99"/>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60" w:type="dxa"/>
            <w:vAlign w:val="bottom"/>
          </w:tcPr>
          <w:p>
            <w:pPr>
              <w:jc w:val="center"/>
              <w:spacing w:after="0"/>
              <w:rPr>
                <w:sz w:val="20"/>
                <w:szCs w:val="20"/>
                <w:color w:val="auto"/>
              </w:rPr>
            </w:pPr>
            <w:r>
              <w:rPr>
                <w:rFonts w:ascii="Arial" w:cs="Arial" w:eastAsia="Arial" w:hAnsi="Arial"/>
                <w:sz w:val="16"/>
                <w:szCs w:val="16"/>
                <w:color w:val="auto"/>
              </w:rPr>
              <w:t>None</w:t>
            </w:r>
          </w:p>
        </w:tc>
      </w:tr>
      <w:tr>
        <w:trPr>
          <w:trHeight w:val="95"/>
        </w:trPr>
        <w:tc>
          <w:tcPr>
            <w:tcW w:w="1820" w:type="dxa"/>
            <w:vAlign w:val="bottom"/>
            <w:shd w:val="clear" w:color="auto" w:fill="819F7C"/>
          </w:tcPr>
          <w:p>
            <w:pPr>
              <w:spacing w:after="0"/>
              <w:rPr>
                <w:sz w:val="8"/>
                <w:szCs w:val="8"/>
                <w:color w:val="auto"/>
              </w:rPr>
            </w:pPr>
          </w:p>
        </w:tc>
        <w:tc>
          <w:tcPr>
            <w:tcW w:w="400" w:type="dxa"/>
            <w:vAlign w:val="bottom"/>
            <w:shd w:val="clear" w:color="auto" w:fill="819F7C"/>
          </w:tcPr>
          <w:p>
            <w:pPr>
              <w:spacing w:after="0"/>
              <w:rPr>
                <w:sz w:val="8"/>
                <w:szCs w:val="8"/>
                <w:color w:val="auto"/>
              </w:rPr>
            </w:pPr>
          </w:p>
        </w:tc>
        <w:tc>
          <w:tcPr>
            <w:tcW w:w="720" w:type="dxa"/>
            <w:vAlign w:val="bottom"/>
            <w:shd w:val="clear" w:color="auto" w:fill="819F7C"/>
          </w:tcPr>
          <w:p>
            <w:pPr>
              <w:spacing w:after="0"/>
              <w:rPr>
                <w:sz w:val="8"/>
                <w:szCs w:val="8"/>
                <w:color w:val="auto"/>
              </w:rPr>
            </w:pPr>
          </w:p>
        </w:tc>
        <w:tc>
          <w:tcPr>
            <w:tcW w:w="620" w:type="dxa"/>
            <w:vAlign w:val="bottom"/>
            <w:shd w:val="clear" w:color="auto" w:fill="819F7C"/>
          </w:tcPr>
          <w:p>
            <w:pPr>
              <w:spacing w:after="0"/>
              <w:rPr>
                <w:sz w:val="8"/>
                <w:szCs w:val="8"/>
                <w:color w:val="auto"/>
              </w:rPr>
            </w:pPr>
          </w:p>
        </w:tc>
        <w:tc>
          <w:tcPr>
            <w:tcW w:w="2340" w:type="dxa"/>
            <w:vAlign w:val="bottom"/>
            <w:shd w:val="clear" w:color="auto" w:fill="819F7C"/>
          </w:tcPr>
          <w:p>
            <w:pPr>
              <w:spacing w:after="0"/>
              <w:rPr>
                <w:sz w:val="8"/>
                <w:szCs w:val="8"/>
                <w:color w:val="auto"/>
              </w:rPr>
            </w:pPr>
          </w:p>
        </w:tc>
        <w:tc>
          <w:tcPr>
            <w:tcW w:w="1200" w:type="dxa"/>
            <w:vAlign w:val="bottom"/>
            <w:shd w:val="clear" w:color="auto" w:fill="819F7C"/>
          </w:tcPr>
          <w:p>
            <w:pPr>
              <w:spacing w:after="0"/>
              <w:rPr>
                <w:sz w:val="8"/>
                <w:szCs w:val="8"/>
                <w:color w:val="auto"/>
              </w:rPr>
            </w:pPr>
          </w:p>
        </w:tc>
        <w:tc>
          <w:tcPr>
            <w:tcW w:w="440" w:type="dxa"/>
            <w:vAlign w:val="bottom"/>
            <w:shd w:val="clear" w:color="auto" w:fill="819F7C"/>
          </w:tcPr>
          <w:p>
            <w:pPr>
              <w:spacing w:after="0"/>
              <w:rPr>
                <w:sz w:val="8"/>
                <w:szCs w:val="8"/>
                <w:color w:val="auto"/>
              </w:rPr>
            </w:pPr>
          </w:p>
        </w:tc>
        <w:tc>
          <w:tcPr>
            <w:tcW w:w="440" w:type="dxa"/>
            <w:vAlign w:val="bottom"/>
            <w:shd w:val="clear" w:color="auto" w:fill="819F7C"/>
          </w:tcPr>
          <w:p>
            <w:pPr>
              <w:spacing w:after="0"/>
              <w:rPr>
                <w:sz w:val="8"/>
                <w:szCs w:val="8"/>
                <w:color w:val="auto"/>
              </w:rPr>
            </w:pPr>
          </w:p>
        </w:tc>
        <w:tc>
          <w:tcPr>
            <w:tcW w:w="540" w:type="dxa"/>
            <w:vAlign w:val="bottom"/>
            <w:shd w:val="clear" w:color="auto" w:fill="819F7C"/>
          </w:tcPr>
          <w:p>
            <w:pPr>
              <w:spacing w:after="0"/>
              <w:rPr>
                <w:sz w:val="8"/>
                <w:szCs w:val="8"/>
                <w:color w:val="auto"/>
              </w:rPr>
            </w:pPr>
          </w:p>
        </w:tc>
        <w:tc>
          <w:tcPr>
            <w:tcW w:w="660" w:type="dxa"/>
            <w:vAlign w:val="bottom"/>
            <w:shd w:val="clear" w:color="auto" w:fill="819F7C"/>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-2219325</wp:posOffset>
            </wp:positionV>
            <wp:extent cx="908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ind w:left="1580"/>
              <w:spacing w:after="0"/>
              <w:rPr>
                <w:sz w:val="20"/>
                <w:szCs w:val="20"/>
                <w:color w:val="auto"/>
              </w:rPr>
            </w:pPr>
            <w:r>
              <w:rPr>
                <w:rFonts w:ascii="Arial" w:cs="Arial" w:eastAsia="Arial" w:hAnsi="Arial"/>
                <w:sz w:val="17"/>
                <w:szCs w:val="17"/>
                <w:color w:val="auto"/>
              </w:rPr>
              <w:t>AC – Audit Committee</w:t>
            </w:r>
          </w:p>
        </w:tc>
        <w:tc>
          <w:tcPr>
            <w:tcW w:w="3200" w:type="dxa"/>
            <w:vAlign w:val="bottom"/>
          </w:tcPr>
          <w:p>
            <w:pPr>
              <w:ind w:left="520"/>
              <w:spacing w:after="0"/>
              <w:rPr>
                <w:sz w:val="20"/>
                <w:szCs w:val="20"/>
                <w:color w:val="auto"/>
              </w:rPr>
            </w:pPr>
            <w:r>
              <w:rPr>
                <w:rFonts w:ascii="Arial" w:cs="Arial" w:eastAsia="Arial" w:hAnsi="Arial"/>
                <w:sz w:val="17"/>
                <w:szCs w:val="17"/>
                <w:color w:val="auto"/>
              </w:rPr>
              <w:t>CC – Compensation Committee</w:t>
            </w:r>
          </w:p>
        </w:tc>
        <w:tc>
          <w:tcPr>
            <w:tcW w:w="4000" w:type="dxa"/>
            <w:vAlign w:val="bottom"/>
          </w:tcPr>
          <w:p>
            <w:pPr>
              <w:jc w:val="center"/>
              <w:ind w:right="784"/>
              <w:spacing w:after="0"/>
              <w:rPr>
                <w:sz w:val="20"/>
                <w:szCs w:val="20"/>
                <w:color w:val="auto"/>
              </w:rPr>
            </w:pPr>
            <w:r>
              <w:rPr>
                <w:rFonts w:ascii="Arial" w:cs="Arial" w:eastAsia="Arial" w:hAnsi="Arial"/>
                <w:sz w:val="17"/>
                <w:szCs w:val="17"/>
                <w:color w:val="auto"/>
                <w:w w:val="97"/>
              </w:rPr>
              <w:t>NCGC – Nominating &amp; Corporate</w:t>
            </w:r>
          </w:p>
        </w:tc>
      </w:tr>
      <w:tr>
        <w:trPr>
          <w:trHeight w:val="218"/>
        </w:trPr>
        <w:tc>
          <w:tcPr>
            <w:tcW w:w="38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0" w:type="dxa"/>
            <w:vAlign w:val="bottom"/>
          </w:tcPr>
          <w:p>
            <w:pPr>
              <w:jc w:val="center"/>
              <w:ind w:right="784"/>
              <w:spacing w:after="0"/>
              <w:rPr>
                <w:sz w:val="20"/>
                <w:szCs w:val="20"/>
                <w:color w:val="auto"/>
              </w:rPr>
            </w:pPr>
            <w:r>
              <w:rPr>
                <w:rFonts w:ascii="Arial" w:cs="Arial" w:eastAsia="Arial" w:hAnsi="Arial"/>
                <w:sz w:val="17"/>
                <w:szCs w:val="17"/>
                <w:color w:val="auto"/>
                <w:w w:val="96"/>
              </w:rPr>
              <w:t>Governance Committee</w:t>
            </w:r>
          </w:p>
        </w:tc>
      </w:tr>
      <w:tr>
        <w:trPr>
          <w:trHeight w:val="515"/>
        </w:trPr>
        <w:tc>
          <w:tcPr>
            <w:tcW w:w="382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3200" w:type="dxa"/>
            <w:vAlign w:val="bottom"/>
          </w:tcPr>
          <w:p>
            <w:pPr>
              <w:spacing w:after="0"/>
              <w:rPr>
                <w:sz w:val="24"/>
                <w:szCs w:val="24"/>
                <w:color w:val="auto"/>
              </w:rPr>
            </w:pPr>
          </w:p>
        </w:tc>
        <w:tc>
          <w:tcPr>
            <w:tcW w:w="4000" w:type="dxa"/>
            <w:vAlign w:val="bottom"/>
          </w:tcPr>
          <w:p>
            <w:pPr>
              <w:jc w:val="right"/>
              <w:ind w:right="844"/>
              <w:spacing w:after="0"/>
              <w:rPr>
                <w:sz w:val="20"/>
                <w:szCs w:val="20"/>
                <w:color w:val="auto"/>
              </w:rPr>
            </w:pPr>
            <w:r>
              <w:rPr>
                <w:rFonts w:ascii="Arial" w:cs="Arial" w:eastAsia="Arial" w:hAnsi="Arial"/>
                <w:sz w:val="13"/>
                <w:szCs w:val="13"/>
                <w:color w:val="auto"/>
              </w:rPr>
              <w:t>15</w:t>
            </w:r>
          </w:p>
        </w:tc>
      </w:tr>
      <w:tr>
        <w:trPr>
          <w:trHeight w:val="223"/>
        </w:trPr>
        <w:tc>
          <w:tcPr>
            <w:tcW w:w="38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340995</wp:posOffset>
            </wp:positionV>
            <wp:extent cx="5829300" cy="248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0" cy="24892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FFFFFF"/>
        </w:rPr>
        <w:t>Nominees: Terms to Expire in 2027</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Forbes I.J. Alexander</w:t>
      </w:r>
    </w:p>
    <w:p>
      <w:pPr>
        <w:spacing w:after="0" w:line="247" w:lineRule="exact"/>
        <w:rPr>
          <w:sz w:val="20"/>
          <w:szCs w:val="20"/>
          <w:color w:val="auto"/>
        </w:rPr>
      </w:pPr>
    </w:p>
    <w:p>
      <w:pPr>
        <w:jc w:val="both"/>
        <w:ind w:left="2100"/>
        <w:spacing w:after="0" w:line="248" w:lineRule="auto"/>
        <w:rPr>
          <w:sz w:val="20"/>
          <w:szCs w:val="20"/>
          <w:color w:val="auto"/>
        </w:rPr>
      </w:pPr>
      <w:r>
        <w:rPr>
          <w:rFonts w:ascii="Arial" w:cs="Arial" w:eastAsia="Arial" w:hAnsi="Arial"/>
          <w:sz w:val="16"/>
          <w:szCs w:val="16"/>
          <w:b w:val="1"/>
          <w:bCs w:val="1"/>
          <w:color w:val="auto"/>
        </w:rPr>
        <w:t xml:space="preserve">Mr. Alexander </w:t>
      </w:r>
      <w:r>
        <w:rPr>
          <w:rFonts w:ascii="Arial" w:cs="Arial" w:eastAsia="Arial" w:hAnsi="Arial"/>
          <w:sz w:val="16"/>
          <w:szCs w:val="16"/>
          <w:color w:val="auto"/>
        </w:rPr>
        <w:t>has served on the Board since June 2024. Mr. Alexander has served as a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of Steadfast Partners LLP, an industrial technology advisory group, since January 2020. Mr. Alexander served as Executive Vice President of Jabil Inc., a global manufacturing services company, from September 2018 to January 2020, as Chief Financial Officer of Jabil from September 2004 to August 2018, and in other roles in finance at Jabil from 1993 to 2004. Prior to his roles at Jabil, Mr. Alexander held various finance roles in companies such as Tandy Electronics, Ltd., Octocom Systems U.K. Ltd and Apollo Computer (acquired by Hewlett-Packard in 1989). Mr. Alexander was a member of the board of directors and audit committee of McDermott International, Inc., a global engineering, procurement, construction and installation company, from June 2018 to April 2020 and Chicago Bridge &amp; Iron Company N.V. (which merged into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-1197610</wp:posOffset>
            </wp:positionV>
            <wp:extent cx="994410" cy="1234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jc w:val="both"/>
        <w:ind w:left="2100" w:hanging="2039"/>
        <w:spacing w:after="0" w:line="199" w:lineRule="auto"/>
        <w:tabs>
          <w:tab w:leader="none" w:pos="208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in 2018), an engineering, procurement and construction company, from May 2017 to May 2018. Mr. Alexander also serves on the board of directors of the Entrepreneurial Scotland Foundation (USA), a non-profit organization. Mr. Alexander earned a bachelor of arts degree in accounting from Abertay University.</w:t>
      </w:r>
    </w:p>
    <w:p>
      <w:pPr>
        <w:spacing w:after="0" w:line="247" w:lineRule="exact"/>
        <w:rPr>
          <w:sz w:val="20"/>
          <w:szCs w:val="20"/>
          <w:color w:val="auto"/>
        </w:rPr>
      </w:pPr>
    </w:p>
    <w:p>
      <w:pPr>
        <w:jc w:val="both"/>
        <w:ind w:left="2100" w:right="20"/>
        <w:spacing w:after="0" w:line="266" w:lineRule="auto"/>
        <w:rPr>
          <w:sz w:val="20"/>
          <w:szCs w:val="20"/>
          <w:color w:val="auto"/>
        </w:rPr>
      </w:pPr>
      <w:r>
        <w:rPr>
          <w:rFonts w:ascii="Arial" w:cs="Arial" w:eastAsia="Arial" w:hAnsi="Arial"/>
          <w:sz w:val="16"/>
          <w:szCs w:val="16"/>
          <w:color w:val="auto"/>
        </w:rPr>
        <w:t>Among other skills and qualifications, Mr. Alexander brings to the Board extensive audit and financial reporting expertise and executive leadership experience, having served as the Chief Financial Officer of Jabil Inc. for 14 years.</w:t>
      </w:r>
    </w:p>
    <w:p>
      <w:pPr>
        <w:spacing w:after="0" w:line="31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Dr. Frank H. Levinson</w:t>
      </w:r>
    </w:p>
    <w:p>
      <w:pPr>
        <w:spacing w:after="0" w:line="247" w:lineRule="exact"/>
        <w:rPr>
          <w:sz w:val="20"/>
          <w:szCs w:val="20"/>
          <w:color w:val="auto"/>
        </w:rPr>
      </w:pPr>
    </w:p>
    <w:p>
      <w:pPr>
        <w:jc w:val="both"/>
        <w:ind w:left="2100"/>
        <w:spacing w:after="0" w:line="248" w:lineRule="auto"/>
        <w:rPr>
          <w:sz w:val="20"/>
          <w:szCs w:val="20"/>
          <w:color w:val="auto"/>
        </w:rPr>
      </w:pPr>
      <w:r>
        <w:rPr>
          <w:rFonts w:ascii="Arial" w:cs="Arial" w:eastAsia="Arial" w:hAnsi="Arial"/>
          <w:sz w:val="16"/>
          <w:szCs w:val="16"/>
          <w:b w:val="1"/>
          <w:bCs w:val="1"/>
          <w:color w:val="auto"/>
        </w:rPr>
        <w:t xml:space="preserve">Dr. Levinson </w:t>
      </w:r>
      <w:r>
        <w:rPr>
          <w:rFonts w:ascii="Arial" w:cs="Arial" w:eastAsia="Arial" w:hAnsi="Arial"/>
          <w:sz w:val="16"/>
          <w:szCs w:val="16"/>
          <w:color w:val="auto"/>
        </w:rPr>
        <w:t>has served on the Board since 2001. Dr. Levinson has served as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Small World Group, a group primarily involved in investing in and growing small companies, since 2006. Dr. Levinson served as the chairman of the board of directors and chief technical officer of Finisar Corporation, a provider of fiber optic components and network performance test and monitoring systems, from August 1999 to January 2006, and remained as a director of Finisar until August 2008. From 1988 to 1999, Dr. Levinson served as the chief executive officer of Finisar. From January 1986 to February 1988, Dr. Levinson served as the optical department manager at Raynet, Inc., a fiber optic systems company and, from April 1985 to December 1985, as the chief optical scientist at Raychem Corporation. From January 1984 to July 1984, Dr. Levinson was a member of the technical staff at Bellcore, a provider of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-1197610</wp:posOffset>
            </wp:positionV>
            <wp:extent cx="994410" cy="1234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jc w:val="both"/>
        <w:ind w:left="2100" w:hanging="2039"/>
        <w:spacing w:after="0"/>
        <w:tabs>
          <w:tab w:leader="none" w:pos="208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6"/>
          <w:szCs w:val="16"/>
          <w:color w:val="auto"/>
        </w:rPr>
        <w:t>products to the communications industry. From 1980 to 1983, Dr. Levinson was as a member of the technical staff at AT&amp;T Bell Laboratories. Dr. Levinson was a member of the boards of directors of TKB Critical Technologies 1, a special purpose acquisition company, from October 2021 to August 2023, and of Interlink Electronics, Inc. from July 2014 to June 2020. Dr. Levinson earned a bachelor of science degree in mathematics and physics from Butler University, and a master’s degree in astronomy and a doctor of philosophy degree in astronomy from the University of Virginia.</w:t>
      </w:r>
    </w:p>
    <w:p>
      <w:pPr>
        <w:spacing w:after="0" w:line="289" w:lineRule="exact"/>
        <w:rPr>
          <w:sz w:val="20"/>
          <w:szCs w:val="20"/>
          <w:color w:val="auto"/>
        </w:rPr>
      </w:pPr>
    </w:p>
    <w:p>
      <w:pPr>
        <w:jc w:val="both"/>
        <w:ind w:left="2100"/>
        <w:spacing w:after="0" w:line="259" w:lineRule="auto"/>
        <w:rPr>
          <w:sz w:val="20"/>
          <w:szCs w:val="20"/>
          <w:color w:val="auto"/>
        </w:rPr>
      </w:pPr>
      <w:r>
        <w:rPr>
          <w:rFonts w:ascii="Arial" w:cs="Arial" w:eastAsia="Arial" w:hAnsi="Arial"/>
          <w:sz w:val="16"/>
          <w:szCs w:val="16"/>
          <w:color w:val="auto"/>
        </w:rPr>
        <w:t>Among other skills and qualifications, Dr. Levinson brings to the Board executive leadership and management experience in a global organization and semiconductor industry experience, having served as chairman of the board of directors, chief technical officer and chief executive officer of Finisar Corporation.</w:t>
      </w:r>
    </w:p>
    <w:p>
      <w:pPr>
        <w:spacing w:after="0" w:line="336"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16</w:t>
      </w:r>
      <w:r>
        <w:rPr>
          <w:sz w:val="20"/>
          <w:szCs w:val="20"/>
          <w:color w:val="auto"/>
        </w:rPr>
        <w:tab/>
      </w:r>
      <w:r>
        <w:rPr>
          <w:sz w:val="1"/>
          <w:szCs w:val="1"/>
          <w:color w:val="auto"/>
        </w:rPr>
        <w:drawing>
          <wp:inline distT="0" distB="0" distL="0" distR="0">
            <wp:extent cx="342900" cy="7747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bookmarkStart w:id="22" w:name="page23"/>
    <w:bookmarkEnd w:id="22"/>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David T. (Tom) Mitchell</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b w:val="1"/>
                <w:bCs w:val="1"/>
                <w:color w:val="auto"/>
              </w:rPr>
              <w:t xml:space="preserve">Mr. Mitchell </w:t>
            </w:r>
            <w:r>
              <w:rPr>
                <w:rFonts w:ascii="Arial" w:cs="Arial" w:eastAsia="Arial" w:hAnsi="Arial"/>
                <w:sz w:val="16"/>
                <w:szCs w:val="16"/>
                <w:color w:val="auto"/>
              </w:rPr>
              <w:t>is our founder and has served as our non-employee chairman of the Board since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June  2018.  Mr.  Mitchell  previously  served  as  our  executive  chairman  of  the  Board  from</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September 2017 until June 2018, as our chief executive officer and chairman of the Board from our</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inception in 2000 until September 2017, and as our president from 2000 to January 2011. In 1979,</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Mr. Mitchell co-founded Seagate Technology, a disk drive manufacturing company. Mr. Mitchell</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served as the president of Seagate Technology from 1983 to 1991. From 1992 to 1995, Mr. Mitchell</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served as the chief operating officer of Conner Peripherals, a disk drive manufacturing company.</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From 1995 to 1998, Mr. Mitchell served as the chief executive officer of JTS Corp., a mobile disk</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drive manufacturing company. During his tenure in the data storage industry, Mr. Mitchell</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established manufacturing operations in Singapore, Thailand, Malaysia, the PRC and India.</w:t>
            </w:r>
          </w:p>
        </w:tc>
        <w:tc>
          <w:tcPr>
            <w:tcW w:w="0" w:type="dxa"/>
            <w:vAlign w:val="bottom"/>
          </w:tcPr>
          <w:p>
            <w:pPr>
              <w:spacing w:after="0"/>
              <w:rPr>
                <w:sz w:val="1"/>
                <w:szCs w:val="1"/>
                <w:color w:val="auto"/>
              </w:rPr>
            </w:pPr>
          </w:p>
        </w:tc>
      </w:tr>
      <w:tr>
        <w:trPr>
          <w:trHeight w:val="189"/>
        </w:trPr>
        <w:tc>
          <w:tcPr>
            <w:tcW w:w="1040" w:type="dxa"/>
            <w:vAlign w:val="bottom"/>
            <w:vMerge w:val="restart"/>
          </w:tcPr>
          <w:p>
            <w:pPr>
              <w:spacing w:after="0"/>
              <w:rPr>
                <w:sz w:val="20"/>
                <w:szCs w:val="20"/>
                <w:color w:val="auto"/>
              </w:rPr>
            </w:pPr>
            <w:r>
              <w:rPr>
                <w:rFonts w:ascii="Arial" w:cs="Arial" w:eastAsia="Arial" w:hAnsi="Arial"/>
                <w:sz w:val="16"/>
                <w:szCs w:val="16"/>
                <w:color w:val="auto"/>
              </w:rPr>
              <w:t> </w:t>
            </w:r>
          </w:p>
        </w:tc>
        <w:tc>
          <w:tcPr>
            <w:tcW w:w="8140" w:type="dxa"/>
            <w:vAlign w:val="bottom"/>
          </w:tcPr>
          <w:p>
            <w:pPr>
              <w:ind w:left="1000"/>
              <w:spacing w:after="0"/>
              <w:rPr>
                <w:sz w:val="20"/>
                <w:szCs w:val="20"/>
                <w:color w:val="auto"/>
              </w:rPr>
            </w:pPr>
            <w:r>
              <w:rPr>
                <w:rFonts w:ascii="Arial" w:cs="Arial" w:eastAsia="Arial" w:hAnsi="Arial"/>
                <w:sz w:val="16"/>
                <w:szCs w:val="16"/>
                <w:color w:val="auto"/>
              </w:rPr>
              <w:t>Mr. Mitchell was a member of the board of directors of GigOptix, Inc. from June 2012 through</w:t>
            </w:r>
          </w:p>
        </w:tc>
        <w:tc>
          <w:tcPr>
            <w:tcW w:w="0" w:type="dxa"/>
            <w:vAlign w:val="bottom"/>
          </w:tcPr>
          <w:p>
            <w:pPr>
              <w:spacing w:after="0"/>
              <w:rPr>
                <w:sz w:val="1"/>
                <w:szCs w:val="1"/>
                <w:color w:val="auto"/>
              </w:rPr>
            </w:pPr>
          </w:p>
        </w:tc>
      </w:tr>
      <w:tr>
        <w:trPr>
          <w:trHeight w:val="80"/>
        </w:trPr>
        <w:tc>
          <w:tcPr>
            <w:tcW w:w="1040" w:type="dxa"/>
            <w:vAlign w:val="bottom"/>
            <w:vMerge w:val="continue"/>
          </w:tcPr>
          <w:p>
            <w:pPr>
              <w:spacing w:after="0"/>
              <w:rPr>
                <w:sz w:val="6"/>
                <w:szCs w:val="6"/>
                <w:color w:val="auto"/>
              </w:rPr>
            </w:pPr>
          </w:p>
        </w:tc>
        <w:tc>
          <w:tcPr>
            <w:tcW w:w="8140" w:type="dxa"/>
            <w:vAlign w:val="bottom"/>
            <w:vMerge w:val="restart"/>
          </w:tcPr>
          <w:p>
            <w:pPr>
              <w:ind w:left="1000"/>
              <w:spacing w:after="0"/>
              <w:rPr>
                <w:sz w:val="20"/>
                <w:szCs w:val="20"/>
                <w:color w:val="auto"/>
              </w:rPr>
            </w:pPr>
            <w:r>
              <w:rPr>
                <w:rFonts w:ascii="Arial" w:cs="Arial" w:eastAsia="Arial" w:hAnsi="Arial"/>
                <w:sz w:val="16"/>
                <w:szCs w:val="16"/>
                <w:color w:val="auto"/>
              </w:rPr>
              <w:t>July 2013. Mr. Mitchell earned a bachelor of science degree in economics from Montana State</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8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University.</w:t>
            </w:r>
          </w:p>
        </w:tc>
        <w:tc>
          <w:tcPr>
            <w:tcW w:w="0" w:type="dxa"/>
            <w:vAlign w:val="bottom"/>
          </w:tcPr>
          <w:p>
            <w:pPr>
              <w:spacing w:after="0"/>
              <w:rPr>
                <w:sz w:val="1"/>
                <w:szCs w:val="1"/>
                <w:color w:val="auto"/>
              </w:rPr>
            </w:pPr>
          </w:p>
        </w:tc>
      </w:tr>
      <w:tr>
        <w:trPr>
          <w:trHeight w:val="433"/>
        </w:trPr>
        <w:tc>
          <w:tcPr>
            <w:tcW w:w="1040" w:type="dxa"/>
            <w:vAlign w:val="bottom"/>
          </w:tcPr>
          <w:p>
            <w:pPr>
              <w:spacing w:after="0"/>
              <w:rPr>
                <w:sz w:val="24"/>
                <w:szCs w:val="24"/>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Among other skills and qualifications, Mr. Mitchell brings to the Board extensive knowledge and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understanding of Fabrinet’s business, operations and employees, having founded Fabrinet and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served on the Board since our inception, as well as more than 30 years of experience in an array of</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executive management roles within the disk drive and optoelectronics manufacturing industries.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95885</wp:posOffset>
            </wp:positionV>
            <wp:extent cx="582930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0" cy="24892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-2218690</wp:posOffset>
            </wp:positionV>
            <wp:extent cx="994410" cy="12344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FFFFFF"/>
        </w:rPr>
        <w:t>Continuing Directors: Terms Expire in 2025</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Dr. Homa Bahrami</w:t>
      </w:r>
    </w:p>
    <w:p>
      <w:pPr>
        <w:spacing w:after="0" w:line="139" w:lineRule="exact"/>
        <w:rPr>
          <w:sz w:val="20"/>
          <w:szCs w:val="20"/>
          <w:color w:val="auto"/>
        </w:rPr>
      </w:pPr>
    </w:p>
    <w:p>
      <w:pPr>
        <w:jc w:val="both"/>
        <w:ind w:left="2960" w:right="920"/>
        <w:spacing w:after="0" w:line="251" w:lineRule="auto"/>
        <w:rPr>
          <w:sz w:val="20"/>
          <w:szCs w:val="20"/>
          <w:color w:val="auto"/>
        </w:rPr>
      </w:pPr>
      <w:r>
        <w:rPr>
          <w:rFonts w:ascii="Arial" w:cs="Arial" w:eastAsia="Arial" w:hAnsi="Arial"/>
          <w:sz w:val="16"/>
          <w:szCs w:val="16"/>
          <w:b w:val="1"/>
          <w:bCs w:val="1"/>
          <w:color w:val="auto"/>
        </w:rPr>
        <w:t xml:space="preserve">Dr. Bahrami </w:t>
      </w:r>
      <w:r>
        <w:rPr>
          <w:rFonts w:ascii="Arial" w:cs="Arial" w:eastAsia="Arial" w:hAnsi="Arial"/>
          <w:sz w:val="16"/>
          <w:szCs w:val="16"/>
          <w:color w:val="auto"/>
        </w:rPr>
        <w:t>has served on the Board since 2012. Dr. Bahrami is a Senior Lecturer at the Haas</w:t>
      </w:r>
      <w:r>
        <w:rPr>
          <w:rFonts w:ascii="Arial" w:cs="Arial" w:eastAsia="Arial" w:hAnsi="Arial"/>
          <w:sz w:val="16"/>
          <w:szCs w:val="16"/>
          <w:b w:val="1"/>
          <w:bCs w:val="1"/>
          <w:color w:val="auto"/>
        </w:rPr>
        <w:t xml:space="preserve"> </w:t>
      </w:r>
      <w:r>
        <w:rPr>
          <w:rFonts w:ascii="Arial" w:cs="Arial" w:eastAsia="Arial" w:hAnsi="Arial"/>
          <w:sz w:val="16"/>
          <w:szCs w:val="16"/>
          <w:color w:val="auto"/>
        </w:rPr>
        <w:t>School of Business, University of California, Berkeley. She is also a Faculty Director of the Center for Executive Education and a board member of the Center for Teaching Excellence at the Haas School of Business, where she has served on the faculty since 1986. Dr. Bahrami was a member of the board of directors of FEI Company (acquired by Thermo Fisher Scientific Inc. in 2016) from February 2012 through September 2016, where she served on the audit and compensation committees. Dr. Bahrami earned a bachelor of arts degree with honors in sociology and social administration from Hull University and a master of science degree in industrial administration and a doctor of philosophy degree in organizational behavior from Aston University in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-1090295</wp:posOffset>
            </wp:positionV>
            <wp:extent cx="994410" cy="1234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46" w:lineRule="exact"/>
        <w:rPr>
          <w:sz w:val="20"/>
          <w:szCs w:val="20"/>
          <w:color w:val="auto"/>
        </w:rPr>
      </w:pPr>
    </w:p>
    <w:p>
      <w:pPr>
        <w:jc w:val="both"/>
        <w:ind w:left="2960" w:right="940"/>
        <w:spacing w:after="0" w:line="286" w:lineRule="auto"/>
        <w:rPr>
          <w:sz w:val="20"/>
          <w:szCs w:val="20"/>
          <w:color w:val="auto"/>
        </w:rPr>
      </w:pPr>
      <w:r>
        <w:rPr>
          <w:rFonts w:ascii="Arial" w:cs="Arial" w:eastAsia="Arial" w:hAnsi="Arial"/>
          <w:sz w:val="16"/>
          <w:szCs w:val="16"/>
          <w:color w:val="auto"/>
        </w:rPr>
        <w:t>Among other skills and qualifications, Dr. Bahrami brings to the Board experience in organizational design and executive development for global enterprises.</w:t>
      </w:r>
    </w:p>
    <w:p>
      <w:pPr>
        <w:sectPr>
          <w:pgSz w:w="11900" w:h="16838" w:orient="portrait"/>
          <w:cols w:equalWidth="0" w:num="1">
            <w:col w:w="11020"/>
          </w:cols>
          <w:pgMar w:left="440" w:top="114" w:right="439" w:bottom="1440" w:gutter="0" w:footer="0" w:header="0"/>
        </w:sectPr>
      </w:pPr>
    </w:p>
    <w:p>
      <w:pPr>
        <w:spacing w:after="0" w:line="141"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578255"/>
        </w:rPr>
        <w:t>Darlene S.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95885</wp:posOffset>
            </wp:positionV>
            <wp:extent cx="994410" cy="1234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both"/>
        <w:ind w:right="920"/>
        <w:spacing w:after="0" w:line="249" w:lineRule="auto"/>
        <w:rPr>
          <w:sz w:val="20"/>
          <w:szCs w:val="20"/>
          <w:color w:val="auto"/>
        </w:rPr>
      </w:pPr>
      <w:r>
        <w:rPr>
          <w:rFonts w:ascii="Arial" w:cs="Arial" w:eastAsia="Arial" w:hAnsi="Arial"/>
          <w:sz w:val="16"/>
          <w:szCs w:val="16"/>
          <w:b w:val="1"/>
          <w:bCs w:val="1"/>
          <w:color w:val="auto"/>
        </w:rPr>
        <w:t xml:space="preserve">Ms. Knight </w:t>
      </w:r>
      <w:r>
        <w:rPr>
          <w:rFonts w:ascii="Arial" w:cs="Arial" w:eastAsia="Arial" w:hAnsi="Arial"/>
          <w:sz w:val="16"/>
          <w:szCs w:val="16"/>
          <w:color w:val="auto"/>
        </w:rPr>
        <w:t>has served on the Board since January 2022. Ms. Knight has significant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and P&amp;L experience with multi-national manufacturing businesses, primarily in the automotive sector, where she has held strategic and operations roles. Ms. Knight most recently served as Vice President, Americas of Adient plc, a global leader in the automotive seating supply industry, from May 2018 to January 2019, and as Vice President, China of Adient from March 2016 to April 2018. Prior to her roles at Adient, Ms. Knight served as Group Vice President and General Manager, Complete Seat Americas of Johnson Controls, Inc., a global diversified technology and industrial company, from October 2013 until February 2016. Ms. Knight also previously served in senior leadership roles at Tecumseh Products Corporation, a manufacturer of commercial refrigeration compressors and condensing unit systems, from 2012 to 2013, and at Edscha GmbH, a Tier 1 automotive supplier, from 2006 to 2012. Ms. Knight served in roles of increasing responsibility at General Motors Corporation from 1984 until 2006. Ms. Knight is a member of the boards of directors of eLeapPower, a privately held corporation, and Reliance Worldwide Corporation Limited, a publicly traded company listed on the Australian Securities Exchange, where she also serves on the ESG and the health &amp; safety committees of the board. Ms. Knight earned a bachelor of science degree in industrial administration from GMI Engineering &amp; Management Institute and a master of science degree in engineering science from Rensselaer Polytechnic Institute.</w:t>
      </w:r>
    </w:p>
    <w:p>
      <w:pPr>
        <w:spacing w:after="0" w:line="238" w:lineRule="exact"/>
        <w:rPr>
          <w:sz w:val="20"/>
          <w:szCs w:val="20"/>
          <w:color w:val="auto"/>
        </w:rPr>
      </w:pPr>
    </w:p>
    <w:p>
      <w:pPr>
        <w:jc w:val="both"/>
        <w:ind w:right="920"/>
        <w:spacing w:after="0" w:line="286" w:lineRule="auto"/>
        <w:rPr>
          <w:sz w:val="20"/>
          <w:szCs w:val="20"/>
          <w:color w:val="auto"/>
        </w:rPr>
      </w:pPr>
      <w:r>
        <w:rPr>
          <w:rFonts w:ascii="Arial" w:cs="Arial" w:eastAsia="Arial" w:hAnsi="Arial"/>
          <w:sz w:val="16"/>
          <w:szCs w:val="16"/>
          <w:color w:val="auto"/>
        </w:rPr>
        <w:t>Among other skills and qualifications, Ms. Knight brings to the Board significant operational and leadership experience with global manufacturing businesses.</w:t>
      </w:r>
    </w:p>
    <w:p>
      <w:pPr>
        <w:spacing w:after="0" w:line="200" w:lineRule="exact"/>
        <w:rPr>
          <w:sz w:val="20"/>
          <w:szCs w:val="20"/>
          <w:color w:val="auto"/>
        </w:rPr>
      </w:pPr>
    </w:p>
    <w:p>
      <w:pPr>
        <w:sectPr>
          <w:pgSz w:w="11900" w:h="16838" w:orient="portrait"/>
          <w:cols w:equalWidth="0" w:num="2">
            <w:col w:w="2720" w:space="240"/>
            <w:col w:w="8060"/>
          </w:cols>
          <w:pgMar w:left="440" w:top="114" w:right="439" w:bottom="1440" w:gutter="0" w:footer="0" w:header="0"/>
          <w:type w:val="continuous"/>
        </w:sectPr>
      </w:pP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17</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578255"/>
        </w:rPr>
        <w:t>Rollance E.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95885</wp:posOffset>
            </wp:positionV>
            <wp:extent cx="994410" cy="1234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Mr. Olson </w:t>
      </w:r>
      <w:r>
        <w:rPr>
          <w:rFonts w:ascii="Arial" w:cs="Arial" w:eastAsia="Arial" w:hAnsi="Arial"/>
          <w:sz w:val="16"/>
          <w:szCs w:val="16"/>
          <w:color w:val="auto"/>
        </w:rPr>
        <w:t>has served on the Board since 2004, including as lead independent director since 2011.</w:t>
      </w:r>
      <w:r>
        <w:rPr>
          <w:rFonts w:ascii="Arial" w:cs="Arial" w:eastAsia="Arial" w:hAnsi="Arial"/>
          <w:sz w:val="16"/>
          <w:szCs w:val="16"/>
          <w:b w:val="1"/>
          <w:bCs w:val="1"/>
          <w:color w:val="auto"/>
        </w:rPr>
        <w:t xml:space="preserve"> </w:t>
      </w:r>
      <w:r>
        <w:rPr>
          <w:rFonts w:ascii="Arial" w:cs="Arial" w:eastAsia="Arial" w:hAnsi="Arial"/>
          <w:sz w:val="16"/>
          <w:szCs w:val="16"/>
          <w:color w:val="auto"/>
        </w:rPr>
        <w:t>From 1986 to 2011, Mr. Olson served as chief executive officer of Parts Depot Inc., a wholesale automotive replacement parts and supplies business in Virginia. From 1980 to 1985, Mr. Olson served as the president of Brake Systems, Inc., and from 1973 to 1980, Mr. Olson served in various positions at Bendix Corporation, an automotive safety brake and control systems company, including as general manager of the Fram/Autolite division, general manager of the Bendix automotive aftermarket division and corporate staff consultant. From 1968 to 1973, Mr. Olson served as a management consultant and project leader with Booz, Allen &amp; Hamilton, a management and technology consultant firm. Mr. Olson’s business career started with Honeywell, Inc. in Minneapolis, Minnesota. Mr. Olson also served on the board of directors for several privately owned retail and technology companies. He served as a board member (9 years) and chairman of the board of the largest automotive aftermarket trade association, and was a guest lecturer at the Darden School of Business (University of Virginia). Mr. Olson earned a bachelor of arts degree from the University of Minnesota.</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Among other skills and qualifications, Mr. Olson brings to the Board executive leadership and management experience gained from his service as chief executive officer of Parts Depot Inc. for more than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83185</wp:posOffset>
            </wp:positionV>
            <wp:extent cx="5829300" cy="248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29300"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200"/>
            <w:col w:w="7140"/>
          </w:cols>
          <w:pgMar w:left="1300" w:top="114" w:right="1359" w:bottom="1440" w:gutter="0" w:footer="0" w:header="0"/>
          <w:type w:val="continuous"/>
        </w:sectPr>
      </w:pPr>
    </w:p>
    <w:p>
      <w:pPr>
        <w:spacing w:after="0" w:line="1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FFFFFF"/>
        </w:rPr>
        <w:t>Continuing Directors: Terms Expire in 2026</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Seamus Grady</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b w:val="1"/>
                <w:bCs w:val="1"/>
                <w:color w:val="auto"/>
              </w:rPr>
              <w:t xml:space="preserve">Mr. Grady </w:t>
            </w:r>
            <w:r>
              <w:rPr>
                <w:rFonts w:ascii="Arial" w:cs="Arial" w:eastAsia="Arial" w:hAnsi="Arial"/>
                <w:sz w:val="16"/>
                <w:szCs w:val="16"/>
                <w:color w:val="auto"/>
              </w:rPr>
              <w:t>has served as our chief executive officer and on the Board since September 2017. Prior</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to joining us, Mr. Grady served as executive vice president and chief operating officer, mechanical</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systems division, at Sanmina Corporation, an electronics manufacturing services company, from</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October 2012 to May 2017. Prior to that, Mr. Grady held various operations roles at Sanmina</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beginning in 2000, including as senior vice president medical division, from June 2011 to</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October 2012, and senior vice president global medical operations from March 2009 to June 2011.</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From 1999 to 2000, Mr. Grady served as director of materials and supply chain management at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Lucent Technologies Inc. (formerly Ascend Communications). From 1989 to 1999, Mr. Grady</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served in a variety of operations roles at Manufacturers Services Limited (now Celestica), an</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electronic manufacturing and supply chain services company. Mr. Grady holds a B. Tech in</w:t>
            </w:r>
          </w:p>
        </w:tc>
        <w:tc>
          <w:tcPr>
            <w:tcW w:w="0" w:type="dxa"/>
            <w:vAlign w:val="bottom"/>
          </w:tcPr>
          <w:p>
            <w:pPr>
              <w:spacing w:after="0"/>
              <w:rPr>
                <w:sz w:val="1"/>
                <w:szCs w:val="1"/>
                <w:color w:val="auto"/>
              </w:rPr>
            </w:pPr>
          </w:p>
        </w:tc>
      </w:tr>
      <w:tr>
        <w:trPr>
          <w:trHeight w:val="215"/>
        </w:trPr>
        <w:tc>
          <w:tcPr>
            <w:tcW w:w="1040" w:type="dxa"/>
            <w:vAlign w:val="bottom"/>
            <w:vMerge w:val="restart"/>
          </w:tcPr>
          <w:p>
            <w:pPr>
              <w:spacing w:after="0"/>
              <w:rPr>
                <w:sz w:val="20"/>
                <w:szCs w:val="20"/>
                <w:color w:val="auto"/>
              </w:rPr>
            </w:pPr>
            <w:r>
              <w:rPr>
                <w:rFonts w:ascii="Arial" w:cs="Arial" w:eastAsia="Arial" w:hAnsi="Arial"/>
                <w:sz w:val="16"/>
                <w:szCs w:val="16"/>
                <w:color w:val="auto"/>
              </w:rPr>
              <w:t> </w:t>
            </w:r>
          </w:p>
        </w:tc>
        <w:tc>
          <w:tcPr>
            <w:tcW w:w="8140" w:type="dxa"/>
            <w:vAlign w:val="bottom"/>
          </w:tcPr>
          <w:p>
            <w:pPr>
              <w:ind w:left="1000"/>
              <w:spacing w:after="0"/>
              <w:rPr>
                <w:sz w:val="20"/>
                <w:szCs w:val="20"/>
                <w:color w:val="auto"/>
              </w:rPr>
            </w:pPr>
            <w:r>
              <w:rPr>
                <w:rFonts w:ascii="Arial" w:cs="Arial" w:eastAsia="Arial" w:hAnsi="Arial"/>
                <w:sz w:val="16"/>
                <w:szCs w:val="16"/>
                <w:color w:val="auto"/>
              </w:rPr>
              <w:t>Manufacturing Technology from the National University of Ireland, Galway (NUIG).</w:t>
            </w:r>
          </w:p>
        </w:tc>
        <w:tc>
          <w:tcPr>
            <w:tcW w:w="0" w:type="dxa"/>
            <w:vAlign w:val="bottom"/>
          </w:tcPr>
          <w:p>
            <w:pPr>
              <w:spacing w:after="0"/>
              <w:rPr>
                <w:sz w:val="1"/>
                <w:szCs w:val="1"/>
                <w:color w:val="auto"/>
              </w:rPr>
            </w:pPr>
          </w:p>
        </w:tc>
      </w:tr>
      <w:tr>
        <w:trPr>
          <w:trHeight w:val="54"/>
        </w:trPr>
        <w:tc>
          <w:tcPr>
            <w:tcW w:w="1040" w:type="dxa"/>
            <w:vAlign w:val="bottom"/>
            <w:vMerge w:val="continue"/>
          </w:tcPr>
          <w:p>
            <w:pPr>
              <w:spacing w:after="0"/>
              <w:rPr>
                <w:sz w:val="4"/>
                <w:szCs w:val="4"/>
                <w:color w:val="auto"/>
              </w:rPr>
            </w:pPr>
          </w:p>
        </w:tc>
        <w:tc>
          <w:tcPr>
            <w:tcW w:w="8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1040" w:type="dxa"/>
            <w:vAlign w:val="bottom"/>
          </w:tcPr>
          <w:p>
            <w:pPr>
              <w:spacing w:after="0"/>
              <w:rPr>
                <w:sz w:val="24"/>
                <w:szCs w:val="24"/>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Among other skills and qualifications, Mr. Grady brings to the Board broad and deep experience in</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the  electronics  manufacturing  services  industry,  including  overseeing  operations  at  multiple</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Arial" w:cs="Arial" w:eastAsia="Arial" w:hAnsi="Arial"/>
                <w:sz w:val="16"/>
                <w:szCs w:val="16"/>
                <w:color w:val="auto"/>
              </w:rPr>
              <w:t>international facilities.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-1841500</wp:posOffset>
            </wp:positionV>
            <wp:extent cx="994410" cy="1234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p>
      <w:pPr>
        <w:spacing w:after="0" w:line="16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578255"/>
        </w:rPr>
        <w:t>Thomas F.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95885</wp:posOffset>
            </wp:positionV>
            <wp:extent cx="994410" cy="12344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Mr. Kelly </w:t>
      </w:r>
      <w:r>
        <w:rPr>
          <w:rFonts w:ascii="Arial" w:cs="Arial" w:eastAsia="Arial" w:hAnsi="Arial"/>
          <w:sz w:val="16"/>
          <w:szCs w:val="16"/>
          <w:color w:val="auto"/>
        </w:rPr>
        <w:t>has served on the Board since 2010. Mr. Kelly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Anitian, Inc., a cloud security and compliance automation provider, since February 2024, and as a Venture Consultant for Forgepoint Capital, a venture capital firm, since November 2022. Mr. Kelly served as chief executive officer and president of IDX, a provider of software and services for cyber breach and identity fraud protection, from August 2017 to August 2022 (acquired by ZeroFox Holdings, 2022). From 2016 to 2017, Mr. Kelly served as a cybersecurity industry consultant. In the prior twenty years, Mr. Kelly was chief executive officer of several software and security companies including AccelOps between 2015 and 2016 (acquired by Fortinet, 2016), Moxie Software, MontaVista Software (acquired by Cavium, 2009), BlueStar Solutions (acquired by Affiliated Computer Services, 2004) and Blaze Software (acquired by Brokat Infosystems AG, 2000). Mr. Kelly has also held executive leadership operating roles at several companies including Epicor Software, Cirrus Logic, Cadence Design Systems, and Frame Technology (acquired by Adobe, 1995). Mr. Kelly was a member of the board of directors of ZeroFox Holdings, Inc. from August 2022 to May 2024 and was previously a member of the boards of directors of FEI and Epicor Software. He also serves on several Santa Clara University boards. Mr. Kelly earned a bachelor of science degree in economics from Santa Clara University.</w:t>
      </w:r>
    </w:p>
    <w:p>
      <w:pPr>
        <w:spacing w:after="0" w:line="15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Among other skills and qualifications, Mr. Kelly brings to the Board audit and financial reporting expertise, as well as extensive managerial and operational experience.</w:t>
      </w:r>
    </w:p>
    <w:p>
      <w:pPr>
        <w:spacing w:after="0" w:line="200" w:lineRule="exact"/>
        <w:rPr>
          <w:sz w:val="20"/>
          <w:szCs w:val="20"/>
          <w:color w:val="auto"/>
        </w:rPr>
      </w:pPr>
    </w:p>
    <w:p>
      <w:pPr>
        <w:sectPr>
          <w:pgSz w:w="11900" w:h="16838" w:orient="portrait"/>
          <w:cols w:equalWidth="0" w:num="2">
            <w:col w:w="1680" w:space="420"/>
            <w:col w:w="7140"/>
          </w:cols>
          <w:pgMar w:left="1300" w:top="114" w:right="1359" w:bottom="1440" w:gutter="0" w:footer="0" w:header="0"/>
          <w:type w:val="continuous"/>
        </w:sectPr>
      </w:pPr>
    </w:p>
    <w:p>
      <w:pPr>
        <w:spacing w:after="0" w:line="114"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18</w:t>
      </w:r>
      <w:r>
        <w:rPr>
          <w:sz w:val="20"/>
          <w:szCs w:val="20"/>
          <w:color w:val="auto"/>
        </w:rPr>
        <w:tab/>
      </w:r>
      <w:r>
        <w:rPr>
          <w:sz w:val="1"/>
          <w:szCs w:val="1"/>
          <w:color w:val="auto"/>
        </w:rPr>
        <w:drawing>
          <wp:inline distT="0" distB="0" distL="0" distR="0">
            <wp:extent cx="342900" cy="7683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158115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24" w:name="page25"/>
    <w:bookmarkEnd w:id="2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40"/>
          <w:szCs w:val="40"/>
          <w:b w:val="1"/>
          <w:bCs w:val="1"/>
          <w:color w:val="578255"/>
        </w:rPr>
        <w:t>DIRECTOR COMPENSATION</w:t>
      </w:r>
    </w:p>
    <w:p>
      <w:pPr>
        <w:spacing w:after="0" w:line="359"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Annual Non-Employee Director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jc w:val="both"/>
        <w:ind w:left="920" w:right="920"/>
        <w:spacing w:after="0" w:line="242" w:lineRule="auto"/>
        <w:rPr>
          <w:sz w:val="20"/>
          <w:szCs w:val="20"/>
          <w:color w:val="auto"/>
        </w:rPr>
      </w:pPr>
      <w:r>
        <w:rPr>
          <w:rFonts w:ascii="Arial" w:cs="Arial" w:eastAsia="Arial" w:hAnsi="Arial"/>
          <w:sz w:val="18"/>
          <w:szCs w:val="18"/>
          <w:color w:val="auto"/>
        </w:rPr>
        <w:t>The Compensation Committee annually reviews director compensation with the assistance of its independent compensation consultant to ensure that it is appropriate and competitive in light of market circumstances and prevailing “best practices” for corporate governance. The compensation elements reflect the Board’s view that compensation to non-employee directors should consist of an appropriate mix of cash and equity awards. The annual non-employee director compensation arrangements described below were effective from June 25, 2022 (the beginning of fiscal 2023) to June 28, 2024 (the end of fiscal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920" w:type="dxa"/>
            <w:vAlign w:val="bottom"/>
          </w:tcPr>
          <w:p>
            <w:pPr>
              <w:spacing w:after="0"/>
              <w:rPr>
                <w:sz w:val="24"/>
                <w:szCs w:val="24"/>
                <w:color w:val="auto"/>
              </w:rPr>
            </w:pPr>
          </w:p>
        </w:tc>
        <w:tc>
          <w:tcPr>
            <w:tcW w:w="200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7"/>
                <w:szCs w:val="17"/>
                <w:b w:val="1"/>
                <w:bCs w:val="1"/>
                <w:color w:val="FFFFFF"/>
              </w:rPr>
              <w:t>Pay Element</w:t>
            </w:r>
          </w:p>
        </w:tc>
        <w:tc>
          <w:tcPr>
            <w:tcW w:w="7180" w:type="dxa"/>
            <w:vAlign w:val="bottom"/>
            <w:tcBorders>
              <w:bottom w:val="single" w:sz="8" w:color="819F7C"/>
              <w:right w:val="single" w:sz="8" w:color="819F7C"/>
            </w:tcBorders>
            <w:gridSpan w:val="3"/>
            <w:shd w:val="clear" w:color="auto" w:fill="819F7C"/>
          </w:tcPr>
          <w:p>
            <w:pPr>
              <w:spacing w:after="0"/>
              <w:rPr>
                <w:sz w:val="20"/>
                <w:szCs w:val="20"/>
                <w:color w:val="auto"/>
              </w:rPr>
            </w:pPr>
            <w:r>
              <w:rPr>
                <w:rFonts w:ascii="Arial" w:cs="Arial" w:eastAsia="Arial" w:hAnsi="Arial"/>
                <w:sz w:val="17"/>
                <w:szCs w:val="17"/>
                <w:b w:val="1"/>
                <w:bCs w:val="1"/>
                <w:color w:val="FFFFFF"/>
              </w:rPr>
              <w:t>Fiscal 2024 Board Compensation for Non-Employee Directors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000" w:type="dxa"/>
            <w:vAlign w:val="bottom"/>
            <w:shd w:val="clear" w:color="auto" w:fill="E5E9E3"/>
          </w:tcPr>
          <w:p>
            <w:pPr>
              <w:ind w:left="80"/>
              <w:spacing w:after="0"/>
              <w:rPr>
                <w:sz w:val="20"/>
                <w:szCs w:val="20"/>
                <w:color w:val="auto"/>
              </w:rPr>
            </w:pPr>
            <w:r>
              <w:rPr>
                <w:rFonts w:ascii="Arial" w:cs="Arial" w:eastAsia="Arial" w:hAnsi="Arial"/>
                <w:sz w:val="17"/>
                <w:szCs w:val="17"/>
                <w:b w:val="1"/>
                <w:bCs w:val="1"/>
                <w:color w:val="auto"/>
              </w:rPr>
              <w:t>Annual Retainer</w:t>
            </w:r>
          </w:p>
        </w:tc>
        <w:tc>
          <w:tcPr>
            <w:tcW w:w="3180" w:type="dxa"/>
            <w:vAlign w:val="bottom"/>
            <w:gridSpan w:val="2"/>
            <w:shd w:val="clear" w:color="auto" w:fill="E5E9E3"/>
          </w:tcPr>
          <w:p>
            <w:pPr>
              <w:spacing w:after="0"/>
              <w:rPr>
                <w:sz w:val="20"/>
                <w:szCs w:val="20"/>
                <w:color w:val="auto"/>
              </w:rPr>
            </w:pPr>
            <w:r>
              <w:rPr>
                <w:rFonts w:ascii="Arial" w:cs="Arial" w:eastAsia="Arial" w:hAnsi="Arial"/>
                <w:sz w:val="17"/>
                <w:szCs w:val="17"/>
                <w:color w:val="auto"/>
              </w:rPr>
              <w:t>All Board Members:</w:t>
            </w:r>
          </w:p>
        </w:tc>
        <w:tc>
          <w:tcPr>
            <w:tcW w:w="4000" w:type="dxa"/>
            <w:vAlign w:val="bottom"/>
            <w:tcBorders>
              <w:right w:val="single" w:sz="8" w:color="E5E9E3"/>
            </w:tcBorders>
            <w:shd w:val="clear" w:color="auto" w:fill="E5E9E3"/>
          </w:tcPr>
          <w:p>
            <w:pPr>
              <w:ind w:left="60"/>
              <w:spacing w:after="0"/>
              <w:rPr>
                <w:sz w:val="20"/>
                <w:szCs w:val="20"/>
                <w:color w:val="auto"/>
              </w:rPr>
            </w:pPr>
            <w:r>
              <w:rPr>
                <w:rFonts w:ascii="Arial" w:cs="Arial" w:eastAsia="Arial" w:hAnsi="Arial"/>
                <w:sz w:val="17"/>
                <w:szCs w:val="17"/>
                <w:b w:val="1"/>
                <w:bCs w:val="1"/>
                <w:color w:val="auto"/>
              </w:rPr>
              <w:t>$75,000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2000" w:type="dxa"/>
            <w:vAlign w:val="bottom"/>
            <w:shd w:val="clear" w:color="auto" w:fill="E5E9E3"/>
          </w:tcPr>
          <w:p>
            <w:pPr>
              <w:ind w:left="80"/>
              <w:spacing w:after="0"/>
              <w:rPr>
                <w:sz w:val="20"/>
                <w:szCs w:val="20"/>
                <w:color w:val="auto"/>
              </w:rPr>
            </w:pPr>
            <w:r>
              <w:rPr>
                <w:rFonts w:ascii="Arial" w:cs="Arial" w:eastAsia="Arial" w:hAnsi="Arial"/>
                <w:sz w:val="17"/>
                <w:szCs w:val="17"/>
                <w:b w:val="1"/>
                <w:bCs w:val="1"/>
                <w:color w:val="auto"/>
              </w:rPr>
              <w:t>(Cash)</w:t>
            </w:r>
          </w:p>
        </w:tc>
        <w:tc>
          <w:tcPr>
            <w:tcW w:w="3020" w:type="dxa"/>
            <w:vAlign w:val="bottom"/>
            <w:vMerge w:val="restart"/>
            <w:shd w:val="clear" w:color="auto" w:fill="E5E9E3"/>
          </w:tcPr>
          <w:p>
            <w:pPr>
              <w:spacing w:after="0"/>
              <w:rPr>
                <w:sz w:val="20"/>
                <w:szCs w:val="20"/>
                <w:color w:val="auto"/>
              </w:rPr>
            </w:pPr>
            <w:r>
              <w:rPr>
                <w:rFonts w:ascii="Arial" w:cs="Arial" w:eastAsia="Arial" w:hAnsi="Arial"/>
                <w:sz w:val="17"/>
                <w:szCs w:val="17"/>
                <w:color w:val="auto"/>
              </w:rPr>
              <w:t>Board Chair*:</w:t>
            </w:r>
          </w:p>
        </w:tc>
        <w:tc>
          <w:tcPr>
            <w:tcW w:w="160" w:type="dxa"/>
            <w:vAlign w:val="bottom"/>
            <w:shd w:val="clear" w:color="auto" w:fill="E5E9E3"/>
          </w:tcPr>
          <w:p>
            <w:pPr>
              <w:spacing w:after="0"/>
              <w:rPr>
                <w:sz w:val="20"/>
                <w:szCs w:val="20"/>
                <w:color w:val="auto"/>
              </w:rPr>
            </w:pPr>
          </w:p>
        </w:tc>
        <w:tc>
          <w:tcPr>
            <w:tcW w:w="4000" w:type="dxa"/>
            <w:vAlign w:val="bottom"/>
            <w:tcBorders>
              <w:right w:val="single" w:sz="8" w:color="E5E9E3"/>
            </w:tcBorders>
            <w:vMerge w:val="restart"/>
            <w:shd w:val="clear" w:color="auto" w:fill="E5E9E3"/>
          </w:tcPr>
          <w:p>
            <w:pPr>
              <w:ind w:left="60"/>
              <w:spacing w:after="0"/>
              <w:rPr>
                <w:sz w:val="20"/>
                <w:szCs w:val="20"/>
                <w:color w:val="auto"/>
              </w:rPr>
            </w:pPr>
            <w:r>
              <w:rPr>
                <w:rFonts w:ascii="Arial" w:cs="Arial" w:eastAsia="Arial" w:hAnsi="Arial"/>
                <w:sz w:val="17"/>
                <w:szCs w:val="17"/>
                <w:b w:val="1"/>
                <w:bCs w:val="1"/>
                <w:color w:val="auto"/>
              </w:rPr>
              <w:t>$200,000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0" w:type="dxa"/>
            <w:vAlign w:val="bottom"/>
            <w:shd w:val="clear" w:color="auto" w:fill="E5E9E3"/>
          </w:tcPr>
          <w:p>
            <w:pPr>
              <w:spacing w:after="0"/>
              <w:rPr>
                <w:sz w:val="9"/>
                <w:szCs w:val="9"/>
                <w:color w:val="auto"/>
              </w:rPr>
            </w:pPr>
          </w:p>
        </w:tc>
        <w:tc>
          <w:tcPr>
            <w:tcW w:w="3020" w:type="dxa"/>
            <w:vAlign w:val="bottom"/>
            <w:vMerge w:val="continue"/>
            <w:shd w:val="clear" w:color="auto" w:fill="E5E9E3"/>
          </w:tcPr>
          <w:p>
            <w:pPr>
              <w:spacing w:after="0"/>
              <w:rPr>
                <w:sz w:val="9"/>
                <w:szCs w:val="9"/>
                <w:color w:val="auto"/>
              </w:rPr>
            </w:pPr>
          </w:p>
        </w:tc>
        <w:tc>
          <w:tcPr>
            <w:tcW w:w="160" w:type="dxa"/>
            <w:vAlign w:val="bottom"/>
            <w:shd w:val="clear" w:color="auto" w:fill="E5E9E3"/>
          </w:tcPr>
          <w:p>
            <w:pPr>
              <w:spacing w:after="0"/>
              <w:rPr>
                <w:sz w:val="9"/>
                <w:szCs w:val="9"/>
                <w:color w:val="auto"/>
              </w:rPr>
            </w:pPr>
          </w:p>
        </w:tc>
        <w:tc>
          <w:tcPr>
            <w:tcW w:w="4000" w:type="dxa"/>
            <w:vAlign w:val="bottom"/>
            <w:tcBorders>
              <w:right w:val="single" w:sz="8" w:color="E5E9E3"/>
            </w:tcBorders>
            <w:vMerge w:val="continue"/>
            <w:shd w:val="clear" w:color="auto" w:fill="E5E9E3"/>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2000" w:type="dxa"/>
            <w:vAlign w:val="bottom"/>
            <w:shd w:val="clear" w:color="auto" w:fill="E5E9E3"/>
          </w:tcPr>
          <w:p>
            <w:pPr>
              <w:spacing w:after="0"/>
              <w:rPr>
                <w:sz w:val="24"/>
                <w:szCs w:val="24"/>
                <w:color w:val="auto"/>
              </w:rPr>
            </w:pPr>
          </w:p>
        </w:tc>
        <w:tc>
          <w:tcPr>
            <w:tcW w:w="3020" w:type="dxa"/>
            <w:vAlign w:val="bottom"/>
            <w:shd w:val="clear" w:color="auto" w:fill="E5E9E3"/>
          </w:tcPr>
          <w:p>
            <w:pPr>
              <w:spacing w:after="0"/>
              <w:rPr>
                <w:sz w:val="20"/>
                <w:szCs w:val="20"/>
                <w:color w:val="auto"/>
              </w:rPr>
            </w:pPr>
            <w:r>
              <w:rPr>
                <w:rFonts w:ascii="Arial" w:cs="Arial" w:eastAsia="Arial" w:hAnsi="Arial"/>
                <w:sz w:val="17"/>
                <w:szCs w:val="17"/>
                <w:color w:val="auto"/>
              </w:rPr>
              <w:t>Lead Independent Director**:</w:t>
            </w:r>
          </w:p>
        </w:tc>
        <w:tc>
          <w:tcPr>
            <w:tcW w:w="160" w:type="dxa"/>
            <w:vAlign w:val="bottom"/>
            <w:shd w:val="clear" w:color="auto" w:fill="E5E9E3"/>
          </w:tcPr>
          <w:p>
            <w:pPr>
              <w:spacing w:after="0"/>
              <w:rPr>
                <w:sz w:val="24"/>
                <w:szCs w:val="24"/>
                <w:color w:val="auto"/>
              </w:rPr>
            </w:pPr>
          </w:p>
        </w:tc>
        <w:tc>
          <w:tcPr>
            <w:tcW w:w="4000" w:type="dxa"/>
            <w:vAlign w:val="bottom"/>
            <w:tcBorders>
              <w:right w:val="single" w:sz="8" w:color="E5E9E3"/>
            </w:tcBorders>
            <w:shd w:val="clear" w:color="auto" w:fill="E5E9E3"/>
          </w:tcPr>
          <w:p>
            <w:pPr>
              <w:ind w:left="60"/>
              <w:spacing w:after="0"/>
              <w:rPr>
                <w:sz w:val="20"/>
                <w:szCs w:val="20"/>
                <w:color w:val="auto"/>
              </w:rPr>
            </w:pPr>
            <w:r>
              <w:rPr>
                <w:rFonts w:ascii="Arial" w:cs="Arial" w:eastAsia="Arial" w:hAnsi="Arial"/>
                <w:sz w:val="17"/>
                <w:szCs w:val="17"/>
                <w:b w:val="1"/>
                <w:bCs w:val="1"/>
                <w:color w:val="auto"/>
              </w:rPr>
              <w:t>$45,000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000" w:type="dxa"/>
            <w:vAlign w:val="bottom"/>
            <w:shd w:val="clear" w:color="auto" w:fill="E5E9E3"/>
          </w:tcPr>
          <w:p>
            <w:pPr>
              <w:spacing w:after="0"/>
              <w:rPr>
                <w:sz w:val="20"/>
                <w:szCs w:val="20"/>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*Applicable only if the Board Chair is a non-employee director. This retainer was approved by the Board in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000" w:type="dxa"/>
            <w:vAlign w:val="bottom"/>
            <w:shd w:val="clear" w:color="auto" w:fill="E5E9E3"/>
          </w:tcPr>
          <w:p>
            <w:pPr>
              <w:spacing w:after="0"/>
              <w:rPr>
                <w:sz w:val="14"/>
                <w:szCs w:val="14"/>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connection with Mr. Mitchell’s transition in June 2018 from executive chairman of the Board to non-employee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000" w:type="dxa"/>
            <w:vAlign w:val="bottom"/>
            <w:shd w:val="clear" w:color="auto" w:fill="E5E9E3"/>
          </w:tcPr>
          <w:p>
            <w:pPr>
              <w:spacing w:after="0"/>
              <w:rPr>
                <w:sz w:val="14"/>
                <w:szCs w:val="14"/>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Chairman of the Board in light of Mr. Mitchell’s ongoing significant involvement with Fabrinet and the valuable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3180" w:type="dxa"/>
            <w:vAlign w:val="bottom"/>
            <w:gridSpan w:val="2"/>
            <w:shd w:val="clear" w:color="auto" w:fill="E5E9E3"/>
          </w:tcPr>
          <w:p>
            <w:pPr>
              <w:spacing w:after="0"/>
              <w:rPr>
                <w:sz w:val="20"/>
                <w:szCs w:val="20"/>
                <w:color w:val="auto"/>
              </w:rPr>
            </w:pPr>
            <w:r>
              <w:rPr>
                <w:rFonts w:ascii="Arial" w:cs="Arial" w:eastAsia="Arial" w:hAnsi="Arial"/>
                <w:sz w:val="14"/>
                <w:szCs w:val="14"/>
                <w:color w:val="auto"/>
              </w:rPr>
              <w:t>leadership and guidance he provides to Fabrinet.</w:t>
            </w:r>
          </w:p>
        </w:tc>
        <w:tc>
          <w:tcPr>
            <w:tcW w:w="4000" w:type="dxa"/>
            <w:vAlign w:val="bottom"/>
            <w:tcBorders>
              <w:right w:val="single" w:sz="8" w:color="E5E9E3"/>
            </w:tcBorders>
            <w:shd w:val="clear" w:color="auto" w:fill="E5E9E3"/>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920" w:type="dxa"/>
            <w:vAlign w:val="bottom"/>
          </w:tcPr>
          <w:p>
            <w:pPr>
              <w:spacing w:after="0"/>
              <w:rPr>
                <w:sz w:val="24"/>
                <w:szCs w:val="24"/>
                <w:color w:val="auto"/>
              </w:rPr>
            </w:pPr>
          </w:p>
        </w:tc>
        <w:tc>
          <w:tcPr>
            <w:tcW w:w="2000" w:type="dxa"/>
            <w:vAlign w:val="bottom"/>
            <w:tcBorders>
              <w:bottom w:val="single" w:sz="8" w:color="E5E9E3"/>
            </w:tcBorders>
            <w:shd w:val="clear" w:color="auto" w:fill="E5E9E3"/>
          </w:tcPr>
          <w:p>
            <w:pPr>
              <w:spacing w:after="0"/>
              <w:rPr>
                <w:sz w:val="24"/>
                <w:szCs w:val="24"/>
                <w:color w:val="auto"/>
              </w:rPr>
            </w:pPr>
          </w:p>
        </w:tc>
        <w:tc>
          <w:tcPr>
            <w:tcW w:w="7180" w:type="dxa"/>
            <w:vAlign w:val="bottom"/>
            <w:tcBorders>
              <w:bottom w:val="single" w:sz="8" w:color="E5E9E3"/>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**Applicable only if the Board Chair is not an independent director.</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000" w:type="dxa"/>
            <w:vAlign w:val="bottom"/>
          </w:tcPr>
          <w:p>
            <w:pPr>
              <w:ind w:left="80"/>
              <w:spacing w:after="0"/>
              <w:rPr>
                <w:sz w:val="20"/>
                <w:szCs w:val="20"/>
                <w:color w:val="auto"/>
              </w:rPr>
            </w:pPr>
            <w:r>
              <w:rPr>
                <w:rFonts w:ascii="Arial" w:cs="Arial" w:eastAsia="Arial" w:hAnsi="Arial"/>
                <w:sz w:val="17"/>
                <w:szCs w:val="17"/>
                <w:b w:val="1"/>
                <w:bCs w:val="1"/>
                <w:color w:val="auto"/>
              </w:rPr>
              <w:t>Committee Member</w:t>
            </w:r>
          </w:p>
        </w:tc>
        <w:tc>
          <w:tcPr>
            <w:tcW w:w="3180" w:type="dxa"/>
            <w:vAlign w:val="bottom"/>
            <w:gridSpan w:val="2"/>
          </w:tcPr>
          <w:p>
            <w:pPr>
              <w:spacing w:after="0"/>
              <w:rPr>
                <w:sz w:val="20"/>
                <w:szCs w:val="20"/>
                <w:color w:val="auto"/>
              </w:rPr>
            </w:pPr>
            <w:r>
              <w:rPr>
                <w:rFonts w:ascii="Arial" w:cs="Arial" w:eastAsia="Arial" w:hAnsi="Arial"/>
                <w:sz w:val="17"/>
                <w:szCs w:val="17"/>
                <w:color w:val="auto"/>
              </w:rPr>
              <w:t>Audit Committee:</w:t>
            </w:r>
          </w:p>
        </w:tc>
        <w:tc>
          <w:tcPr>
            <w:tcW w:w="4920" w:type="dxa"/>
            <w:vAlign w:val="bottom"/>
            <w:gridSpan w:val="2"/>
          </w:tcPr>
          <w:p>
            <w:pPr>
              <w:ind w:left="60"/>
              <w:spacing w:after="0"/>
              <w:rPr>
                <w:sz w:val="20"/>
                <w:szCs w:val="20"/>
                <w:color w:val="auto"/>
              </w:rPr>
            </w:pPr>
            <w:r>
              <w:rPr>
                <w:rFonts w:ascii="Arial" w:cs="Arial" w:eastAsia="Arial" w:hAnsi="Arial"/>
                <w:sz w:val="17"/>
                <w:szCs w:val="17"/>
                <w:b w:val="1"/>
                <w:bCs w:val="1"/>
                <w:color w:val="auto"/>
              </w:rPr>
              <w:t xml:space="preserve">$12,500 </w:t>
            </w:r>
            <w:r>
              <w:rPr>
                <w:rFonts w:ascii="Arial" w:cs="Arial" w:eastAsia="Arial" w:hAnsi="Arial"/>
                <w:sz w:val="17"/>
                <w:szCs w:val="17"/>
                <w:color w:val="auto"/>
              </w:rPr>
              <w:t>(or</w:t>
            </w:r>
            <w:r>
              <w:rPr>
                <w:rFonts w:ascii="Arial" w:cs="Arial" w:eastAsia="Arial" w:hAnsi="Arial"/>
                <w:sz w:val="17"/>
                <w:szCs w:val="17"/>
                <w:b w:val="1"/>
                <w:bCs w:val="1"/>
                <w:color w:val="auto"/>
              </w:rPr>
              <w:t xml:space="preserve"> $33,000 </w:t>
            </w:r>
            <w:r>
              <w:rPr>
                <w:rFonts w:ascii="Arial" w:cs="Arial" w:eastAsia="Arial" w:hAnsi="Arial"/>
                <w:sz w:val="17"/>
                <w:szCs w:val="17"/>
                <w:color w:val="auto"/>
              </w:rPr>
              <w:t>if member is the chair)</w:t>
            </w: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2000" w:type="dxa"/>
            <w:vAlign w:val="bottom"/>
          </w:tcPr>
          <w:p>
            <w:pPr>
              <w:ind w:left="80"/>
              <w:spacing w:after="0"/>
              <w:rPr>
                <w:sz w:val="20"/>
                <w:szCs w:val="20"/>
                <w:color w:val="auto"/>
              </w:rPr>
            </w:pPr>
            <w:r>
              <w:rPr>
                <w:rFonts w:ascii="Arial" w:cs="Arial" w:eastAsia="Arial" w:hAnsi="Arial"/>
                <w:sz w:val="17"/>
                <w:szCs w:val="17"/>
                <w:b w:val="1"/>
                <w:bCs w:val="1"/>
                <w:color w:val="auto"/>
              </w:rPr>
              <w:t>Retainer (Cash)</w:t>
            </w:r>
          </w:p>
        </w:tc>
        <w:tc>
          <w:tcPr>
            <w:tcW w:w="3180" w:type="dxa"/>
            <w:vAlign w:val="bottom"/>
            <w:gridSpan w:val="2"/>
            <w:vMerge w:val="restart"/>
          </w:tcPr>
          <w:p>
            <w:pPr>
              <w:spacing w:after="0"/>
              <w:rPr>
                <w:sz w:val="20"/>
                <w:szCs w:val="20"/>
                <w:color w:val="auto"/>
              </w:rPr>
            </w:pPr>
            <w:r>
              <w:rPr>
                <w:rFonts w:ascii="Arial" w:cs="Arial" w:eastAsia="Arial" w:hAnsi="Arial"/>
                <w:sz w:val="17"/>
                <w:szCs w:val="17"/>
                <w:color w:val="auto"/>
              </w:rPr>
              <w:t>Compensation Committee:</w:t>
            </w:r>
          </w:p>
        </w:tc>
        <w:tc>
          <w:tcPr>
            <w:tcW w:w="492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 xml:space="preserve">$10,000 </w:t>
            </w:r>
            <w:r>
              <w:rPr>
                <w:rFonts w:ascii="Arial" w:cs="Arial" w:eastAsia="Arial" w:hAnsi="Arial"/>
                <w:sz w:val="17"/>
                <w:szCs w:val="17"/>
                <w:color w:val="auto"/>
              </w:rPr>
              <w:t>(or</w:t>
            </w:r>
            <w:r>
              <w:rPr>
                <w:rFonts w:ascii="Arial" w:cs="Arial" w:eastAsia="Arial" w:hAnsi="Arial"/>
                <w:sz w:val="17"/>
                <w:szCs w:val="17"/>
                <w:b w:val="1"/>
                <w:bCs w:val="1"/>
                <w:color w:val="auto"/>
              </w:rPr>
              <w:t xml:space="preserve"> $21,000 </w:t>
            </w:r>
            <w:r>
              <w:rPr>
                <w:rFonts w:ascii="Arial" w:cs="Arial" w:eastAsia="Arial" w:hAnsi="Arial"/>
                <w:sz w:val="17"/>
                <w:szCs w:val="17"/>
                <w:color w:val="auto"/>
              </w:rPr>
              <w:t>if member is the chair)</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auto"/>
              </w:rPr>
              <w:t>Nominating &amp; Corporate</w:t>
            </w:r>
          </w:p>
        </w:tc>
        <w:tc>
          <w:tcPr>
            <w:tcW w:w="4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auto"/>
              </w:rPr>
              <w:t>Governance Committee:</w:t>
            </w:r>
          </w:p>
        </w:tc>
        <w:tc>
          <w:tcPr>
            <w:tcW w:w="4920" w:type="dxa"/>
            <w:vAlign w:val="bottom"/>
            <w:gridSpan w:val="2"/>
          </w:tcPr>
          <w:p>
            <w:pPr>
              <w:ind w:left="60"/>
              <w:spacing w:after="0"/>
              <w:rPr>
                <w:sz w:val="20"/>
                <w:szCs w:val="20"/>
                <w:color w:val="auto"/>
              </w:rPr>
            </w:pPr>
            <w:r>
              <w:rPr>
                <w:rFonts w:ascii="Arial" w:cs="Arial" w:eastAsia="Arial" w:hAnsi="Arial"/>
                <w:sz w:val="17"/>
                <w:szCs w:val="17"/>
                <w:b w:val="1"/>
                <w:bCs w:val="1"/>
                <w:color w:val="auto"/>
              </w:rPr>
              <w:t xml:space="preserve">$6,000 </w:t>
            </w:r>
            <w:r>
              <w:rPr>
                <w:rFonts w:ascii="Arial" w:cs="Arial" w:eastAsia="Arial" w:hAnsi="Arial"/>
                <w:sz w:val="17"/>
                <w:szCs w:val="17"/>
                <w:color w:val="auto"/>
              </w:rPr>
              <w:t>(or</w:t>
            </w:r>
            <w:r>
              <w:rPr>
                <w:rFonts w:ascii="Arial" w:cs="Arial" w:eastAsia="Arial" w:hAnsi="Arial"/>
                <w:sz w:val="17"/>
                <w:szCs w:val="17"/>
                <w:b w:val="1"/>
                <w:bCs w:val="1"/>
                <w:color w:val="auto"/>
              </w:rPr>
              <w:t xml:space="preserve"> $15,000 </w:t>
            </w:r>
            <w:r>
              <w:rPr>
                <w:rFonts w:ascii="Arial" w:cs="Arial" w:eastAsia="Arial" w:hAnsi="Arial"/>
                <w:sz w:val="17"/>
                <w:szCs w:val="17"/>
                <w:color w:val="auto"/>
              </w:rPr>
              <w:t>if member is the chair)</w:t>
            </w: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100" w:type="dxa"/>
            <w:vAlign w:val="bottom"/>
            <w:gridSpan w:val="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2000" w:type="dxa"/>
            <w:vAlign w:val="bottom"/>
            <w:shd w:val="clear" w:color="auto" w:fill="E5E9E3"/>
          </w:tcPr>
          <w:p>
            <w:pPr>
              <w:ind w:left="80"/>
              <w:spacing w:after="0"/>
              <w:rPr>
                <w:sz w:val="20"/>
                <w:szCs w:val="20"/>
                <w:color w:val="auto"/>
              </w:rPr>
            </w:pPr>
            <w:r>
              <w:rPr>
                <w:rFonts w:ascii="Arial" w:cs="Arial" w:eastAsia="Arial" w:hAnsi="Arial"/>
                <w:sz w:val="17"/>
                <w:szCs w:val="17"/>
                <w:b w:val="1"/>
                <w:bCs w:val="1"/>
                <w:color w:val="auto"/>
              </w:rPr>
              <w:t>Restricted Share</w:t>
            </w: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7"/>
                <w:szCs w:val="17"/>
                <w:b w:val="1"/>
                <w:bCs w:val="1"/>
                <w:color w:val="auto"/>
              </w:rPr>
              <w:t>Initial Grant*</w:t>
            </w:r>
            <w:r>
              <w:rPr>
                <w:rFonts w:ascii="Arial" w:cs="Arial" w:eastAsia="Arial" w:hAnsi="Arial"/>
                <w:sz w:val="17"/>
                <w:szCs w:val="17"/>
                <w:color w:val="auto"/>
              </w:rPr>
              <w:t>: Upon joining the Board, and effective as of the date an individual becomes a</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ind w:left="80"/>
              <w:spacing w:after="0" w:line="189" w:lineRule="exact"/>
              <w:rPr>
                <w:sz w:val="20"/>
                <w:szCs w:val="20"/>
                <w:color w:val="auto"/>
              </w:rPr>
            </w:pPr>
            <w:r>
              <w:rPr>
                <w:rFonts w:ascii="Arial" w:cs="Arial" w:eastAsia="Arial" w:hAnsi="Arial"/>
                <w:sz w:val="17"/>
                <w:szCs w:val="17"/>
                <w:b w:val="1"/>
                <w:bCs w:val="1"/>
                <w:color w:val="auto"/>
              </w:rPr>
              <w:t>Units (Equity)</w:t>
            </w: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non-employee member of the Board, an award of RSUs, on a prorated basis, to cover 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 xml:space="preserve">number of Fabrinet’s ordinary shares equal to: </w:t>
            </w:r>
            <w:r>
              <w:rPr>
                <w:rFonts w:ascii="Arial" w:cs="Arial" w:eastAsia="Arial" w:hAnsi="Arial"/>
                <w:sz w:val="17"/>
                <w:szCs w:val="17"/>
                <w:b w:val="1"/>
                <w:bCs w:val="1"/>
                <w:color w:val="auto"/>
              </w:rPr>
              <w:t>$220,000</w:t>
            </w:r>
            <w:r>
              <w:rPr>
                <w:rFonts w:ascii="Arial" w:cs="Arial" w:eastAsia="Arial" w:hAnsi="Arial"/>
                <w:sz w:val="17"/>
                <w:szCs w:val="17"/>
                <w:color w:val="auto"/>
              </w:rPr>
              <w:t>, divided by the closing price of the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ordinary shares on the NYSE on the date of grant, and multiplied by the ratio of (i) the number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of days beginning with the date the director joins the Board and ending on the day</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immediately preceding the one year anniversary of the prior year’s annual shareholder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meeting, divided by (ii) 365 days, with the resulting number rounded up to the nearest whole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share. For the avoidance of doubt, an individual who becomes a non-employee director as 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2000" w:type="dxa"/>
            <w:vAlign w:val="bottom"/>
            <w:shd w:val="clear" w:color="auto" w:fill="E5E9E3"/>
          </w:tcPr>
          <w:p>
            <w:pPr>
              <w:spacing w:after="0"/>
              <w:rPr>
                <w:sz w:val="19"/>
                <w:szCs w:val="19"/>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7"/>
                <w:szCs w:val="17"/>
                <w:color w:val="auto"/>
              </w:rPr>
              <w:t>result of ceasing to be an employee will be eligible to receive an Initial Grant.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920" w:type="dxa"/>
            <w:vAlign w:val="bottom"/>
          </w:tcPr>
          <w:p>
            <w:pPr>
              <w:spacing w:after="0"/>
              <w:rPr>
                <w:sz w:val="24"/>
                <w:szCs w:val="24"/>
                <w:color w:val="auto"/>
              </w:rPr>
            </w:pPr>
          </w:p>
        </w:tc>
        <w:tc>
          <w:tcPr>
            <w:tcW w:w="2000" w:type="dxa"/>
            <w:vAlign w:val="bottom"/>
            <w:shd w:val="clear" w:color="auto" w:fill="E5E9E3"/>
          </w:tcPr>
          <w:p>
            <w:pPr>
              <w:spacing w:after="0"/>
              <w:rPr>
                <w:sz w:val="24"/>
                <w:szCs w:val="24"/>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7"/>
                <w:szCs w:val="17"/>
                <w:b w:val="1"/>
                <w:bCs w:val="1"/>
                <w:color w:val="auto"/>
              </w:rPr>
              <w:t>Annual Grant*</w:t>
            </w:r>
            <w:r>
              <w:rPr>
                <w:rFonts w:ascii="Arial" w:cs="Arial" w:eastAsia="Arial" w:hAnsi="Arial"/>
                <w:sz w:val="17"/>
                <w:szCs w:val="17"/>
                <w:color w:val="auto"/>
              </w:rPr>
              <w:t>: On the date of each annual shareholder meeting and provided that the non-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employee director will continue as a Board member following such meeting, an award of</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 xml:space="preserve">RSUs covering a number of Fabrinet’s ordinary shares equal to: </w:t>
            </w:r>
            <w:r>
              <w:rPr>
                <w:rFonts w:ascii="Arial" w:cs="Arial" w:eastAsia="Arial" w:hAnsi="Arial"/>
                <w:sz w:val="17"/>
                <w:szCs w:val="17"/>
                <w:b w:val="1"/>
                <w:bCs w:val="1"/>
                <w:color w:val="auto"/>
              </w:rPr>
              <w:t>$220,000</w:t>
            </w:r>
            <w:r>
              <w:rPr>
                <w:rFonts w:ascii="Arial" w:cs="Arial" w:eastAsia="Arial" w:hAnsi="Arial"/>
                <w:sz w:val="17"/>
                <w:szCs w:val="17"/>
                <w:color w:val="auto"/>
              </w:rPr>
              <w:t>, divided by the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closing price of the ordinary shares on the NYSE on the date of grant, with the resulting</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2000" w:type="dxa"/>
            <w:vAlign w:val="bottom"/>
            <w:shd w:val="clear" w:color="auto" w:fill="E5E9E3"/>
          </w:tcPr>
          <w:p>
            <w:pPr>
              <w:spacing w:after="0"/>
              <w:rPr>
                <w:sz w:val="19"/>
                <w:szCs w:val="19"/>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7"/>
                <w:szCs w:val="17"/>
                <w:color w:val="auto"/>
              </w:rPr>
              <w:t>number rounded up to the nearest whole share.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920" w:type="dxa"/>
            <w:vAlign w:val="bottom"/>
          </w:tcPr>
          <w:p>
            <w:pPr>
              <w:spacing w:after="0"/>
              <w:rPr>
                <w:sz w:val="24"/>
                <w:szCs w:val="24"/>
                <w:color w:val="auto"/>
              </w:rPr>
            </w:pPr>
          </w:p>
        </w:tc>
        <w:tc>
          <w:tcPr>
            <w:tcW w:w="2000" w:type="dxa"/>
            <w:vAlign w:val="bottom"/>
            <w:shd w:val="clear" w:color="auto" w:fill="E5E9E3"/>
          </w:tcPr>
          <w:p>
            <w:pPr>
              <w:spacing w:after="0"/>
              <w:rPr>
                <w:sz w:val="24"/>
                <w:szCs w:val="24"/>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RSUs will be scheduled to vest in full on January 1 following the next annual meeting</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000" w:type="dxa"/>
            <w:vAlign w:val="bottom"/>
            <w:shd w:val="clear" w:color="auto" w:fill="E5E9E3"/>
          </w:tcPr>
          <w:p>
            <w:pPr>
              <w:spacing w:after="0"/>
              <w:rPr>
                <w:sz w:val="16"/>
                <w:szCs w:val="16"/>
                <w:color w:val="auto"/>
              </w:rPr>
            </w:pPr>
          </w:p>
        </w:tc>
        <w:tc>
          <w:tcPr>
            <w:tcW w:w="7180" w:type="dxa"/>
            <w:vAlign w:val="bottom"/>
            <w:tcBorders>
              <w:right w:val="single" w:sz="8" w:color="E5E9E3"/>
            </w:tcBorders>
            <w:gridSpan w:val="3"/>
            <w:shd w:val="clear" w:color="auto" w:fill="E5E9E3"/>
          </w:tcPr>
          <w:p>
            <w:pPr>
              <w:spacing w:after="0" w:line="189" w:lineRule="exact"/>
              <w:rPr>
                <w:sz w:val="20"/>
                <w:szCs w:val="20"/>
                <w:color w:val="auto"/>
              </w:rPr>
            </w:pPr>
            <w:r>
              <w:rPr>
                <w:rFonts w:ascii="Arial" w:cs="Arial" w:eastAsia="Arial" w:hAnsi="Arial"/>
                <w:sz w:val="17"/>
                <w:szCs w:val="17"/>
                <w:color w:val="auto"/>
              </w:rPr>
              <w:t>of shareholders after the applicable date of grant, provided the director continues to remain 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0" w:type="dxa"/>
            <w:vAlign w:val="bottom"/>
          </w:tcPr>
          <w:p>
            <w:pPr>
              <w:spacing w:after="0"/>
              <w:rPr>
                <w:sz w:val="19"/>
                <w:szCs w:val="19"/>
                <w:color w:val="auto"/>
              </w:rPr>
            </w:pPr>
          </w:p>
        </w:tc>
        <w:tc>
          <w:tcPr>
            <w:tcW w:w="2000" w:type="dxa"/>
            <w:vAlign w:val="bottom"/>
            <w:shd w:val="clear" w:color="auto" w:fill="E5E9E3"/>
          </w:tcPr>
          <w:p>
            <w:pPr>
              <w:spacing w:after="0"/>
              <w:rPr>
                <w:sz w:val="19"/>
                <w:szCs w:val="19"/>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7"/>
                <w:szCs w:val="17"/>
                <w:color w:val="auto"/>
              </w:rPr>
              <w:t>service provider to Fabrinet through such date.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2000" w:type="dxa"/>
            <w:vAlign w:val="bottom"/>
            <w:shd w:val="clear" w:color="auto" w:fill="E5E9E3"/>
          </w:tcPr>
          <w:p>
            <w:pPr>
              <w:spacing w:after="0"/>
              <w:rPr>
                <w:sz w:val="23"/>
                <w:szCs w:val="23"/>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*Grants are automatic and nondiscretionary and subject to the terms and conditions of Fabrinet’s 2020 Equity</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000" w:type="dxa"/>
            <w:vAlign w:val="bottom"/>
            <w:shd w:val="clear" w:color="auto" w:fill="E5E9E3"/>
          </w:tcPr>
          <w:p>
            <w:pPr>
              <w:spacing w:after="0"/>
              <w:rPr>
                <w:sz w:val="14"/>
                <w:szCs w:val="14"/>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Incentive Plan and form of Restricted Share Unit Agreement previously approved for use under such plan. Any</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000" w:type="dxa"/>
            <w:vAlign w:val="bottom"/>
            <w:shd w:val="clear" w:color="auto" w:fill="E5E9E3"/>
          </w:tcPr>
          <w:p>
            <w:pPr>
              <w:spacing w:after="0"/>
              <w:rPr>
                <w:sz w:val="14"/>
                <w:szCs w:val="14"/>
                <w:color w:val="auto"/>
              </w:rPr>
            </w:pPr>
          </w:p>
        </w:tc>
        <w:tc>
          <w:tcPr>
            <w:tcW w:w="7180" w:type="dxa"/>
            <w:vAlign w:val="bottom"/>
            <w:tcBorders>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RSUs that vest will be settled in ordinary shares of Fabrinet, and the par value of ordinary shares of Fabrinet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2000" w:type="dxa"/>
            <w:vAlign w:val="bottom"/>
            <w:tcBorders>
              <w:bottom w:val="single" w:sz="8" w:color="E5E9E3"/>
            </w:tcBorders>
            <w:shd w:val="clear" w:color="auto" w:fill="E5E9E3"/>
          </w:tcPr>
          <w:p>
            <w:pPr>
              <w:spacing w:after="0"/>
              <w:rPr>
                <w:sz w:val="17"/>
                <w:szCs w:val="17"/>
                <w:color w:val="auto"/>
              </w:rPr>
            </w:pPr>
          </w:p>
        </w:tc>
        <w:tc>
          <w:tcPr>
            <w:tcW w:w="7180" w:type="dxa"/>
            <w:vAlign w:val="bottom"/>
            <w:tcBorders>
              <w:bottom w:val="single" w:sz="8" w:color="E5E9E3"/>
              <w:right w:val="single" w:sz="8" w:color="E5E9E3"/>
            </w:tcBorders>
            <w:gridSpan w:val="3"/>
            <w:shd w:val="clear" w:color="auto" w:fill="E5E9E3"/>
          </w:tcPr>
          <w:p>
            <w:pPr>
              <w:spacing w:after="0"/>
              <w:rPr>
                <w:sz w:val="20"/>
                <w:szCs w:val="20"/>
                <w:color w:val="auto"/>
              </w:rPr>
            </w:pPr>
            <w:r>
              <w:rPr>
                <w:rFonts w:ascii="Arial" w:cs="Arial" w:eastAsia="Arial" w:hAnsi="Arial"/>
                <w:sz w:val="14"/>
                <w:szCs w:val="14"/>
                <w:color w:val="auto"/>
              </w:rPr>
              <w:t>issued upon such settlement will be considered to have been paid with past services rendered.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2000" w:type="dxa"/>
            <w:vAlign w:val="bottom"/>
            <w:shd w:val="clear" w:color="auto" w:fill="819F7C"/>
          </w:tcPr>
          <w:p>
            <w:pPr>
              <w:spacing w:after="0"/>
              <w:rPr>
                <w:sz w:val="8"/>
                <w:szCs w:val="8"/>
                <w:color w:val="auto"/>
              </w:rPr>
            </w:pPr>
          </w:p>
        </w:tc>
        <w:tc>
          <w:tcPr>
            <w:tcW w:w="3020" w:type="dxa"/>
            <w:vAlign w:val="bottom"/>
            <w:shd w:val="clear" w:color="auto" w:fill="819F7C"/>
          </w:tcPr>
          <w:p>
            <w:pPr>
              <w:spacing w:after="0"/>
              <w:rPr>
                <w:sz w:val="8"/>
                <w:szCs w:val="8"/>
                <w:color w:val="auto"/>
              </w:rPr>
            </w:pPr>
          </w:p>
        </w:tc>
        <w:tc>
          <w:tcPr>
            <w:tcW w:w="160" w:type="dxa"/>
            <w:vAlign w:val="bottom"/>
            <w:shd w:val="clear" w:color="auto" w:fill="819F7C"/>
          </w:tcPr>
          <w:p>
            <w:pPr>
              <w:spacing w:after="0"/>
              <w:rPr>
                <w:sz w:val="8"/>
                <w:szCs w:val="8"/>
                <w:color w:val="auto"/>
              </w:rPr>
            </w:pPr>
          </w:p>
        </w:tc>
        <w:tc>
          <w:tcPr>
            <w:tcW w:w="4000" w:type="dxa"/>
            <w:vAlign w:val="bottom"/>
            <w:tcBorders>
              <w:right w:val="single" w:sz="8" w:color="819F7C"/>
            </w:tcBorders>
            <w:shd w:val="clear" w:color="auto" w:fill="819F7C"/>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2"/>
        </w:trPr>
        <w:tc>
          <w:tcPr>
            <w:tcW w:w="920" w:type="dxa"/>
            <w:vAlign w:val="bottom"/>
          </w:tcPr>
          <w:p>
            <w:pPr>
              <w:spacing w:after="0"/>
              <w:rPr>
                <w:sz w:val="24"/>
                <w:szCs w:val="24"/>
                <w:color w:val="auto"/>
              </w:rPr>
            </w:pPr>
          </w:p>
        </w:tc>
        <w:tc>
          <w:tcPr>
            <w:tcW w:w="5180" w:type="dxa"/>
            <w:vAlign w:val="bottom"/>
            <w:gridSpan w:val="3"/>
          </w:tcPr>
          <w:p>
            <w:pPr>
              <w:ind w:left="860"/>
              <w:spacing w:after="0"/>
              <w:rPr>
                <w:sz w:val="20"/>
                <w:szCs w:val="20"/>
                <w:color w:val="auto"/>
              </w:rPr>
            </w:pPr>
            <w:r>
              <w:rPr>
                <w:rFonts w:ascii="Arial" w:cs="Arial" w:eastAsia="Arial" w:hAnsi="Arial"/>
                <w:sz w:val="13"/>
                <w:szCs w:val="13"/>
                <w:color w:val="auto"/>
              </w:rPr>
              <w:t>2024 PROXY STATEMENT</w:t>
            </w:r>
          </w:p>
        </w:tc>
        <w:tc>
          <w:tcPr>
            <w:tcW w:w="4920" w:type="dxa"/>
            <w:vAlign w:val="bottom"/>
            <w:gridSpan w:val="2"/>
          </w:tcPr>
          <w:p>
            <w:pPr>
              <w:ind w:left="386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24"/>
        </w:trPr>
        <w:tc>
          <w:tcPr>
            <w:tcW w:w="9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b w:val="1"/>
          <w:bCs w:val="1"/>
          <w:color w:val="auto"/>
        </w:rPr>
        <w:t>Fiscal 2025 Board Compensation for Non-Employee Directors</w:t>
      </w:r>
      <w:r>
        <w:rPr>
          <w:rFonts w:ascii="Arial" w:cs="Arial" w:eastAsia="Arial" w:hAnsi="Arial"/>
          <w:sz w:val="18"/>
          <w:szCs w:val="18"/>
          <w:color w:val="auto"/>
        </w:rPr>
        <w:t>: In 2024, the Compensation Committee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Compensia, Inc., a national compensation consulting firm, to provide independent services to assist the Compensation Committee in evaluating the competitiveness of our non-employee director compensation program. As a result of this review and upon the recommendation of the Compensation Committee, the Board increased the annual cash retainer for non-employee Board members to $85,000 and approved the following committee member cash retainers, effective as of June 29, 2024 (the beginning of fiscal 2025):</w:t>
      </w:r>
    </w:p>
    <w:p>
      <w:pPr>
        <w:spacing w:after="0" w:line="209"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2140" w:type="dxa"/>
            <w:vAlign w:val="bottom"/>
          </w:tcPr>
          <w:p>
            <w:pPr>
              <w:spacing w:after="0"/>
              <w:rPr>
                <w:sz w:val="20"/>
                <w:szCs w:val="20"/>
                <w:color w:val="auto"/>
              </w:rPr>
            </w:pPr>
            <w:r>
              <w:rPr>
                <w:rFonts w:ascii="Arial" w:cs="Arial" w:eastAsia="Arial" w:hAnsi="Arial"/>
                <w:sz w:val="17"/>
                <w:szCs w:val="17"/>
                <w:b w:val="1"/>
                <w:bCs w:val="1"/>
                <w:color w:val="auto"/>
              </w:rPr>
              <w:t>Committee Member</w:t>
            </w:r>
          </w:p>
        </w:tc>
        <w:tc>
          <w:tcPr>
            <w:tcW w:w="3080" w:type="dxa"/>
            <w:vAlign w:val="bottom"/>
            <w:vMerge w:val="restart"/>
          </w:tcPr>
          <w:p>
            <w:pPr>
              <w:ind w:left="560"/>
              <w:spacing w:after="0"/>
              <w:rPr>
                <w:sz w:val="20"/>
                <w:szCs w:val="20"/>
                <w:color w:val="auto"/>
              </w:rPr>
            </w:pPr>
            <w:r>
              <w:rPr>
                <w:rFonts w:ascii="Arial" w:cs="Arial" w:eastAsia="Arial" w:hAnsi="Arial"/>
                <w:sz w:val="17"/>
                <w:szCs w:val="17"/>
                <w:color w:val="auto"/>
              </w:rPr>
              <w:t>Audit Committee:</w:t>
            </w:r>
          </w:p>
        </w:tc>
        <w:tc>
          <w:tcPr>
            <w:tcW w:w="3780" w:type="dxa"/>
            <w:vAlign w:val="bottom"/>
            <w:vMerge w:val="restart"/>
          </w:tcPr>
          <w:p>
            <w:pPr>
              <w:ind w:left="500"/>
              <w:spacing w:after="0"/>
              <w:rPr>
                <w:sz w:val="20"/>
                <w:szCs w:val="20"/>
                <w:color w:val="auto"/>
              </w:rPr>
            </w:pPr>
            <w:r>
              <w:rPr>
                <w:rFonts w:ascii="Arial" w:cs="Arial" w:eastAsia="Arial" w:hAnsi="Arial"/>
                <w:sz w:val="17"/>
                <w:szCs w:val="17"/>
                <w:b w:val="1"/>
                <w:bCs w:val="1"/>
                <w:color w:val="auto"/>
                <w:w w:val="99"/>
              </w:rPr>
              <w:t xml:space="preserve">$14,000 </w:t>
            </w:r>
            <w:r>
              <w:rPr>
                <w:rFonts w:ascii="Arial" w:cs="Arial" w:eastAsia="Arial" w:hAnsi="Arial"/>
                <w:sz w:val="17"/>
                <w:szCs w:val="17"/>
                <w:color w:val="auto"/>
                <w:w w:val="99"/>
              </w:rPr>
              <w:t>(or</w:t>
            </w:r>
            <w:r>
              <w:rPr>
                <w:rFonts w:ascii="Arial" w:cs="Arial" w:eastAsia="Arial" w:hAnsi="Arial"/>
                <w:sz w:val="17"/>
                <w:szCs w:val="17"/>
                <w:b w:val="1"/>
                <w:bCs w:val="1"/>
                <w:color w:val="auto"/>
                <w:w w:val="99"/>
              </w:rPr>
              <w:t xml:space="preserve"> $33,000 </w:t>
            </w:r>
            <w:r>
              <w:rPr>
                <w:rFonts w:ascii="Arial" w:cs="Arial" w:eastAsia="Arial" w:hAnsi="Arial"/>
                <w:sz w:val="17"/>
                <w:szCs w:val="17"/>
                <w:color w:val="auto"/>
                <w:w w:val="99"/>
              </w:rPr>
              <w:t>if member is the chair)</w:t>
            </w:r>
          </w:p>
        </w:tc>
        <w:tc>
          <w:tcPr>
            <w:tcW w:w="0" w:type="dxa"/>
            <w:vAlign w:val="bottom"/>
          </w:tcPr>
          <w:p>
            <w:pPr>
              <w:spacing w:after="0"/>
              <w:rPr>
                <w:sz w:val="1"/>
                <w:szCs w:val="1"/>
                <w:color w:val="auto"/>
              </w:rPr>
            </w:pPr>
          </w:p>
        </w:tc>
      </w:tr>
      <w:tr>
        <w:trPr>
          <w:trHeight w:val="113"/>
        </w:trPr>
        <w:tc>
          <w:tcPr>
            <w:tcW w:w="2140" w:type="dxa"/>
            <w:vAlign w:val="bottom"/>
            <w:vMerge w:val="restart"/>
          </w:tcPr>
          <w:p>
            <w:pPr>
              <w:spacing w:after="0"/>
              <w:rPr>
                <w:sz w:val="20"/>
                <w:szCs w:val="20"/>
                <w:color w:val="auto"/>
              </w:rPr>
            </w:pPr>
            <w:r>
              <w:rPr>
                <w:rFonts w:ascii="Arial" w:cs="Arial" w:eastAsia="Arial" w:hAnsi="Arial"/>
                <w:sz w:val="17"/>
                <w:szCs w:val="17"/>
                <w:b w:val="1"/>
                <w:bCs w:val="1"/>
                <w:color w:val="auto"/>
              </w:rPr>
              <w:t>Retainer (Cash)</w:t>
            </w:r>
          </w:p>
        </w:tc>
        <w:tc>
          <w:tcPr>
            <w:tcW w:w="3080" w:type="dxa"/>
            <w:vAlign w:val="bottom"/>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40" w:type="dxa"/>
            <w:vAlign w:val="bottom"/>
            <w:vMerge w:val="continue"/>
          </w:tcPr>
          <w:p>
            <w:pPr>
              <w:spacing w:after="0"/>
              <w:rPr>
                <w:sz w:val="10"/>
                <w:szCs w:val="10"/>
                <w:color w:val="auto"/>
              </w:rPr>
            </w:pPr>
          </w:p>
        </w:tc>
        <w:tc>
          <w:tcPr>
            <w:tcW w:w="3080" w:type="dxa"/>
            <w:vAlign w:val="bottom"/>
            <w:vMerge w:val="restart"/>
          </w:tcPr>
          <w:p>
            <w:pPr>
              <w:ind w:left="560"/>
              <w:spacing w:after="0"/>
              <w:rPr>
                <w:sz w:val="20"/>
                <w:szCs w:val="20"/>
                <w:color w:val="auto"/>
              </w:rPr>
            </w:pPr>
            <w:r>
              <w:rPr>
                <w:rFonts w:ascii="Arial" w:cs="Arial" w:eastAsia="Arial" w:hAnsi="Arial"/>
                <w:sz w:val="17"/>
                <w:szCs w:val="17"/>
                <w:color w:val="auto"/>
              </w:rPr>
              <w:t>Compensation Committee:</w:t>
            </w:r>
          </w:p>
        </w:tc>
        <w:tc>
          <w:tcPr>
            <w:tcW w:w="3780" w:type="dxa"/>
            <w:vAlign w:val="bottom"/>
            <w:vMerge w:val="restart"/>
          </w:tcPr>
          <w:p>
            <w:pPr>
              <w:ind w:left="500"/>
              <w:spacing w:after="0"/>
              <w:rPr>
                <w:sz w:val="20"/>
                <w:szCs w:val="20"/>
                <w:color w:val="auto"/>
              </w:rPr>
            </w:pPr>
            <w:r>
              <w:rPr>
                <w:rFonts w:ascii="Arial" w:cs="Arial" w:eastAsia="Arial" w:hAnsi="Arial"/>
                <w:sz w:val="17"/>
                <w:szCs w:val="17"/>
                <w:b w:val="1"/>
                <w:bCs w:val="1"/>
                <w:color w:val="auto"/>
                <w:w w:val="99"/>
              </w:rPr>
              <w:t xml:space="preserve">$10,000 </w:t>
            </w:r>
            <w:r>
              <w:rPr>
                <w:rFonts w:ascii="Arial" w:cs="Arial" w:eastAsia="Arial" w:hAnsi="Arial"/>
                <w:sz w:val="17"/>
                <w:szCs w:val="17"/>
                <w:color w:val="auto"/>
                <w:w w:val="99"/>
              </w:rPr>
              <w:t>(or</w:t>
            </w:r>
            <w:r>
              <w:rPr>
                <w:rFonts w:ascii="Arial" w:cs="Arial" w:eastAsia="Arial" w:hAnsi="Arial"/>
                <w:sz w:val="17"/>
                <w:szCs w:val="17"/>
                <w:b w:val="1"/>
                <w:bCs w:val="1"/>
                <w:color w:val="auto"/>
                <w:w w:val="99"/>
              </w:rPr>
              <w:t xml:space="preserve"> $24,000 </w:t>
            </w:r>
            <w:r>
              <w:rPr>
                <w:rFonts w:ascii="Arial" w:cs="Arial" w:eastAsia="Arial" w:hAnsi="Arial"/>
                <w:sz w:val="17"/>
                <w:szCs w:val="17"/>
                <w:color w:val="auto"/>
                <w:w w:val="99"/>
              </w:rPr>
              <w:t>if member is the chair)</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140" w:type="dxa"/>
            <w:vAlign w:val="bottom"/>
          </w:tcPr>
          <w:p>
            <w:pPr>
              <w:spacing w:after="0"/>
              <w:rPr>
                <w:sz w:val="21"/>
                <w:szCs w:val="21"/>
                <w:color w:val="auto"/>
              </w:rPr>
            </w:pPr>
          </w:p>
        </w:tc>
        <w:tc>
          <w:tcPr>
            <w:tcW w:w="3080" w:type="dxa"/>
            <w:vAlign w:val="bottom"/>
          </w:tcPr>
          <w:p>
            <w:pPr>
              <w:ind w:left="560"/>
              <w:spacing w:after="0"/>
              <w:rPr>
                <w:sz w:val="20"/>
                <w:szCs w:val="20"/>
                <w:color w:val="auto"/>
              </w:rPr>
            </w:pPr>
            <w:r>
              <w:rPr>
                <w:rFonts w:ascii="Arial" w:cs="Arial" w:eastAsia="Arial" w:hAnsi="Arial"/>
                <w:sz w:val="17"/>
                <w:szCs w:val="17"/>
                <w:color w:val="auto"/>
              </w:rPr>
              <w:t>Nominating &amp; Corporate</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3080" w:type="dxa"/>
            <w:vAlign w:val="bottom"/>
          </w:tcPr>
          <w:p>
            <w:pPr>
              <w:ind w:left="560"/>
              <w:spacing w:after="0"/>
              <w:rPr>
                <w:sz w:val="20"/>
                <w:szCs w:val="20"/>
                <w:color w:val="auto"/>
              </w:rPr>
            </w:pPr>
            <w:r>
              <w:rPr>
                <w:rFonts w:ascii="Arial" w:cs="Arial" w:eastAsia="Arial" w:hAnsi="Arial"/>
                <w:sz w:val="17"/>
                <w:szCs w:val="17"/>
                <w:color w:val="auto"/>
              </w:rPr>
              <w:t>Governance Committee:</w:t>
            </w:r>
          </w:p>
        </w:tc>
        <w:tc>
          <w:tcPr>
            <w:tcW w:w="3780" w:type="dxa"/>
            <w:vAlign w:val="bottom"/>
          </w:tcPr>
          <w:p>
            <w:pPr>
              <w:ind w:left="500"/>
              <w:spacing w:after="0"/>
              <w:rPr>
                <w:sz w:val="20"/>
                <w:szCs w:val="20"/>
                <w:color w:val="auto"/>
              </w:rPr>
            </w:pPr>
            <w:r>
              <w:rPr>
                <w:rFonts w:ascii="Arial" w:cs="Arial" w:eastAsia="Arial" w:hAnsi="Arial"/>
                <w:sz w:val="17"/>
                <w:szCs w:val="17"/>
                <w:b w:val="1"/>
                <w:bCs w:val="1"/>
                <w:color w:val="auto"/>
              </w:rPr>
              <w:t xml:space="preserve">$7,000 </w:t>
            </w:r>
            <w:r>
              <w:rPr>
                <w:rFonts w:ascii="Arial" w:cs="Arial" w:eastAsia="Arial" w:hAnsi="Arial"/>
                <w:sz w:val="17"/>
                <w:szCs w:val="17"/>
                <w:color w:val="auto"/>
              </w:rPr>
              <w:t>(or</w:t>
            </w:r>
            <w:r>
              <w:rPr>
                <w:rFonts w:ascii="Arial" w:cs="Arial" w:eastAsia="Arial" w:hAnsi="Arial"/>
                <w:sz w:val="17"/>
                <w:szCs w:val="17"/>
                <w:b w:val="1"/>
                <w:bCs w:val="1"/>
                <w:color w:val="auto"/>
              </w:rPr>
              <w:t xml:space="preserve"> $16,000 </w:t>
            </w:r>
            <w:r>
              <w:rPr>
                <w:rFonts w:ascii="Arial" w:cs="Arial" w:eastAsia="Arial" w:hAnsi="Arial"/>
                <w:sz w:val="17"/>
                <w:szCs w:val="17"/>
                <w:color w:val="auto"/>
              </w:rPr>
              <w:t>if member is the chair)</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0" w:right="20"/>
        <w:spacing w:after="0" w:line="271" w:lineRule="auto"/>
        <w:rPr>
          <w:sz w:val="20"/>
          <w:szCs w:val="20"/>
          <w:color w:val="auto"/>
        </w:rPr>
      </w:pPr>
      <w:r>
        <w:rPr>
          <w:rFonts w:ascii="Arial" w:cs="Arial" w:eastAsia="Arial" w:hAnsi="Arial"/>
          <w:sz w:val="18"/>
          <w:szCs w:val="18"/>
          <w:color w:val="auto"/>
        </w:rPr>
        <w:t>The Board did not make any adjustments to the existing equity compensation arrangements for non-employee directors or the annual cash retainers for serving as Board Chair or Lead Independent Director.</w:t>
      </w:r>
    </w:p>
    <w:p>
      <w:pPr>
        <w:spacing w:after="0" w:line="262"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20</w:t>
      </w:r>
      <w:r>
        <w:rPr>
          <w:sz w:val="20"/>
          <w:szCs w:val="20"/>
          <w:color w:val="auto"/>
        </w:rPr>
        <w:tab/>
      </w:r>
      <w:r>
        <w:rPr>
          <w:sz w:val="1"/>
          <w:szCs w:val="1"/>
          <w:color w:val="auto"/>
        </w:rPr>
        <w:drawing>
          <wp:inline distT="0" distB="0" distL="0" distR="0">
            <wp:extent cx="342900" cy="774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bookmarkStart w:id="26" w:name="page27"/>
    <w:bookmarkEnd w:id="26"/>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Fiscal 2024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The following table presents information regarding the compensation earned or paid in fiscal 2024 to individuals who were members of the Board at any time during fiscal 2024, and who also were not our employees. We refer to those directors as non-employee directors. During fiscal 2024, Mr. Grady, our chief executive officer, did not receive additional compensation for his service as a director.</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61"/>
        </w:trPr>
        <w:tc>
          <w:tcPr>
            <w:tcW w:w="3060" w:type="dxa"/>
            <w:vAlign w:val="bottom"/>
            <w:shd w:val="clear" w:color="auto" w:fill="819F7C"/>
          </w:tcPr>
          <w:p>
            <w:pPr>
              <w:spacing w:after="0"/>
              <w:rPr>
                <w:sz w:val="22"/>
                <w:szCs w:val="22"/>
                <w:color w:val="auto"/>
              </w:rPr>
            </w:pPr>
          </w:p>
        </w:tc>
        <w:tc>
          <w:tcPr>
            <w:tcW w:w="2220" w:type="dxa"/>
            <w:vAlign w:val="bottom"/>
            <w:shd w:val="clear" w:color="auto" w:fill="819F7C"/>
          </w:tcPr>
          <w:p>
            <w:pPr>
              <w:jc w:val="center"/>
              <w:ind w:left="815"/>
              <w:spacing w:after="0"/>
              <w:rPr>
                <w:sz w:val="20"/>
                <w:szCs w:val="20"/>
                <w:color w:val="auto"/>
              </w:rPr>
            </w:pPr>
            <w:r>
              <w:rPr>
                <w:rFonts w:ascii="Arial" w:cs="Arial" w:eastAsia="Arial" w:hAnsi="Arial"/>
                <w:sz w:val="14"/>
                <w:szCs w:val="14"/>
                <w:b w:val="1"/>
                <w:bCs w:val="1"/>
                <w:color w:val="FFFFFF"/>
              </w:rPr>
              <w:t>Fees Earned or</w:t>
            </w:r>
          </w:p>
        </w:tc>
        <w:tc>
          <w:tcPr>
            <w:tcW w:w="1240" w:type="dxa"/>
            <w:vAlign w:val="bottom"/>
            <w:vMerge w:val="restart"/>
            <w:shd w:val="clear" w:color="auto" w:fill="819F7C"/>
          </w:tcPr>
          <w:p>
            <w:pPr>
              <w:ind w:left="140"/>
              <w:spacing w:after="0"/>
              <w:rPr>
                <w:sz w:val="20"/>
                <w:szCs w:val="20"/>
                <w:color w:val="auto"/>
              </w:rPr>
            </w:pPr>
            <w:r>
              <w:rPr>
                <w:rFonts w:ascii="Arial" w:cs="Arial" w:eastAsia="Arial" w:hAnsi="Arial"/>
                <w:sz w:val="14"/>
                <w:szCs w:val="14"/>
                <w:b w:val="1"/>
                <w:bCs w:val="1"/>
                <w:color w:val="FFFFFF"/>
              </w:rPr>
              <w:t>Stock Awards</w:t>
            </w:r>
          </w:p>
        </w:tc>
        <w:tc>
          <w:tcPr>
            <w:tcW w:w="14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All Other</w:t>
            </w:r>
          </w:p>
        </w:tc>
        <w:tc>
          <w:tcPr>
            <w:tcW w:w="1260" w:type="dxa"/>
            <w:vAlign w:val="bottom"/>
            <w:shd w:val="clear" w:color="auto" w:fill="819F7C"/>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819F7C"/>
          </w:tcPr>
          <w:p>
            <w:pPr>
              <w:spacing w:after="0"/>
              <w:rPr>
                <w:sz w:val="12"/>
                <w:szCs w:val="12"/>
                <w:color w:val="auto"/>
              </w:rPr>
            </w:pPr>
          </w:p>
        </w:tc>
        <w:tc>
          <w:tcPr>
            <w:tcW w:w="2220" w:type="dxa"/>
            <w:vAlign w:val="bottom"/>
            <w:shd w:val="clear" w:color="auto" w:fill="819F7C"/>
          </w:tcPr>
          <w:p>
            <w:pPr>
              <w:jc w:val="center"/>
              <w:ind w:left="795"/>
              <w:spacing w:after="0" w:line="145" w:lineRule="exact"/>
              <w:rPr>
                <w:sz w:val="20"/>
                <w:szCs w:val="20"/>
                <w:color w:val="auto"/>
              </w:rPr>
            </w:pPr>
            <w:r>
              <w:rPr>
                <w:rFonts w:ascii="Arial" w:cs="Arial" w:eastAsia="Arial" w:hAnsi="Arial"/>
                <w:sz w:val="14"/>
                <w:szCs w:val="14"/>
                <w:b w:val="1"/>
                <w:bCs w:val="1"/>
                <w:color w:val="FFFFFF"/>
              </w:rPr>
              <w:t>Paid in Cash</w:t>
            </w:r>
          </w:p>
        </w:tc>
        <w:tc>
          <w:tcPr>
            <w:tcW w:w="1240" w:type="dxa"/>
            <w:vAlign w:val="bottom"/>
            <w:vMerge w:val="continue"/>
            <w:shd w:val="clear" w:color="auto" w:fill="819F7C"/>
          </w:tcPr>
          <w:p>
            <w:pPr>
              <w:spacing w:after="0"/>
              <w:rPr>
                <w:sz w:val="12"/>
                <w:szCs w:val="12"/>
                <w:color w:val="auto"/>
              </w:rPr>
            </w:pPr>
          </w:p>
        </w:tc>
        <w:tc>
          <w:tcPr>
            <w:tcW w:w="1400" w:type="dxa"/>
            <w:vAlign w:val="bottom"/>
            <w:shd w:val="clear" w:color="auto" w:fill="819F7C"/>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60" w:type="dxa"/>
            <w:vAlign w:val="bottom"/>
            <w:shd w:val="clear" w:color="auto" w:fill="819F7C"/>
          </w:tcPr>
          <w:p>
            <w:pPr>
              <w:ind w:left="380"/>
              <w:spacing w:after="0" w:line="145"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306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2220" w:type="dxa"/>
            <w:vAlign w:val="bottom"/>
            <w:shd w:val="clear" w:color="auto" w:fill="819F7C"/>
          </w:tcPr>
          <w:p>
            <w:pPr>
              <w:jc w:val="center"/>
              <w:ind w:left="835"/>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819F7C"/>
          </w:tcPr>
          <w:p>
            <w:pPr>
              <w:jc w:val="center"/>
              <w:spacing w:after="0" w:line="243" w:lineRule="exact"/>
              <w:rPr>
                <w:sz w:val="20"/>
                <w:szCs w:val="20"/>
                <w:color w:val="auto"/>
              </w:rPr>
            </w:pPr>
            <w:r>
              <w:rPr>
                <w:rFonts w:ascii="Arial" w:cs="Arial" w:eastAsia="Arial" w:hAnsi="Arial"/>
                <w:sz w:val="28"/>
                <w:szCs w:val="28"/>
                <w:b w:val="1"/>
                <w:bCs w:val="1"/>
                <w:color w:val="FFFFFF"/>
                <w:w w:val="92"/>
                <w:vertAlign w:val="subscript"/>
              </w:rPr>
              <w:t>($)</w:t>
            </w:r>
            <w:r>
              <w:rPr>
                <w:rFonts w:ascii="Arial" w:cs="Arial" w:eastAsia="Arial" w:hAnsi="Arial"/>
                <w:sz w:val="12"/>
                <w:szCs w:val="12"/>
                <w:b w:val="1"/>
                <w:bCs w:val="1"/>
                <w:color w:val="FFFFFF"/>
                <w:w w:val="92"/>
              </w:rPr>
              <w:t>(1)(2)(3)</w:t>
            </w:r>
          </w:p>
        </w:tc>
        <w:tc>
          <w:tcPr>
            <w:tcW w:w="14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819F7C"/>
          </w:tcPr>
          <w:p>
            <w:pPr>
              <w:jc w:val="center"/>
              <w:ind w:right="54"/>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351"/>
        </w:trPr>
        <w:tc>
          <w:tcPr>
            <w:tcW w:w="3060" w:type="dxa"/>
            <w:vAlign w:val="bottom"/>
            <w:shd w:val="clear" w:color="auto" w:fill="E5E9E3"/>
          </w:tcPr>
          <w:p>
            <w:pPr>
              <w:ind w:left="80"/>
              <w:spacing w:after="0"/>
              <w:rPr>
                <w:sz w:val="20"/>
                <w:szCs w:val="20"/>
                <w:color w:val="auto"/>
              </w:rPr>
            </w:pPr>
            <w:r>
              <w:rPr>
                <w:rFonts w:ascii="Arial" w:cs="Arial" w:eastAsia="Arial" w:hAnsi="Arial"/>
                <w:sz w:val="18"/>
                <w:szCs w:val="18"/>
                <w:color w:val="auto"/>
              </w:rPr>
              <w:t xml:space="preserve">Forbes I.J. Alexander    </w:t>
            </w:r>
          </w:p>
        </w:tc>
        <w:tc>
          <w:tcPr>
            <w:tcW w:w="2220" w:type="dxa"/>
            <w:vAlign w:val="bottom"/>
            <w:shd w:val="clear" w:color="auto" w:fill="E5E9E3"/>
          </w:tcPr>
          <w:p>
            <w:pPr>
              <w:jc w:val="center"/>
              <w:ind w:left="835"/>
              <w:spacing w:after="0"/>
              <w:rPr>
                <w:sz w:val="20"/>
                <w:szCs w:val="20"/>
                <w:color w:val="auto"/>
              </w:rPr>
            </w:pPr>
            <w:r>
              <w:rPr>
                <w:rFonts w:ascii="Arial" w:cs="Arial" w:eastAsia="Arial" w:hAnsi="Arial"/>
                <w:sz w:val="18"/>
                <w:szCs w:val="18"/>
                <w:color w:val="auto"/>
                <w:w w:val="90"/>
              </w:rPr>
              <w:t>3,365</w:t>
            </w:r>
            <w:r>
              <w:rPr>
                <w:rFonts w:ascii="Arial" w:cs="Arial" w:eastAsia="Arial" w:hAnsi="Arial"/>
                <w:sz w:val="29"/>
                <w:szCs w:val="29"/>
                <w:color w:val="auto"/>
                <w:w w:val="90"/>
                <w:vertAlign w:val="superscript"/>
              </w:rPr>
              <w:t>(4)</w:t>
            </w:r>
          </w:p>
        </w:tc>
        <w:tc>
          <w:tcPr>
            <w:tcW w:w="1240" w:type="dxa"/>
            <w:vAlign w:val="bottom"/>
            <w:shd w:val="clear" w:color="auto" w:fill="E5E9E3"/>
          </w:tcPr>
          <w:p>
            <w:pPr>
              <w:jc w:val="center"/>
              <w:spacing w:after="0"/>
              <w:rPr>
                <w:sz w:val="20"/>
                <w:szCs w:val="20"/>
                <w:color w:val="auto"/>
              </w:rPr>
            </w:pPr>
            <w:r>
              <w:rPr>
                <w:rFonts w:ascii="Arial" w:cs="Arial" w:eastAsia="Arial" w:hAnsi="Arial"/>
                <w:sz w:val="18"/>
                <w:szCs w:val="18"/>
                <w:color w:val="auto"/>
              </w:rPr>
              <w:t>109,575</w:t>
            </w:r>
          </w:p>
        </w:tc>
        <w:tc>
          <w:tcPr>
            <w:tcW w:w="140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5E9E3"/>
          </w:tcPr>
          <w:p>
            <w:pPr>
              <w:jc w:val="center"/>
              <w:ind w:right="54"/>
              <w:spacing w:after="0"/>
              <w:rPr>
                <w:sz w:val="20"/>
                <w:szCs w:val="20"/>
                <w:color w:val="auto"/>
              </w:rPr>
            </w:pPr>
            <w:r>
              <w:rPr>
                <w:rFonts w:ascii="Arial" w:cs="Arial" w:eastAsia="Arial" w:hAnsi="Arial"/>
                <w:sz w:val="18"/>
                <w:szCs w:val="18"/>
                <w:color w:val="auto"/>
                <w:w w:val="98"/>
              </w:rPr>
              <w:t>112,940</w:t>
            </w:r>
          </w:p>
        </w:tc>
        <w:tc>
          <w:tcPr>
            <w:tcW w:w="0" w:type="dxa"/>
            <w:vAlign w:val="bottom"/>
          </w:tcPr>
          <w:p>
            <w:pPr>
              <w:spacing w:after="0"/>
              <w:rPr>
                <w:sz w:val="1"/>
                <w:szCs w:val="1"/>
                <w:color w:val="auto"/>
              </w:rPr>
            </w:pPr>
          </w:p>
        </w:tc>
      </w:tr>
      <w:tr>
        <w:trPr>
          <w:trHeight w:val="274"/>
        </w:trPr>
        <w:tc>
          <w:tcPr>
            <w:tcW w:w="3060" w:type="dxa"/>
            <w:vAlign w:val="bottom"/>
          </w:tcPr>
          <w:p>
            <w:pPr>
              <w:ind w:left="80"/>
              <w:spacing w:after="0"/>
              <w:rPr>
                <w:sz w:val="20"/>
                <w:szCs w:val="20"/>
                <w:color w:val="auto"/>
              </w:rPr>
            </w:pPr>
            <w:r>
              <w:rPr>
                <w:rFonts w:ascii="Arial" w:cs="Arial" w:eastAsia="Arial" w:hAnsi="Arial"/>
                <w:sz w:val="18"/>
                <w:szCs w:val="18"/>
                <w:color w:val="auto"/>
              </w:rPr>
              <w:t>Dr. Homa Bahrami</w:t>
            </w:r>
          </w:p>
        </w:tc>
        <w:tc>
          <w:tcPr>
            <w:tcW w:w="2220" w:type="dxa"/>
            <w:vAlign w:val="bottom"/>
          </w:tcPr>
          <w:p>
            <w:pPr>
              <w:jc w:val="center"/>
              <w:ind w:left="835"/>
              <w:spacing w:after="0"/>
              <w:rPr>
                <w:sz w:val="20"/>
                <w:szCs w:val="20"/>
                <w:color w:val="auto"/>
              </w:rPr>
            </w:pPr>
            <w:r>
              <w:rPr>
                <w:rFonts w:ascii="Arial" w:cs="Arial" w:eastAsia="Arial" w:hAnsi="Arial"/>
                <w:sz w:val="18"/>
                <w:szCs w:val="18"/>
                <w:color w:val="auto"/>
              </w:rPr>
              <w:t>100,000</w:t>
            </w:r>
          </w:p>
        </w:tc>
        <w:tc>
          <w:tcPr>
            <w:tcW w:w="1240" w:type="dxa"/>
            <w:vAlign w:val="bottom"/>
          </w:tcPr>
          <w:p>
            <w:pPr>
              <w:jc w:val="center"/>
              <w:spacing w:after="0"/>
              <w:rPr>
                <w:sz w:val="20"/>
                <w:szCs w:val="20"/>
                <w:color w:val="auto"/>
              </w:rPr>
            </w:pPr>
            <w:r>
              <w:rPr>
                <w:rFonts w:ascii="Arial" w:cs="Arial" w:eastAsia="Arial" w:hAnsi="Arial"/>
                <w:sz w:val="18"/>
                <w:szCs w:val="18"/>
                <w:color w:val="auto"/>
              </w:rPr>
              <w:t>219,850</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54"/>
              <w:spacing w:after="0"/>
              <w:rPr>
                <w:sz w:val="20"/>
                <w:szCs w:val="20"/>
                <w:color w:val="auto"/>
              </w:rPr>
            </w:pPr>
            <w:r>
              <w:rPr>
                <w:rFonts w:ascii="Arial" w:cs="Arial" w:eastAsia="Arial" w:hAnsi="Arial"/>
                <w:sz w:val="18"/>
                <w:szCs w:val="18"/>
                <w:color w:val="auto"/>
                <w:w w:val="98"/>
              </w:rPr>
              <w:t>319,850</w:t>
            </w:r>
          </w:p>
        </w:tc>
        <w:tc>
          <w:tcPr>
            <w:tcW w:w="0" w:type="dxa"/>
            <w:vAlign w:val="bottom"/>
          </w:tcPr>
          <w:p>
            <w:pPr>
              <w:spacing w:after="0"/>
              <w:rPr>
                <w:sz w:val="1"/>
                <w:szCs w:val="1"/>
                <w:color w:val="auto"/>
              </w:rPr>
            </w:pPr>
          </w:p>
        </w:tc>
      </w:tr>
      <w:tr>
        <w:trPr>
          <w:trHeight w:val="37"/>
        </w:trPr>
        <w:tc>
          <w:tcPr>
            <w:tcW w:w="3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306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8"/>
                <w:szCs w:val="18"/>
                <w:color w:val="auto"/>
              </w:rPr>
              <w:t>Thomas F. Kelly</w:t>
            </w:r>
          </w:p>
        </w:tc>
        <w:tc>
          <w:tcPr>
            <w:tcW w:w="2220" w:type="dxa"/>
            <w:vAlign w:val="bottom"/>
            <w:tcBorders>
              <w:bottom w:val="single" w:sz="8" w:color="E5E9E3"/>
            </w:tcBorders>
            <w:shd w:val="clear" w:color="auto" w:fill="E5E9E3"/>
          </w:tcPr>
          <w:p>
            <w:pPr>
              <w:jc w:val="center"/>
              <w:ind w:left="835"/>
              <w:spacing w:after="0"/>
              <w:rPr>
                <w:sz w:val="20"/>
                <w:szCs w:val="20"/>
                <w:color w:val="auto"/>
              </w:rPr>
            </w:pPr>
            <w:r>
              <w:rPr>
                <w:rFonts w:ascii="Arial" w:cs="Arial" w:eastAsia="Arial" w:hAnsi="Arial"/>
                <w:sz w:val="18"/>
                <w:szCs w:val="18"/>
                <w:color w:val="auto"/>
                <w:w w:val="95"/>
              </w:rPr>
              <w:t>118,000</w:t>
            </w:r>
          </w:p>
        </w:tc>
        <w:tc>
          <w:tcPr>
            <w:tcW w:w="124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8"/>
                <w:szCs w:val="18"/>
                <w:color w:val="auto"/>
              </w:rPr>
              <w:t>219,850</w:t>
            </w:r>
          </w:p>
        </w:tc>
        <w:tc>
          <w:tcPr>
            <w:tcW w:w="14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5E9E3"/>
            </w:tcBorders>
            <w:shd w:val="clear" w:color="auto" w:fill="E5E9E3"/>
          </w:tcPr>
          <w:p>
            <w:pPr>
              <w:jc w:val="center"/>
              <w:ind w:right="54"/>
              <w:spacing w:after="0"/>
              <w:rPr>
                <w:sz w:val="20"/>
                <w:szCs w:val="20"/>
                <w:color w:val="auto"/>
              </w:rPr>
            </w:pPr>
            <w:r>
              <w:rPr>
                <w:rFonts w:ascii="Arial" w:cs="Arial" w:eastAsia="Arial" w:hAnsi="Arial"/>
                <w:sz w:val="18"/>
                <w:szCs w:val="18"/>
                <w:color w:val="auto"/>
                <w:w w:val="98"/>
              </w:rPr>
              <w:t>337,850</w:t>
            </w:r>
          </w:p>
        </w:tc>
        <w:tc>
          <w:tcPr>
            <w:tcW w:w="0" w:type="dxa"/>
            <w:vAlign w:val="bottom"/>
          </w:tcPr>
          <w:p>
            <w:pPr>
              <w:spacing w:after="0"/>
              <w:rPr>
                <w:sz w:val="1"/>
                <w:szCs w:val="1"/>
                <w:color w:val="auto"/>
              </w:rPr>
            </w:pPr>
          </w:p>
        </w:tc>
      </w:tr>
      <w:tr>
        <w:trPr>
          <w:trHeight w:val="274"/>
        </w:trPr>
        <w:tc>
          <w:tcPr>
            <w:tcW w:w="3060" w:type="dxa"/>
            <w:vAlign w:val="bottom"/>
          </w:tcPr>
          <w:p>
            <w:pPr>
              <w:ind w:left="80"/>
              <w:spacing w:after="0"/>
              <w:rPr>
                <w:sz w:val="20"/>
                <w:szCs w:val="20"/>
                <w:color w:val="auto"/>
              </w:rPr>
            </w:pPr>
            <w:r>
              <w:rPr>
                <w:rFonts w:ascii="Arial" w:cs="Arial" w:eastAsia="Arial" w:hAnsi="Arial"/>
                <w:sz w:val="18"/>
                <w:szCs w:val="18"/>
                <w:color w:val="auto"/>
              </w:rPr>
              <w:t>Darlene S. Knight</w:t>
            </w:r>
          </w:p>
        </w:tc>
        <w:tc>
          <w:tcPr>
            <w:tcW w:w="2220" w:type="dxa"/>
            <w:vAlign w:val="bottom"/>
          </w:tcPr>
          <w:p>
            <w:pPr>
              <w:jc w:val="center"/>
              <w:ind w:left="835"/>
              <w:spacing w:after="0"/>
              <w:rPr>
                <w:sz w:val="20"/>
                <w:szCs w:val="20"/>
                <w:color w:val="auto"/>
              </w:rPr>
            </w:pPr>
            <w:r>
              <w:rPr>
                <w:rFonts w:ascii="Arial" w:cs="Arial" w:eastAsia="Arial" w:hAnsi="Arial"/>
                <w:sz w:val="18"/>
                <w:szCs w:val="18"/>
                <w:color w:val="auto"/>
                <w:w w:val="98"/>
              </w:rPr>
              <w:t>87,500</w:t>
            </w:r>
          </w:p>
        </w:tc>
        <w:tc>
          <w:tcPr>
            <w:tcW w:w="1240" w:type="dxa"/>
            <w:vAlign w:val="bottom"/>
          </w:tcPr>
          <w:p>
            <w:pPr>
              <w:jc w:val="center"/>
              <w:spacing w:after="0"/>
              <w:rPr>
                <w:sz w:val="20"/>
                <w:szCs w:val="20"/>
                <w:color w:val="auto"/>
              </w:rPr>
            </w:pPr>
            <w:r>
              <w:rPr>
                <w:rFonts w:ascii="Arial" w:cs="Arial" w:eastAsia="Arial" w:hAnsi="Arial"/>
                <w:sz w:val="18"/>
                <w:szCs w:val="18"/>
                <w:color w:val="auto"/>
              </w:rPr>
              <w:t>219,850</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54"/>
              <w:spacing w:after="0"/>
              <w:rPr>
                <w:sz w:val="20"/>
                <w:szCs w:val="20"/>
                <w:color w:val="auto"/>
              </w:rPr>
            </w:pPr>
            <w:r>
              <w:rPr>
                <w:rFonts w:ascii="Arial" w:cs="Arial" w:eastAsia="Arial" w:hAnsi="Arial"/>
                <w:sz w:val="18"/>
                <w:szCs w:val="18"/>
                <w:color w:val="auto"/>
                <w:w w:val="98"/>
              </w:rPr>
              <w:t>307,350</w:t>
            </w:r>
          </w:p>
        </w:tc>
        <w:tc>
          <w:tcPr>
            <w:tcW w:w="0" w:type="dxa"/>
            <w:vAlign w:val="bottom"/>
          </w:tcPr>
          <w:p>
            <w:pPr>
              <w:spacing w:after="0"/>
              <w:rPr>
                <w:sz w:val="1"/>
                <w:szCs w:val="1"/>
                <w:color w:val="auto"/>
              </w:rPr>
            </w:pPr>
          </w:p>
        </w:tc>
      </w:tr>
      <w:tr>
        <w:trPr>
          <w:trHeight w:val="37"/>
        </w:trPr>
        <w:tc>
          <w:tcPr>
            <w:tcW w:w="3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306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8"/>
                <w:szCs w:val="18"/>
                <w:color w:val="auto"/>
              </w:rPr>
              <w:t>Dr. Frank H. Levinson</w:t>
            </w:r>
          </w:p>
        </w:tc>
        <w:tc>
          <w:tcPr>
            <w:tcW w:w="2220" w:type="dxa"/>
            <w:vAlign w:val="bottom"/>
            <w:tcBorders>
              <w:bottom w:val="single" w:sz="8" w:color="E5E9E3"/>
            </w:tcBorders>
            <w:shd w:val="clear" w:color="auto" w:fill="E5E9E3"/>
          </w:tcPr>
          <w:p>
            <w:pPr>
              <w:jc w:val="center"/>
              <w:ind w:left="835"/>
              <w:spacing w:after="0"/>
              <w:rPr>
                <w:sz w:val="20"/>
                <w:szCs w:val="20"/>
                <w:color w:val="auto"/>
              </w:rPr>
            </w:pPr>
            <w:r>
              <w:rPr>
                <w:rFonts w:ascii="Arial" w:cs="Arial" w:eastAsia="Arial" w:hAnsi="Arial"/>
                <w:sz w:val="18"/>
                <w:szCs w:val="18"/>
                <w:color w:val="auto"/>
              </w:rPr>
              <w:t>108,500</w:t>
            </w:r>
          </w:p>
        </w:tc>
        <w:tc>
          <w:tcPr>
            <w:tcW w:w="124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8"/>
                <w:szCs w:val="18"/>
                <w:color w:val="auto"/>
              </w:rPr>
              <w:t>219,850</w:t>
            </w:r>
          </w:p>
        </w:tc>
        <w:tc>
          <w:tcPr>
            <w:tcW w:w="14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5E9E3"/>
            </w:tcBorders>
            <w:shd w:val="clear" w:color="auto" w:fill="E5E9E3"/>
          </w:tcPr>
          <w:p>
            <w:pPr>
              <w:jc w:val="center"/>
              <w:ind w:right="54"/>
              <w:spacing w:after="0"/>
              <w:rPr>
                <w:sz w:val="20"/>
                <w:szCs w:val="20"/>
                <w:color w:val="auto"/>
              </w:rPr>
            </w:pPr>
            <w:r>
              <w:rPr>
                <w:rFonts w:ascii="Arial" w:cs="Arial" w:eastAsia="Arial" w:hAnsi="Arial"/>
                <w:sz w:val="18"/>
                <w:szCs w:val="18"/>
                <w:color w:val="auto"/>
                <w:w w:val="98"/>
              </w:rPr>
              <w:t>328,350</w:t>
            </w:r>
          </w:p>
        </w:tc>
        <w:tc>
          <w:tcPr>
            <w:tcW w:w="0" w:type="dxa"/>
            <w:vAlign w:val="bottom"/>
          </w:tcPr>
          <w:p>
            <w:pPr>
              <w:spacing w:after="0"/>
              <w:rPr>
                <w:sz w:val="1"/>
                <w:szCs w:val="1"/>
                <w:color w:val="auto"/>
              </w:rPr>
            </w:pPr>
          </w:p>
        </w:tc>
      </w:tr>
      <w:tr>
        <w:trPr>
          <w:trHeight w:val="274"/>
        </w:trPr>
        <w:tc>
          <w:tcPr>
            <w:tcW w:w="3060" w:type="dxa"/>
            <w:vAlign w:val="bottom"/>
          </w:tcPr>
          <w:p>
            <w:pPr>
              <w:ind w:left="80"/>
              <w:spacing w:after="0"/>
              <w:rPr>
                <w:sz w:val="20"/>
                <w:szCs w:val="20"/>
                <w:color w:val="auto"/>
              </w:rPr>
            </w:pPr>
            <w:r>
              <w:rPr>
                <w:rFonts w:ascii="Arial" w:cs="Arial" w:eastAsia="Arial" w:hAnsi="Arial"/>
                <w:sz w:val="18"/>
                <w:szCs w:val="18"/>
                <w:color w:val="auto"/>
              </w:rPr>
              <w:t>David T. (Tom) Mitchell</w:t>
            </w:r>
          </w:p>
        </w:tc>
        <w:tc>
          <w:tcPr>
            <w:tcW w:w="2220" w:type="dxa"/>
            <w:vAlign w:val="bottom"/>
          </w:tcPr>
          <w:p>
            <w:pPr>
              <w:jc w:val="center"/>
              <w:ind w:left="835"/>
              <w:spacing w:after="0"/>
              <w:rPr>
                <w:sz w:val="20"/>
                <w:szCs w:val="20"/>
                <w:color w:val="auto"/>
              </w:rPr>
            </w:pPr>
            <w:r>
              <w:rPr>
                <w:rFonts w:ascii="Arial" w:cs="Arial" w:eastAsia="Arial" w:hAnsi="Arial"/>
                <w:sz w:val="18"/>
                <w:szCs w:val="18"/>
                <w:color w:val="auto"/>
              </w:rPr>
              <w:t>275,000</w:t>
            </w:r>
          </w:p>
        </w:tc>
        <w:tc>
          <w:tcPr>
            <w:tcW w:w="1240" w:type="dxa"/>
            <w:vAlign w:val="bottom"/>
          </w:tcPr>
          <w:p>
            <w:pPr>
              <w:jc w:val="center"/>
              <w:spacing w:after="0"/>
              <w:rPr>
                <w:sz w:val="20"/>
                <w:szCs w:val="20"/>
                <w:color w:val="auto"/>
              </w:rPr>
            </w:pPr>
            <w:r>
              <w:rPr>
                <w:rFonts w:ascii="Arial" w:cs="Arial" w:eastAsia="Arial" w:hAnsi="Arial"/>
                <w:sz w:val="18"/>
                <w:szCs w:val="18"/>
                <w:color w:val="auto"/>
              </w:rPr>
              <w:t>219,850</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54"/>
              <w:spacing w:after="0"/>
              <w:rPr>
                <w:sz w:val="20"/>
                <w:szCs w:val="20"/>
                <w:color w:val="auto"/>
              </w:rPr>
            </w:pPr>
            <w:r>
              <w:rPr>
                <w:rFonts w:ascii="Arial" w:cs="Arial" w:eastAsia="Arial" w:hAnsi="Arial"/>
                <w:sz w:val="18"/>
                <w:szCs w:val="18"/>
                <w:color w:val="auto"/>
                <w:w w:val="98"/>
              </w:rPr>
              <w:t>494,850</w:t>
            </w:r>
          </w:p>
        </w:tc>
        <w:tc>
          <w:tcPr>
            <w:tcW w:w="0" w:type="dxa"/>
            <w:vAlign w:val="bottom"/>
          </w:tcPr>
          <w:p>
            <w:pPr>
              <w:spacing w:after="0"/>
              <w:rPr>
                <w:sz w:val="1"/>
                <w:szCs w:val="1"/>
                <w:color w:val="auto"/>
              </w:rPr>
            </w:pPr>
          </w:p>
        </w:tc>
      </w:tr>
      <w:tr>
        <w:trPr>
          <w:trHeight w:val="36"/>
        </w:trPr>
        <w:tc>
          <w:tcPr>
            <w:tcW w:w="3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shd w:val="clear" w:color="auto" w:fill="E5E9E3"/>
          </w:tcPr>
          <w:p>
            <w:pPr>
              <w:ind w:left="80"/>
              <w:spacing w:after="0"/>
              <w:rPr>
                <w:sz w:val="20"/>
                <w:szCs w:val="20"/>
                <w:color w:val="auto"/>
              </w:rPr>
            </w:pPr>
            <w:r>
              <w:rPr>
                <w:rFonts w:ascii="Arial" w:cs="Arial" w:eastAsia="Arial" w:hAnsi="Arial"/>
                <w:sz w:val="18"/>
                <w:szCs w:val="18"/>
                <w:color w:val="auto"/>
              </w:rPr>
              <w:t>Rollance E. Olson</w:t>
            </w:r>
          </w:p>
        </w:tc>
        <w:tc>
          <w:tcPr>
            <w:tcW w:w="2220" w:type="dxa"/>
            <w:vAlign w:val="bottom"/>
            <w:shd w:val="clear" w:color="auto" w:fill="E5E9E3"/>
          </w:tcPr>
          <w:p>
            <w:pPr>
              <w:jc w:val="center"/>
              <w:ind w:left="835"/>
              <w:spacing w:after="0"/>
              <w:rPr>
                <w:sz w:val="20"/>
                <w:szCs w:val="20"/>
                <w:color w:val="auto"/>
              </w:rPr>
            </w:pPr>
            <w:r>
              <w:rPr>
                <w:rFonts w:ascii="Arial" w:cs="Arial" w:eastAsia="Arial" w:hAnsi="Arial"/>
                <w:sz w:val="18"/>
                <w:szCs w:val="18"/>
                <w:color w:val="auto"/>
              </w:rPr>
              <w:t>126,000</w:t>
            </w:r>
          </w:p>
        </w:tc>
        <w:tc>
          <w:tcPr>
            <w:tcW w:w="1240" w:type="dxa"/>
            <w:vAlign w:val="bottom"/>
            <w:shd w:val="clear" w:color="auto" w:fill="E5E9E3"/>
          </w:tcPr>
          <w:p>
            <w:pPr>
              <w:jc w:val="center"/>
              <w:spacing w:after="0"/>
              <w:rPr>
                <w:sz w:val="20"/>
                <w:szCs w:val="20"/>
                <w:color w:val="auto"/>
              </w:rPr>
            </w:pPr>
            <w:r>
              <w:rPr>
                <w:rFonts w:ascii="Arial" w:cs="Arial" w:eastAsia="Arial" w:hAnsi="Arial"/>
                <w:sz w:val="18"/>
                <w:szCs w:val="18"/>
                <w:color w:val="auto"/>
              </w:rPr>
              <w:t>219,850</w:t>
            </w:r>
          </w:p>
        </w:tc>
        <w:tc>
          <w:tcPr>
            <w:tcW w:w="1400" w:type="dxa"/>
            <w:vAlign w:val="bottom"/>
            <w:shd w:val="clear" w:color="auto" w:fill="E5E9E3"/>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5E9E3"/>
          </w:tcPr>
          <w:p>
            <w:pPr>
              <w:jc w:val="center"/>
              <w:ind w:right="54"/>
              <w:spacing w:after="0"/>
              <w:rPr>
                <w:sz w:val="20"/>
                <w:szCs w:val="20"/>
                <w:color w:val="auto"/>
              </w:rPr>
            </w:pPr>
            <w:r>
              <w:rPr>
                <w:rFonts w:ascii="Arial" w:cs="Arial" w:eastAsia="Arial" w:hAnsi="Arial"/>
                <w:sz w:val="18"/>
                <w:szCs w:val="18"/>
                <w:color w:val="auto"/>
                <w:w w:val="98"/>
              </w:rPr>
              <w:t>345,850</w:t>
            </w:r>
          </w:p>
        </w:tc>
        <w:tc>
          <w:tcPr>
            <w:tcW w:w="0" w:type="dxa"/>
            <w:vAlign w:val="bottom"/>
          </w:tcPr>
          <w:p>
            <w:pPr>
              <w:spacing w:after="0"/>
              <w:rPr>
                <w:sz w:val="1"/>
                <w:szCs w:val="1"/>
                <w:color w:val="auto"/>
              </w:rPr>
            </w:pPr>
          </w:p>
        </w:tc>
      </w:tr>
      <w:tr>
        <w:trPr>
          <w:trHeight w:val="101"/>
        </w:trPr>
        <w:tc>
          <w:tcPr>
            <w:tcW w:w="3060" w:type="dxa"/>
            <w:vAlign w:val="bottom"/>
            <w:shd w:val="clear" w:color="auto" w:fill="819F7C"/>
          </w:tcPr>
          <w:p>
            <w:pPr>
              <w:spacing w:after="0"/>
              <w:rPr>
                <w:sz w:val="8"/>
                <w:szCs w:val="8"/>
                <w:color w:val="auto"/>
              </w:rPr>
            </w:pPr>
          </w:p>
        </w:tc>
        <w:tc>
          <w:tcPr>
            <w:tcW w:w="2220" w:type="dxa"/>
            <w:vAlign w:val="bottom"/>
            <w:shd w:val="clear" w:color="auto" w:fill="819F7C"/>
          </w:tcPr>
          <w:p>
            <w:pPr>
              <w:spacing w:after="0"/>
              <w:rPr>
                <w:sz w:val="8"/>
                <w:szCs w:val="8"/>
                <w:color w:val="auto"/>
              </w:rPr>
            </w:pPr>
          </w:p>
        </w:tc>
        <w:tc>
          <w:tcPr>
            <w:tcW w:w="1240" w:type="dxa"/>
            <w:vAlign w:val="bottom"/>
            <w:shd w:val="clear" w:color="auto" w:fill="819F7C"/>
          </w:tcPr>
          <w:p>
            <w:pPr>
              <w:spacing w:after="0"/>
              <w:rPr>
                <w:sz w:val="8"/>
                <w:szCs w:val="8"/>
                <w:color w:val="auto"/>
              </w:rPr>
            </w:pPr>
          </w:p>
        </w:tc>
        <w:tc>
          <w:tcPr>
            <w:tcW w:w="1400" w:type="dxa"/>
            <w:vAlign w:val="bottom"/>
            <w:shd w:val="clear" w:color="auto" w:fill="819F7C"/>
          </w:tcPr>
          <w:p>
            <w:pPr>
              <w:spacing w:after="0"/>
              <w:rPr>
                <w:sz w:val="8"/>
                <w:szCs w:val="8"/>
                <w:color w:val="auto"/>
              </w:rPr>
            </w:pPr>
          </w:p>
        </w:tc>
        <w:tc>
          <w:tcPr>
            <w:tcW w:w="126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1200" w:right="920" w:hanging="286"/>
        <w:spacing w:after="0" w:line="254" w:lineRule="auto"/>
        <w:tabs>
          <w:tab w:leader="none" w:pos="12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Reflects the aggregate grant date fair value of the shares in accordance with FASB Accounting Standards Codification Topic 718. The assumptions used in the valuation of these awards are set forth in the notes to our consolidated financial statements, which are included in our Annual Report on Form 10-K for fiscal 2024, filed with the SEC on August 20, 2024. These amounts do not correspond to the actual value that may be realized by the directors.</w:t>
      </w:r>
    </w:p>
    <w:p>
      <w:pPr>
        <w:spacing w:after="0" w:line="173" w:lineRule="exact"/>
        <w:rPr>
          <w:rFonts w:ascii="Arial" w:cs="Arial" w:eastAsia="Arial" w:hAnsi="Arial"/>
          <w:sz w:val="13"/>
          <w:szCs w:val="13"/>
          <w:color w:val="auto"/>
        </w:rPr>
      </w:pPr>
    </w:p>
    <w:p>
      <w:pPr>
        <w:jc w:val="both"/>
        <w:ind w:left="1200" w:right="920" w:hanging="286"/>
        <w:spacing w:after="0" w:line="254" w:lineRule="auto"/>
        <w:tabs>
          <w:tab w:leader="none" w:pos="12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On December 12, 2023, each of Dr. Bahrami, Mr. Kelly, Ms. Knight, Dr. Levinson, Mr. Mitchell and Mr. Olson was granted 1,282 restricted share units, all of which are scheduled to vest on January 1, 2025, subject to continued service with us. On June 12, 2024, in connection with his appointment to the Board, Mr. Alexander was granted 461 restricted share units, all of which are scheduled to vest on January 1, 2025, subject to continued service with us.</w:t>
      </w:r>
    </w:p>
    <w:p>
      <w:pPr>
        <w:spacing w:after="0" w:line="173" w:lineRule="exact"/>
        <w:rPr>
          <w:rFonts w:ascii="Arial" w:cs="Arial" w:eastAsia="Arial" w:hAnsi="Arial"/>
          <w:sz w:val="13"/>
          <w:szCs w:val="13"/>
          <w:color w:val="auto"/>
        </w:rPr>
      </w:pPr>
    </w:p>
    <w:p>
      <w:pPr>
        <w:ind w:left="1200" w:right="940" w:hanging="286"/>
        <w:spacing w:after="0" w:line="281" w:lineRule="auto"/>
        <w:tabs>
          <w:tab w:leader="none" w:pos="12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following table presents the aggregate number of shares underlying unvested stock awards and outstanding options held by each of our non-employee directors as of the last day of fiscal 2024.</w:t>
      </w:r>
    </w:p>
    <w:p>
      <w:pPr>
        <w:spacing w:after="0" w:line="81" w:lineRule="exact"/>
        <w:rPr>
          <w:sz w:val="20"/>
          <w:szCs w:val="20"/>
          <w:color w:val="auto"/>
        </w:rPr>
      </w:pPr>
    </w:p>
    <w:tbl>
      <w:tblPr>
        <w:tblLayout w:type="fixed"/>
        <w:tblInd w:w="1200" w:type="dxa"/>
        <w:tblCellMar>
          <w:top w:w="0" w:type="dxa"/>
          <w:left w:w="0" w:type="dxa"/>
          <w:bottom w:w="0" w:type="dxa"/>
          <w:right w:w="0" w:type="dxa"/>
        </w:tblCellMar>
      </w:tblPr>
      <w:tr>
        <w:trPr>
          <w:trHeight w:val="261"/>
        </w:trPr>
        <w:tc>
          <w:tcPr>
            <w:tcW w:w="2320" w:type="dxa"/>
            <w:vAlign w:val="bottom"/>
            <w:shd w:val="clear" w:color="auto" w:fill="819F7C"/>
          </w:tcPr>
          <w:p>
            <w:pPr>
              <w:spacing w:after="0"/>
              <w:rPr>
                <w:sz w:val="22"/>
                <w:szCs w:val="22"/>
                <w:color w:val="auto"/>
              </w:rPr>
            </w:pPr>
          </w:p>
        </w:tc>
        <w:tc>
          <w:tcPr>
            <w:tcW w:w="3220" w:type="dxa"/>
            <w:vAlign w:val="bottom"/>
            <w:shd w:val="clear" w:color="auto" w:fill="819F7C"/>
          </w:tcPr>
          <w:p>
            <w:pPr>
              <w:jc w:val="center"/>
              <w:ind w:left="288"/>
              <w:spacing w:after="0"/>
              <w:rPr>
                <w:sz w:val="20"/>
                <w:szCs w:val="20"/>
                <w:color w:val="auto"/>
              </w:rPr>
            </w:pPr>
            <w:r>
              <w:rPr>
                <w:rFonts w:ascii="Arial" w:cs="Arial" w:eastAsia="Arial" w:hAnsi="Arial"/>
                <w:sz w:val="14"/>
                <w:szCs w:val="14"/>
                <w:b w:val="1"/>
                <w:bCs w:val="1"/>
                <w:color w:val="FFFFFF"/>
              </w:rPr>
              <w:t>Aggregate Number of Shares</w:t>
            </w:r>
          </w:p>
        </w:tc>
        <w:tc>
          <w:tcPr>
            <w:tcW w:w="29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Aggregate Number of Shares</w:t>
            </w:r>
          </w:p>
        </w:tc>
      </w:tr>
      <w:tr>
        <w:trPr>
          <w:trHeight w:val="162"/>
        </w:trPr>
        <w:tc>
          <w:tcPr>
            <w:tcW w:w="2320" w:type="dxa"/>
            <w:vAlign w:val="bottom"/>
            <w:shd w:val="clear" w:color="auto" w:fill="819F7C"/>
          </w:tcPr>
          <w:p>
            <w:pPr>
              <w:spacing w:after="0"/>
              <w:rPr>
                <w:sz w:val="14"/>
                <w:szCs w:val="14"/>
                <w:color w:val="auto"/>
              </w:rPr>
            </w:pPr>
          </w:p>
        </w:tc>
        <w:tc>
          <w:tcPr>
            <w:tcW w:w="3220" w:type="dxa"/>
            <w:vAlign w:val="bottom"/>
            <w:shd w:val="clear" w:color="auto" w:fill="819F7C"/>
          </w:tcPr>
          <w:p>
            <w:pPr>
              <w:jc w:val="center"/>
              <w:ind w:left="288"/>
              <w:spacing w:after="0"/>
              <w:rPr>
                <w:sz w:val="20"/>
                <w:szCs w:val="20"/>
                <w:color w:val="auto"/>
              </w:rPr>
            </w:pPr>
            <w:r>
              <w:rPr>
                <w:rFonts w:ascii="Arial" w:cs="Arial" w:eastAsia="Arial" w:hAnsi="Arial"/>
                <w:sz w:val="14"/>
                <w:szCs w:val="14"/>
                <w:b w:val="1"/>
                <w:bCs w:val="1"/>
                <w:color w:val="FFFFFF"/>
              </w:rPr>
              <w:t>Underlying Unvested Stock</w:t>
            </w:r>
          </w:p>
        </w:tc>
        <w:tc>
          <w:tcPr>
            <w:tcW w:w="29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Underlying Outstanding</w:t>
            </w:r>
          </w:p>
        </w:tc>
      </w:tr>
      <w:tr>
        <w:trPr>
          <w:trHeight w:val="205"/>
        </w:trPr>
        <w:tc>
          <w:tcPr>
            <w:tcW w:w="232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3220" w:type="dxa"/>
            <w:vAlign w:val="bottom"/>
            <w:tcBorders>
              <w:bottom w:val="single" w:sz="8" w:color="819F7C"/>
            </w:tcBorders>
            <w:shd w:val="clear" w:color="auto" w:fill="819F7C"/>
          </w:tcPr>
          <w:p>
            <w:pPr>
              <w:jc w:val="center"/>
              <w:ind w:left="308"/>
              <w:spacing w:after="0"/>
              <w:rPr>
                <w:sz w:val="20"/>
                <w:szCs w:val="20"/>
                <w:color w:val="auto"/>
              </w:rPr>
            </w:pPr>
            <w:r>
              <w:rPr>
                <w:rFonts w:ascii="Arial" w:cs="Arial" w:eastAsia="Arial" w:hAnsi="Arial"/>
                <w:sz w:val="14"/>
                <w:szCs w:val="14"/>
                <w:b w:val="1"/>
                <w:bCs w:val="1"/>
                <w:color w:val="FFFFFF"/>
              </w:rPr>
              <w:t>Awards</w:t>
            </w:r>
          </w:p>
        </w:tc>
        <w:tc>
          <w:tcPr>
            <w:tcW w:w="290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4"/>
                <w:szCs w:val="14"/>
                <w:b w:val="1"/>
                <w:bCs w:val="1"/>
                <w:color w:val="FFFFFF"/>
              </w:rPr>
              <w:t>Options</w:t>
            </w:r>
          </w:p>
        </w:tc>
      </w:tr>
      <w:tr>
        <w:trPr>
          <w:trHeight w:val="250"/>
        </w:trPr>
        <w:tc>
          <w:tcPr>
            <w:tcW w:w="23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Forbes I.J. Alexander</w:t>
            </w:r>
          </w:p>
        </w:tc>
        <w:tc>
          <w:tcPr>
            <w:tcW w:w="3220" w:type="dxa"/>
            <w:vAlign w:val="bottom"/>
            <w:tcBorders>
              <w:bottom w:val="single" w:sz="8" w:color="E5E9E3"/>
            </w:tcBorders>
            <w:shd w:val="clear" w:color="auto" w:fill="E5E9E3"/>
          </w:tcPr>
          <w:p>
            <w:pPr>
              <w:jc w:val="center"/>
              <w:ind w:left="308"/>
              <w:spacing w:after="0"/>
              <w:rPr>
                <w:sz w:val="20"/>
                <w:szCs w:val="20"/>
                <w:color w:val="auto"/>
              </w:rPr>
            </w:pPr>
            <w:r>
              <w:rPr>
                <w:rFonts w:ascii="Arial" w:cs="Arial" w:eastAsia="Arial" w:hAnsi="Arial"/>
                <w:sz w:val="14"/>
                <w:szCs w:val="14"/>
                <w:color w:val="auto"/>
              </w:rPr>
              <w:t>461</w:t>
            </w:r>
          </w:p>
        </w:tc>
        <w:tc>
          <w:tcPr>
            <w:tcW w:w="29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4"/>
                <w:szCs w:val="14"/>
                <w:color w:val="auto"/>
                <w:w w:val="99"/>
              </w:rPr>
              <w:t>—</w:t>
            </w:r>
          </w:p>
        </w:tc>
      </w:tr>
      <w:tr>
        <w:trPr>
          <w:trHeight w:val="235"/>
        </w:trPr>
        <w:tc>
          <w:tcPr>
            <w:tcW w:w="2320" w:type="dxa"/>
            <w:vAlign w:val="bottom"/>
          </w:tcPr>
          <w:p>
            <w:pPr>
              <w:ind w:left="80"/>
              <w:spacing w:after="0"/>
              <w:rPr>
                <w:sz w:val="20"/>
                <w:szCs w:val="20"/>
                <w:color w:val="auto"/>
              </w:rPr>
            </w:pPr>
            <w:r>
              <w:rPr>
                <w:rFonts w:ascii="Arial" w:cs="Arial" w:eastAsia="Arial" w:hAnsi="Arial"/>
                <w:sz w:val="14"/>
                <w:szCs w:val="14"/>
                <w:color w:val="auto"/>
              </w:rPr>
              <w:t>Dr. Homa Bahrami</w:t>
            </w:r>
          </w:p>
        </w:tc>
        <w:tc>
          <w:tcPr>
            <w:tcW w:w="3220" w:type="dxa"/>
            <w:vAlign w:val="bottom"/>
          </w:tcPr>
          <w:p>
            <w:pPr>
              <w:jc w:val="center"/>
              <w:ind w:left="308"/>
              <w:spacing w:after="0"/>
              <w:rPr>
                <w:sz w:val="20"/>
                <w:szCs w:val="20"/>
                <w:color w:val="auto"/>
              </w:rPr>
            </w:pPr>
            <w:r>
              <w:rPr>
                <w:rFonts w:ascii="Arial" w:cs="Arial" w:eastAsia="Arial" w:hAnsi="Arial"/>
                <w:sz w:val="14"/>
                <w:szCs w:val="14"/>
                <w:color w:val="auto"/>
              </w:rPr>
              <w:t>1,282</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23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900" w:type="dxa"/>
            <w:vAlign w:val="bottom"/>
          </w:tcPr>
          <w:p>
            <w:pPr>
              <w:spacing w:after="0"/>
              <w:rPr>
                <w:sz w:val="3"/>
                <w:szCs w:val="3"/>
                <w:color w:val="auto"/>
              </w:rPr>
            </w:pPr>
          </w:p>
        </w:tc>
      </w:tr>
      <w:tr>
        <w:trPr>
          <w:trHeight w:val="250"/>
        </w:trPr>
        <w:tc>
          <w:tcPr>
            <w:tcW w:w="23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Thomas F. Kelly</w:t>
            </w:r>
          </w:p>
        </w:tc>
        <w:tc>
          <w:tcPr>
            <w:tcW w:w="3220" w:type="dxa"/>
            <w:vAlign w:val="bottom"/>
            <w:tcBorders>
              <w:bottom w:val="single" w:sz="8" w:color="E5E9E3"/>
            </w:tcBorders>
            <w:shd w:val="clear" w:color="auto" w:fill="E5E9E3"/>
          </w:tcPr>
          <w:p>
            <w:pPr>
              <w:jc w:val="center"/>
              <w:ind w:left="308"/>
              <w:spacing w:after="0"/>
              <w:rPr>
                <w:sz w:val="20"/>
                <w:szCs w:val="20"/>
                <w:color w:val="auto"/>
              </w:rPr>
            </w:pPr>
            <w:r>
              <w:rPr>
                <w:rFonts w:ascii="Arial" w:cs="Arial" w:eastAsia="Arial" w:hAnsi="Arial"/>
                <w:sz w:val="14"/>
                <w:szCs w:val="14"/>
                <w:color w:val="auto"/>
              </w:rPr>
              <w:t>1,282</w:t>
            </w:r>
          </w:p>
        </w:tc>
        <w:tc>
          <w:tcPr>
            <w:tcW w:w="29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4"/>
                <w:szCs w:val="14"/>
                <w:color w:val="auto"/>
                <w:w w:val="99"/>
              </w:rPr>
              <w:t>—</w:t>
            </w:r>
          </w:p>
        </w:tc>
      </w:tr>
      <w:tr>
        <w:trPr>
          <w:trHeight w:val="235"/>
        </w:trPr>
        <w:tc>
          <w:tcPr>
            <w:tcW w:w="2320" w:type="dxa"/>
            <w:vAlign w:val="bottom"/>
          </w:tcPr>
          <w:p>
            <w:pPr>
              <w:ind w:left="80"/>
              <w:spacing w:after="0"/>
              <w:rPr>
                <w:sz w:val="20"/>
                <w:szCs w:val="20"/>
                <w:color w:val="auto"/>
              </w:rPr>
            </w:pPr>
            <w:r>
              <w:rPr>
                <w:rFonts w:ascii="Arial" w:cs="Arial" w:eastAsia="Arial" w:hAnsi="Arial"/>
                <w:sz w:val="14"/>
                <w:szCs w:val="14"/>
                <w:color w:val="auto"/>
              </w:rPr>
              <w:t>Darlene Knight</w:t>
            </w:r>
          </w:p>
        </w:tc>
        <w:tc>
          <w:tcPr>
            <w:tcW w:w="3220" w:type="dxa"/>
            <w:vAlign w:val="bottom"/>
          </w:tcPr>
          <w:p>
            <w:pPr>
              <w:jc w:val="center"/>
              <w:ind w:left="308"/>
              <w:spacing w:after="0"/>
              <w:rPr>
                <w:sz w:val="20"/>
                <w:szCs w:val="20"/>
                <w:color w:val="auto"/>
              </w:rPr>
            </w:pPr>
            <w:r>
              <w:rPr>
                <w:rFonts w:ascii="Arial" w:cs="Arial" w:eastAsia="Arial" w:hAnsi="Arial"/>
                <w:sz w:val="14"/>
                <w:szCs w:val="14"/>
                <w:color w:val="auto"/>
              </w:rPr>
              <w:t>1,282</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23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900" w:type="dxa"/>
            <w:vAlign w:val="bottom"/>
          </w:tcPr>
          <w:p>
            <w:pPr>
              <w:spacing w:after="0"/>
              <w:rPr>
                <w:sz w:val="3"/>
                <w:szCs w:val="3"/>
                <w:color w:val="auto"/>
              </w:rPr>
            </w:pPr>
          </w:p>
        </w:tc>
      </w:tr>
      <w:tr>
        <w:trPr>
          <w:trHeight w:val="250"/>
        </w:trPr>
        <w:tc>
          <w:tcPr>
            <w:tcW w:w="23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Dr. Frank H. Levinson</w:t>
            </w:r>
          </w:p>
        </w:tc>
        <w:tc>
          <w:tcPr>
            <w:tcW w:w="3220" w:type="dxa"/>
            <w:vAlign w:val="bottom"/>
            <w:tcBorders>
              <w:bottom w:val="single" w:sz="8" w:color="E5E9E3"/>
            </w:tcBorders>
            <w:shd w:val="clear" w:color="auto" w:fill="E5E9E3"/>
          </w:tcPr>
          <w:p>
            <w:pPr>
              <w:jc w:val="center"/>
              <w:ind w:left="308"/>
              <w:spacing w:after="0"/>
              <w:rPr>
                <w:sz w:val="20"/>
                <w:szCs w:val="20"/>
                <w:color w:val="auto"/>
              </w:rPr>
            </w:pPr>
            <w:r>
              <w:rPr>
                <w:rFonts w:ascii="Arial" w:cs="Arial" w:eastAsia="Arial" w:hAnsi="Arial"/>
                <w:sz w:val="14"/>
                <w:szCs w:val="14"/>
                <w:color w:val="auto"/>
              </w:rPr>
              <w:t>1,282</w:t>
            </w:r>
          </w:p>
        </w:tc>
        <w:tc>
          <w:tcPr>
            <w:tcW w:w="29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4"/>
                <w:szCs w:val="14"/>
                <w:color w:val="auto"/>
                <w:w w:val="99"/>
              </w:rPr>
              <w:t>—</w:t>
            </w:r>
          </w:p>
        </w:tc>
      </w:tr>
      <w:tr>
        <w:trPr>
          <w:trHeight w:val="235"/>
        </w:trPr>
        <w:tc>
          <w:tcPr>
            <w:tcW w:w="2320" w:type="dxa"/>
            <w:vAlign w:val="bottom"/>
          </w:tcPr>
          <w:p>
            <w:pPr>
              <w:ind w:left="80"/>
              <w:spacing w:after="0"/>
              <w:rPr>
                <w:sz w:val="20"/>
                <w:szCs w:val="20"/>
                <w:color w:val="auto"/>
              </w:rPr>
            </w:pPr>
            <w:r>
              <w:rPr>
                <w:rFonts w:ascii="Arial" w:cs="Arial" w:eastAsia="Arial" w:hAnsi="Arial"/>
                <w:sz w:val="14"/>
                <w:szCs w:val="14"/>
                <w:color w:val="auto"/>
              </w:rPr>
              <w:t>David T. (Tom) Mitchell</w:t>
            </w:r>
          </w:p>
        </w:tc>
        <w:tc>
          <w:tcPr>
            <w:tcW w:w="3220" w:type="dxa"/>
            <w:vAlign w:val="bottom"/>
          </w:tcPr>
          <w:p>
            <w:pPr>
              <w:jc w:val="center"/>
              <w:ind w:left="308"/>
              <w:spacing w:after="0"/>
              <w:rPr>
                <w:sz w:val="20"/>
                <w:szCs w:val="20"/>
                <w:color w:val="auto"/>
              </w:rPr>
            </w:pPr>
            <w:r>
              <w:rPr>
                <w:rFonts w:ascii="Arial" w:cs="Arial" w:eastAsia="Arial" w:hAnsi="Arial"/>
                <w:sz w:val="14"/>
                <w:szCs w:val="14"/>
                <w:color w:val="auto"/>
              </w:rPr>
              <w:t>1,282</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23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900" w:type="dxa"/>
            <w:vAlign w:val="bottom"/>
          </w:tcPr>
          <w:p>
            <w:pPr>
              <w:spacing w:after="0"/>
              <w:rPr>
                <w:sz w:val="3"/>
                <w:szCs w:val="3"/>
                <w:color w:val="auto"/>
              </w:rPr>
            </w:pPr>
          </w:p>
        </w:tc>
      </w:tr>
      <w:tr>
        <w:trPr>
          <w:trHeight w:val="223"/>
        </w:trPr>
        <w:tc>
          <w:tcPr>
            <w:tcW w:w="23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Rollance E. Olson</w:t>
            </w:r>
          </w:p>
        </w:tc>
        <w:tc>
          <w:tcPr>
            <w:tcW w:w="3220" w:type="dxa"/>
            <w:vAlign w:val="bottom"/>
            <w:tcBorders>
              <w:bottom w:val="single" w:sz="8" w:color="E5E9E3"/>
            </w:tcBorders>
            <w:shd w:val="clear" w:color="auto" w:fill="E5E9E3"/>
          </w:tcPr>
          <w:p>
            <w:pPr>
              <w:jc w:val="center"/>
              <w:ind w:left="308"/>
              <w:spacing w:after="0"/>
              <w:rPr>
                <w:sz w:val="20"/>
                <w:szCs w:val="20"/>
                <w:color w:val="auto"/>
              </w:rPr>
            </w:pPr>
            <w:r>
              <w:rPr>
                <w:rFonts w:ascii="Arial" w:cs="Arial" w:eastAsia="Arial" w:hAnsi="Arial"/>
                <w:sz w:val="14"/>
                <w:szCs w:val="14"/>
                <w:color w:val="auto"/>
              </w:rPr>
              <w:t>1,282</w:t>
            </w:r>
          </w:p>
        </w:tc>
        <w:tc>
          <w:tcPr>
            <w:tcW w:w="29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4"/>
                <w:szCs w:val="14"/>
                <w:color w:val="auto"/>
                <w:w w:val="99"/>
              </w:rPr>
              <w:t>—</w:t>
            </w:r>
          </w:p>
        </w:tc>
      </w:tr>
      <w:tr>
        <w:trPr>
          <w:trHeight w:val="94"/>
        </w:trPr>
        <w:tc>
          <w:tcPr>
            <w:tcW w:w="2320" w:type="dxa"/>
            <w:vAlign w:val="bottom"/>
            <w:shd w:val="clear" w:color="auto" w:fill="819F7C"/>
          </w:tcPr>
          <w:p>
            <w:pPr>
              <w:spacing w:after="0"/>
              <w:rPr>
                <w:sz w:val="8"/>
                <w:szCs w:val="8"/>
                <w:color w:val="auto"/>
              </w:rPr>
            </w:pPr>
          </w:p>
        </w:tc>
        <w:tc>
          <w:tcPr>
            <w:tcW w:w="3220" w:type="dxa"/>
            <w:vAlign w:val="bottom"/>
            <w:shd w:val="clear" w:color="auto" w:fill="819F7C"/>
          </w:tcPr>
          <w:p>
            <w:pPr>
              <w:spacing w:after="0"/>
              <w:rPr>
                <w:sz w:val="8"/>
                <w:szCs w:val="8"/>
                <w:color w:val="auto"/>
              </w:rPr>
            </w:pPr>
          </w:p>
        </w:tc>
        <w:tc>
          <w:tcPr>
            <w:tcW w:w="2900" w:type="dxa"/>
            <w:vAlign w:val="bottom"/>
            <w:shd w:val="clear" w:color="auto" w:fill="819F7C"/>
          </w:tcPr>
          <w:p>
            <w:pPr>
              <w:spacing w:after="0"/>
              <w:rPr>
                <w:sz w:val="8"/>
                <w:szCs w:val="8"/>
                <w:color w:val="auto"/>
              </w:rPr>
            </w:pPr>
          </w:p>
        </w:tc>
      </w:tr>
    </w:tbl>
    <w:p>
      <w:pPr>
        <w:spacing w:after="0" w:line="82" w:lineRule="exact"/>
        <w:rPr>
          <w:sz w:val="20"/>
          <w:szCs w:val="20"/>
          <w:color w:val="auto"/>
        </w:rPr>
      </w:pPr>
    </w:p>
    <w:p>
      <w:pPr>
        <w:ind w:left="1200" w:right="940" w:hanging="286"/>
        <w:spacing w:after="0" w:line="260" w:lineRule="auto"/>
        <w:tabs>
          <w:tab w:leader="none" w:pos="12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Alexander was appointed to the Board on June 12, 2024. Accordingly, this reflects a pro-rated amount for his service on the Board during fiscal 2024.</w:t>
      </w:r>
    </w:p>
    <w:p>
      <w:pPr>
        <w:spacing w:after="0" w:line="200" w:lineRule="exact"/>
        <w:rPr>
          <w:sz w:val="20"/>
          <w:szCs w:val="20"/>
          <w:color w:val="auto"/>
        </w:rPr>
      </w:pPr>
    </w:p>
    <w:p>
      <w:pPr>
        <w:spacing w:after="0" w:line="328"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Director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4" w:lineRule="exact"/>
        <w:rPr>
          <w:sz w:val="20"/>
          <w:szCs w:val="20"/>
          <w:color w:val="auto"/>
        </w:rPr>
      </w:pPr>
    </w:p>
    <w:p>
      <w:pPr>
        <w:jc w:val="both"/>
        <w:ind w:left="920" w:right="940"/>
        <w:spacing w:after="0" w:line="253" w:lineRule="auto"/>
        <w:rPr>
          <w:sz w:val="20"/>
          <w:szCs w:val="20"/>
          <w:color w:val="auto"/>
        </w:rPr>
      </w:pPr>
      <w:r>
        <w:rPr>
          <w:rFonts w:ascii="Arial" w:cs="Arial" w:eastAsia="Arial" w:hAnsi="Arial"/>
          <w:sz w:val="18"/>
          <w:szCs w:val="18"/>
          <w:color w:val="auto"/>
        </w:rPr>
        <w:t>Our directors are subject to share ownership guidelines and certain prohibitions on transactions in our securities. For more information, see “Corporate Governance Matters—Share Ownership Guidelines” and “Corporate Governance Matters—Prohibited Transactions in Our Securities.”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21</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39"/>
          <w:szCs w:val="39"/>
          <w:b w:val="1"/>
          <w:bCs w:val="1"/>
          <w:color w:val="578255"/>
        </w:rPr>
        <w:t>CORPORATE GOVERNANCE MATTERS</w:t>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adopted Corporate Governance Guidelines that establish the corporate governance policies the Board intends to follow in overseeing our business in accordance with its fiduciary duties.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Corporate Governance Guidelines are available in the “Investors—Governance” section of our website at www.fabrinet.com.</w:t>
      </w:r>
    </w:p>
    <w:p>
      <w:pPr>
        <w:spacing w:after="0" w:line="397"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committed to maintaining the highest standards of ethical conduct, with business practices and principles of behavior that support this commitment. Accordingly, the Board has adopted a Code of Business Conduct, which is applicable to all of our directors, officers (including our principal executive officer and senior financial and accounting officers) and employees.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Code of Business Conduct is available in the “Investors—Governance” section of our website at www.fabrinet.com. We will disclose on our website any amendments to the Code of Business Conduct, as well as any waivers, required to be disclosed by SEC or NYSE rules.</w:t>
      </w:r>
    </w:p>
    <w:p>
      <w:pPr>
        <w:spacing w:after="0" w:line="603"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Majority Voting Director Resignation Policy in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Board endorses the principle of using a majority voting standard for uncontested elections of directors. Accordingly, in an election of directors such as this one, a nominee who receives more “Withhold” votes than “For” votes is expected to promptly tender his or her resignation as a director to the Board for consideration.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After considering any information the Board deems appropriate, the Board will act to accept or reject each tendered director resignation. Any director who tenders a resignation under the majority voting policy may not participate in the action of the Board regarding whether to accept or reject his or her tender of resignation.</w:t>
      </w:r>
    </w:p>
    <w:p>
      <w:pPr>
        <w:spacing w:after="0" w:line="213"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Corporate Governance Guidelines provide that the Board will fill the chairman and chief executive officer positions based upon what it believes is in our best interests at any point in time. Mr. Mitchell served in both positions until his retirement as chief executive officer in September 2017. We separated the two roles effective upon this transition, with Mr. Mitchell continuing as executive chairman of the Board from September 2017 until June 2018, and as a non-employee chairman of the Board beginning in June 2018. The Board believes that Mr. Mitchell is in the best position to direct the focus and attention of the Board on the areas most relevant for us and our shareholders as Mr. Mitchell is extremely familiar with our business, industry and strategic priorities, having founded Fabrinet and previously serving as our chief executive officer for 17 years. In the role of chairman, Mr. Mitchell provides valuable leadership for us both internally and externally.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Corporate Governance Guidelines provide that if the chairman is not independent, the Board shall appoint a lead independent director. Mr. Olson has served as our lead independent director since January 2011. The lead independent director’s duties include coordinating the activities of the independent and other non-employee directors, coordinating the agenda for and moderating sessions of the independent and other non-employee directors, and facilitating communications among the entire Board.</w:t>
      </w:r>
    </w:p>
    <w:p>
      <w:pPr>
        <w:spacing w:after="0" w:line="78"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Our independent directors meet in executive session at each regularly scheduled meeting of the Board, and at such other times as necessary or appropriate as determined by the independent directors. Our lead independent director presides at such executive sessions of the Board.</w:t>
      </w:r>
    </w:p>
    <w:p>
      <w:pPr>
        <w:spacing w:after="0" w:line="495"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89" w:lineRule="exact"/>
        <w:rPr>
          <w:sz w:val="20"/>
          <w:szCs w:val="20"/>
          <w:color w:val="auto"/>
        </w:rPr>
      </w:pPr>
    </w:p>
    <w:p>
      <w:pPr>
        <w:spacing w:after="0"/>
        <w:tabs>
          <w:tab w:leader="none" w:pos="6669" w:val="left"/>
        </w:tabs>
        <w:rPr>
          <w:sz w:val="20"/>
          <w:szCs w:val="20"/>
          <w:color w:val="auto"/>
        </w:rPr>
      </w:pPr>
      <w:r>
        <w:rPr>
          <w:rFonts w:ascii="Arial" w:cs="Arial" w:eastAsia="Arial" w:hAnsi="Arial"/>
          <w:sz w:val="12"/>
          <w:szCs w:val="12"/>
          <w:color w:val="auto"/>
        </w:rPr>
        <w:t>22</w:t>
      </w:r>
      <w:r>
        <w:rPr>
          <w:sz w:val="20"/>
          <w:szCs w:val="20"/>
          <w:color w:val="auto"/>
        </w:rPr>
        <w:tab/>
      </w:r>
      <w:r>
        <w:rPr>
          <w:sz w:val="1"/>
          <w:szCs w:val="1"/>
          <w:color w:val="auto"/>
        </w:rPr>
        <w:drawing>
          <wp:inline distT="0" distB="0" distL="0" distR="0">
            <wp:extent cx="342900" cy="7683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158115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28" w:name="page29"/>
    <w:bookmarkEnd w:id="28"/>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4" w:lineRule="exact"/>
        <w:rPr>
          <w:sz w:val="20"/>
          <w:szCs w:val="20"/>
          <w:color w:val="auto"/>
        </w:rPr>
      </w:pPr>
    </w:p>
    <w:p>
      <w:pPr>
        <w:jc w:val="both"/>
        <w:ind w:left="920"/>
        <w:spacing w:after="0" w:line="239" w:lineRule="auto"/>
        <w:rPr>
          <w:sz w:val="20"/>
          <w:szCs w:val="20"/>
          <w:color w:val="auto"/>
        </w:rPr>
      </w:pPr>
      <w:r>
        <w:rPr>
          <w:rFonts w:ascii="Arial" w:cs="Arial" w:eastAsia="Arial" w:hAnsi="Arial"/>
          <w:sz w:val="18"/>
          <w:szCs w:val="18"/>
          <w:color w:val="auto"/>
        </w:rPr>
        <w:t>As a part of its oversight function, the Board monitors management’s processes for operating our business, including risk management. The Board’s oversight of risk includes monitoring management’s work to identify risks and manage risk parameters, including those relating to enterprise, financial, operational, information security, business and reputation risks. Together with its committees, the Board ensures that any material risks relevant to us or our business are identified, appropriately considered and addressed.</w:t>
      </w:r>
    </w:p>
    <w:p>
      <w:pPr>
        <w:spacing w:after="0" w:line="72" w:lineRule="exact"/>
        <w:rPr>
          <w:sz w:val="20"/>
          <w:szCs w:val="20"/>
          <w:color w:val="auto"/>
        </w:rPr>
      </w:pPr>
    </w:p>
    <w:p>
      <w:pPr>
        <w:jc w:val="both"/>
        <w:ind w:left="920"/>
        <w:spacing w:after="0" w:line="236" w:lineRule="auto"/>
        <w:rPr>
          <w:sz w:val="20"/>
          <w:szCs w:val="20"/>
          <w:color w:val="auto"/>
        </w:rPr>
      </w:pPr>
      <w:r>
        <w:rPr>
          <w:rFonts w:ascii="Arial" w:cs="Arial" w:eastAsia="Arial" w:hAnsi="Arial"/>
          <w:sz w:val="18"/>
          <w:szCs w:val="18"/>
          <w:color w:val="auto"/>
        </w:rPr>
        <w:t>Our management team is responsible for day-to-day risk management. Management’s responsibilities include identifying, evaluating and addressing potential risks that may exist at the enterprise, strategic, financial and operating levels and the development of processes for mitigating these risks, and the Board, together with its committees, oversees management in its execution of these responsibilities. At periodic meetings of the Board and its committees, and in other meetings and discussions, our management reports to and seeks guidance from the Board and its committees, as applicable, with respect to risks and other matters that could affect our business. In addition, our legal counsel provides reports of legal risks to the Board and its committees. Similarly, our chief financial officer provides reports to the Audit Committee concerning financial, tax and audit related risks. In addition, the Audit Committee receives periodic reports from management on our compliance programs and efforts, investment policy and practices.</w:t>
      </w:r>
    </w:p>
    <w:p>
      <w:pPr>
        <w:spacing w:after="0" w:line="87" w:lineRule="exact"/>
        <w:rPr>
          <w:sz w:val="20"/>
          <w:szCs w:val="20"/>
          <w:color w:val="auto"/>
        </w:rPr>
      </w:pPr>
    </w:p>
    <w:p>
      <w:pPr>
        <w:jc w:val="both"/>
        <w:ind w:left="920" w:right="20"/>
        <w:spacing w:after="0" w:line="271" w:lineRule="auto"/>
        <w:rPr>
          <w:sz w:val="20"/>
          <w:szCs w:val="20"/>
          <w:color w:val="auto"/>
        </w:rPr>
      </w:pPr>
      <w:r>
        <w:rPr>
          <w:rFonts w:ascii="Arial" w:cs="Arial" w:eastAsia="Arial" w:hAnsi="Arial"/>
          <w:sz w:val="18"/>
          <w:szCs w:val="18"/>
          <w:color w:val="auto"/>
        </w:rPr>
        <w:t>The Board reviews the strategic, financial, operational and information security risks inherent in our business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through its consideration of the various matters presented to the Board or its committees by management for review or approval. Furthermore, each board committee regularly reviews and evaluates various aspects of enterprise risk as part of its specific functions and responsibilities delegated by the Board.</w:t>
      </w:r>
    </w:p>
    <w:p>
      <w:pPr>
        <w:spacing w:after="0" w:line="71"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The Audit Committee considers risk in connection with its oversight of our financial review and reporting processes and regulatory and corporate compliance matters. In addition, the Audit Committee is responsible for the oversight and review of certain risk management policies, including our insurance, investment and business continuity policies, and cybersecurity and data security risks. The Compensation Committee considers risk in connection with its oversight of the design and administration of our compensation policies, plans and programs and assesses and monitors whether such policies, plans and programs have the potential to encourage excessive risk-taking. The Nominating &amp; Corporate Governance Committee considers risk in connection with its oversight of our governance structure, policies and processes, including conflicts of interest (other than related party transactions reviewed by the Audit Committee), and oversight of our environmental, social and governance programs.</w:t>
      </w:r>
    </w:p>
    <w:p>
      <w:pPr>
        <w:spacing w:after="0" w:line="225" w:lineRule="exact"/>
        <w:rPr>
          <w:sz w:val="20"/>
          <w:szCs w:val="20"/>
          <w:color w:val="auto"/>
        </w:rPr>
      </w:pPr>
    </w:p>
    <w:p>
      <w:pPr>
        <w:jc w:val="both"/>
        <w:ind w:right="920"/>
        <w:spacing w:after="0" w:line="244" w:lineRule="auto"/>
        <w:rPr>
          <w:sz w:val="20"/>
          <w:szCs w:val="20"/>
          <w:color w:val="auto"/>
        </w:rPr>
      </w:pPr>
      <w:r>
        <w:rPr>
          <w:rFonts w:ascii="Arial" w:cs="Arial" w:eastAsia="Arial" w:hAnsi="Arial"/>
          <w:sz w:val="18"/>
          <w:szCs w:val="18"/>
          <w:color w:val="auto"/>
        </w:rPr>
        <w:t>We believe that the Board’s role is consistent with our leadership structure, with our chief executive officer and management primarily responsible for enterprise risk management, and with the Board and its committees providing oversight of these efforts.</w:t>
      </w:r>
    </w:p>
    <w:p>
      <w:pPr>
        <w:spacing w:after="0" w:line="425"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123"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Information Security Risk Oversight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p>
      <w:pPr>
        <w:spacing w:after="0" w:line="204"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The Board has delegated to the Audit Committee primary responsibility for the oversight of cybersecurity and data security risks and mitigation strategies. Mr. Kelly, an independent director and Chair of the Audit Committee, has significant information security risk oversight and management expertise, most recently as chief executive officer and president of IDX, a provider of software and services for cyber breach and identity fraud protection, from August 2017 to August 2022.</w:t>
      </w:r>
    </w:p>
    <w:p>
      <w:pPr>
        <w:spacing w:after="0" w:line="270" w:lineRule="exact"/>
        <w:rPr>
          <w:sz w:val="20"/>
          <w:szCs w:val="20"/>
          <w:color w:val="auto"/>
        </w:rPr>
      </w:pPr>
    </w:p>
    <w:p>
      <w:pPr>
        <w:jc w:val="both"/>
        <w:ind w:left="920"/>
        <w:spacing w:after="0" w:line="247" w:lineRule="auto"/>
        <w:rPr>
          <w:sz w:val="20"/>
          <w:szCs w:val="20"/>
          <w:color w:val="auto"/>
        </w:rPr>
      </w:pPr>
      <w:r>
        <w:rPr>
          <w:rFonts w:ascii="Arial" w:cs="Arial" w:eastAsia="Arial" w:hAnsi="Arial"/>
          <w:sz w:val="18"/>
          <w:szCs w:val="18"/>
          <w:color w:val="auto"/>
        </w:rPr>
        <w:t>The Audit Committee provides oversight of management’s review of our information security program and risk mitigation actions, which include information security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policies, procedures, training initiatives, and both internal and external audits. The Audit Committee receives quarterly briefings on these matters by our Vice President, Information Technology &amp; Security, who has oversight responsibility for our information security team.</w:t>
      </w:r>
    </w:p>
    <w:p>
      <w:pPr>
        <w:spacing w:after="0" w:line="71"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As part of our thorough approach to information security management, and to continue to avoid being subject to information security breach penalties or settlements, we engage external experts to regularly test and audit our information security program in addition to conducting our own internal testing and audits.</w:t>
      </w:r>
    </w:p>
    <w:p>
      <w:pPr>
        <w:spacing w:after="0" w:line="413"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23</w:t>
            </w:r>
          </w:p>
        </w:tc>
      </w:tr>
      <w:tr>
        <w:trPr>
          <w:trHeight w:val="237"/>
        </w:trPr>
        <w:tc>
          <w:tcPr>
            <w:tcW w:w="66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342900" cy="768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38735</wp:posOffset>
            </wp:positionV>
            <wp:extent cx="5829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4"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color w:val="auto"/>
        </w:rPr>
        <w:t>Our ordinary shares are listed on the NYSE. Pursuant to the NYSE listing standards, independent directors must comprise a majority of the Board, and each member of our Audit, Compensation and Nominating &amp; Corporate Governance Committees must be independent. A director will only qualify as an “independent director” if he or she meets certain requirements and the Board determines that the director has no material relationship with Fabrinet (either directly or as a partner, shareholder or officer of an organization that has a relationship with Fabrinet).</w:t>
      </w:r>
    </w:p>
    <w:p>
      <w:pPr>
        <w:spacing w:after="0" w:line="78"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b w:val="1"/>
          <w:bCs w:val="1"/>
          <w:color w:val="auto"/>
        </w:rPr>
        <w:t xml:space="preserve">The Board has reviewed the independence of each director and determined that each of Mr. Alexander, Dr. Bahrami, Mr. Kelly, Ms. Knight, Dr. Levinson and Mr. Olson, representing six of our eight directors, is “independent” </w:t>
      </w:r>
      <w:r>
        <w:rPr>
          <w:rFonts w:ascii="Arial" w:cs="Arial" w:eastAsia="Arial" w:hAnsi="Arial"/>
          <w:sz w:val="18"/>
          <w:szCs w:val="18"/>
          <w:color w:val="auto"/>
        </w:rPr>
        <w:t>as that term is defined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rules and regulations of the SEC and the NYSE listing standards. In making these determinations, the Board considered the current and prior relationships that each non-employee director has with us and all other facts and circumstances the Board deemed relevant.</w:t>
      </w:r>
    </w:p>
    <w:p>
      <w:pPr>
        <w:spacing w:after="0" w:line="78" w:lineRule="exact"/>
        <w:rPr>
          <w:sz w:val="20"/>
          <w:szCs w:val="20"/>
          <w:color w:val="auto"/>
        </w:rPr>
      </w:pPr>
    </w:p>
    <w:p>
      <w:pPr>
        <w:jc w:val="both"/>
        <w:ind w:left="60"/>
        <w:spacing w:after="0" w:line="271" w:lineRule="auto"/>
        <w:rPr>
          <w:sz w:val="20"/>
          <w:szCs w:val="20"/>
          <w:color w:val="auto"/>
        </w:rPr>
      </w:pPr>
      <w:r>
        <w:rPr>
          <w:rFonts w:ascii="Arial" w:cs="Arial" w:eastAsia="Arial" w:hAnsi="Arial"/>
          <w:sz w:val="18"/>
          <w:szCs w:val="18"/>
          <w:color w:val="auto"/>
        </w:rPr>
        <w:t>Audit Committee members must satisfy additional independence criteria set forth in Rule 10A-3 under the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Exchange Act. In order to be considered independent for purposes of Rule 10A-3, a member of the Audit Committee may not, other than in his or her capacity as a member of the Audit Committee, the Board, or any other board committee: (1) accept, directly or indirectly, any consulting, advisory, or other compensatory fee from us or any of our subsidiaries; or (2) be an affiliated person of us or any of our subsidiaries.</w:t>
      </w:r>
    </w:p>
    <w:p>
      <w:pPr>
        <w:spacing w:after="0" w:line="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Compensation Committee members must satisfy additional independence criteria set forth under the NYSE listing standards. In order for a member of the Compensation Committee to be considered independent, the Board must consider all factors specifically relevant to determining whether a director has a relationship to us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us to such director; and (2) whether such director is affiliated with us, any of or subsidiaries, or an affiliate of any of our subsidiaries.</w:t>
      </w:r>
    </w:p>
    <w:p>
      <w:pPr>
        <w:spacing w:after="0" w:line="544"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12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38735</wp:posOffset>
            </wp:positionV>
            <wp:extent cx="5829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p>
      <w:pPr>
        <w:spacing w:after="0" w:line="204" w:lineRule="exact"/>
        <w:rPr>
          <w:sz w:val="20"/>
          <w:szCs w:val="20"/>
          <w:color w:val="auto"/>
        </w:rPr>
      </w:pPr>
    </w:p>
    <w:p>
      <w:pPr>
        <w:jc w:val="both"/>
        <w:ind w:left="60"/>
        <w:spacing w:after="0" w:line="244" w:lineRule="auto"/>
        <w:rPr>
          <w:sz w:val="20"/>
          <w:szCs w:val="20"/>
          <w:color w:val="auto"/>
        </w:rPr>
      </w:pPr>
      <w:r>
        <w:rPr>
          <w:rFonts w:ascii="Arial" w:cs="Arial" w:eastAsia="Arial" w:hAnsi="Arial"/>
          <w:sz w:val="18"/>
          <w:szCs w:val="18"/>
          <w:color w:val="auto"/>
        </w:rPr>
        <w:t>We expect directors to attend and actively participate in Board and committee meetings. Each of our incumbent directors attended at least 75% of the total number of meetings of the Board and the committees on which he or she served during fiscal 2024.</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3160" w:type="dxa"/>
            <w:vAlign w:val="bottom"/>
            <w:shd w:val="clear" w:color="auto" w:fill="819F7C"/>
          </w:tcPr>
          <w:p>
            <w:pPr>
              <w:spacing w:after="0"/>
              <w:rPr>
                <w:sz w:val="22"/>
                <w:szCs w:val="22"/>
                <w:color w:val="auto"/>
              </w:rPr>
            </w:pPr>
          </w:p>
        </w:tc>
        <w:tc>
          <w:tcPr>
            <w:tcW w:w="12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No. of</w:t>
            </w:r>
          </w:p>
        </w:tc>
      </w:tr>
      <w:tr>
        <w:trPr>
          <w:trHeight w:val="162"/>
        </w:trPr>
        <w:tc>
          <w:tcPr>
            <w:tcW w:w="3160" w:type="dxa"/>
            <w:vAlign w:val="bottom"/>
            <w:shd w:val="clear" w:color="auto" w:fill="819F7C"/>
          </w:tcPr>
          <w:p>
            <w:pPr>
              <w:spacing w:after="0"/>
              <w:rPr>
                <w:sz w:val="14"/>
                <w:szCs w:val="14"/>
                <w:color w:val="auto"/>
              </w:rPr>
            </w:pPr>
          </w:p>
        </w:tc>
        <w:tc>
          <w:tcPr>
            <w:tcW w:w="1260" w:type="dxa"/>
            <w:vAlign w:val="bottom"/>
            <w:shd w:val="clear" w:color="auto" w:fill="819F7C"/>
          </w:tcPr>
          <w:p>
            <w:pPr>
              <w:jc w:val="center"/>
              <w:ind w:right="8"/>
              <w:spacing w:after="0"/>
              <w:rPr>
                <w:sz w:val="20"/>
                <w:szCs w:val="20"/>
                <w:color w:val="auto"/>
              </w:rPr>
            </w:pPr>
            <w:r>
              <w:rPr>
                <w:rFonts w:ascii="Arial" w:cs="Arial" w:eastAsia="Arial" w:hAnsi="Arial"/>
                <w:sz w:val="14"/>
                <w:szCs w:val="14"/>
                <w:b w:val="1"/>
                <w:bCs w:val="1"/>
                <w:color w:val="FFFFFF"/>
              </w:rPr>
              <w:t>Meetings</w:t>
            </w:r>
          </w:p>
        </w:tc>
      </w:tr>
      <w:tr>
        <w:trPr>
          <w:trHeight w:val="198"/>
        </w:trPr>
        <w:tc>
          <w:tcPr>
            <w:tcW w:w="316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Board/Committee</w:t>
            </w:r>
          </w:p>
        </w:tc>
        <w:tc>
          <w:tcPr>
            <w:tcW w:w="12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in Fiscal 2024</w:t>
            </w:r>
          </w:p>
        </w:tc>
      </w:tr>
      <w:tr>
        <w:trPr>
          <w:trHeight w:val="203"/>
        </w:trPr>
        <w:tc>
          <w:tcPr>
            <w:tcW w:w="3160" w:type="dxa"/>
            <w:vAlign w:val="bottom"/>
            <w:shd w:val="clear" w:color="auto" w:fill="E5E9E3"/>
          </w:tcPr>
          <w:p>
            <w:pPr>
              <w:ind w:left="80"/>
              <w:spacing w:after="0"/>
              <w:rPr>
                <w:sz w:val="20"/>
                <w:szCs w:val="20"/>
                <w:color w:val="auto"/>
              </w:rPr>
            </w:pPr>
            <w:r>
              <w:rPr>
                <w:rFonts w:ascii="Arial" w:cs="Arial" w:eastAsia="Arial" w:hAnsi="Arial"/>
                <w:sz w:val="14"/>
                <w:szCs w:val="14"/>
                <w:color w:val="auto"/>
              </w:rPr>
              <w:t>Full Board</w:t>
            </w:r>
          </w:p>
        </w:tc>
        <w:tc>
          <w:tcPr>
            <w:tcW w:w="1260" w:type="dxa"/>
            <w:vAlign w:val="bottom"/>
            <w:shd w:val="clear" w:color="auto" w:fill="E5E9E3"/>
          </w:tcPr>
          <w:p>
            <w:pPr>
              <w:jc w:val="center"/>
              <w:spacing w:after="0"/>
              <w:rPr>
                <w:sz w:val="20"/>
                <w:szCs w:val="20"/>
                <w:color w:val="auto"/>
              </w:rPr>
            </w:pPr>
            <w:r>
              <w:rPr>
                <w:rFonts w:ascii="Arial" w:cs="Arial" w:eastAsia="Arial" w:hAnsi="Arial"/>
                <w:sz w:val="14"/>
                <w:szCs w:val="14"/>
                <w:color w:val="auto"/>
              </w:rPr>
              <w:t>7</w:t>
            </w:r>
          </w:p>
        </w:tc>
      </w:tr>
      <w:tr>
        <w:trPr>
          <w:trHeight w:val="198"/>
        </w:trPr>
        <w:tc>
          <w:tcPr>
            <w:tcW w:w="3160" w:type="dxa"/>
            <w:vAlign w:val="bottom"/>
          </w:tcPr>
          <w:p>
            <w:pPr>
              <w:ind w:left="80"/>
              <w:spacing w:after="0"/>
              <w:rPr>
                <w:sz w:val="20"/>
                <w:szCs w:val="20"/>
                <w:color w:val="auto"/>
              </w:rPr>
            </w:pPr>
            <w:r>
              <w:rPr>
                <w:rFonts w:ascii="Arial" w:cs="Arial" w:eastAsia="Arial" w:hAnsi="Arial"/>
                <w:sz w:val="14"/>
                <w:szCs w:val="14"/>
                <w:color w:val="auto"/>
              </w:rPr>
              <w:t>Audit</w:t>
            </w:r>
          </w:p>
        </w:tc>
        <w:tc>
          <w:tcPr>
            <w:tcW w:w="1260" w:type="dxa"/>
            <w:vAlign w:val="bottom"/>
          </w:tcPr>
          <w:p>
            <w:pPr>
              <w:jc w:val="center"/>
              <w:spacing w:after="0"/>
              <w:rPr>
                <w:sz w:val="20"/>
                <w:szCs w:val="20"/>
                <w:color w:val="auto"/>
              </w:rPr>
            </w:pPr>
            <w:r>
              <w:rPr>
                <w:rFonts w:ascii="Arial" w:cs="Arial" w:eastAsia="Arial" w:hAnsi="Arial"/>
                <w:sz w:val="14"/>
                <w:szCs w:val="14"/>
                <w:color w:val="auto"/>
              </w:rPr>
              <w:t>4</w:t>
            </w:r>
          </w:p>
        </w:tc>
      </w:tr>
      <w:tr>
        <w:trPr>
          <w:trHeight w:val="207"/>
        </w:trPr>
        <w:tc>
          <w:tcPr>
            <w:tcW w:w="3160" w:type="dxa"/>
            <w:vAlign w:val="bottom"/>
            <w:shd w:val="clear" w:color="auto" w:fill="E5E9E3"/>
          </w:tcPr>
          <w:p>
            <w:pPr>
              <w:ind w:left="80"/>
              <w:spacing w:after="0"/>
              <w:rPr>
                <w:sz w:val="20"/>
                <w:szCs w:val="20"/>
                <w:color w:val="auto"/>
              </w:rPr>
            </w:pPr>
            <w:r>
              <w:rPr>
                <w:rFonts w:ascii="Arial" w:cs="Arial" w:eastAsia="Arial" w:hAnsi="Arial"/>
                <w:sz w:val="14"/>
                <w:szCs w:val="14"/>
                <w:color w:val="auto"/>
              </w:rPr>
              <w:t>Compensation</w:t>
            </w:r>
          </w:p>
        </w:tc>
        <w:tc>
          <w:tcPr>
            <w:tcW w:w="1260" w:type="dxa"/>
            <w:vAlign w:val="bottom"/>
            <w:shd w:val="clear" w:color="auto" w:fill="E5E9E3"/>
          </w:tcPr>
          <w:p>
            <w:pPr>
              <w:jc w:val="center"/>
              <w:spacing w:after="0"/>
              <w:rPr>
                <w:sz w:val="20"/>
                <w:szCs w:val="20"/>
                <w:color w:val="auto"/>
              </w:rPr>
            </w:pPr>
            <w:r>
              <w:rPr>
                <w:rFonts w:ascii="Arial" w:cs="Arial" w:eastAsia="Arial" w:hAnsi="Arial"/>
                <w:sz w:val="14"/>
                <w:szCs w:val="14"/>
                <w:color w:val="auto"/>
              </w:rPr>
              <w:t>4</w:t>
            </w:r>
          </w:p>
        </w:tc>
      </w:tr>
      <w:tr>
        <w:trPr>
          <w:trHeight w:val="198"/>
        </w:trPr>
        <w:tc>
          <w:tcPr>
            <w:tcW w:w="3160" w:type="dxa"/>
            <w:vAlign w:val="bottom"/>
          </w:tcPr>
          <w:p>
            <w:pPr>
              <w:ind w:left="80"/>
              <w:spacing w:after="0"/>
              <w:rPr>
                <w:sz w:val="20"/>
                <w:szCs w:val="20"/>
                <w:color w:val="auto"/>
              </w:rPr>
            </w:pPr>
            <w:r>
              <w:rPr>
                <w:rFonts w:ascii="Arial" w:cs="Arial" w:eastAsia="Arial" w:hAnsi="Arial"/>
                <w:sz w:val="14"/>
                <w:szCs w:val="14"/>
                <w:color w:val="auto"/>
              </w:rPr>
              <w:t>Nominating &amp; Corporate Governance</w:t>
            </w:r>
          </w:p>
        </w:tc>
        <w:tc>
          <w:tcPr>
            <w:tcW w:w="1260" w:type="dxa"/>
            <w:vAlign w:val="bottom"/>
          </w:tcPr>
          <w:p>
            <w:pPr>
              <w:jc w:val="center"/>
              <w:spacing w:after="0"/>
              <w:rPr>
                <w:sz w:val="20"/>
                <w:szCs w:val="20"/>
                <w:color w:val="auto"/>
              </w:rPr>
            </w:pPr>
            <w:r>
              <w:rPr>
                <w:rFonts w:ascii="Arial" w:cs="Arial" w:eastAsia="Arial" w:hAnsi="Arial"/>
                <w:sz w:val="14"/>
                <w:szCs w:val="14"/>
                <w:color w:val="auto"/>
              </w:rPr>
              <w:t>6</w:t>
            </w:r>
          </w:p>
        </w:tc>
      </w:tr>
      <w:tr>
        <w:trPr>
          <w:trHeight w:val="170"/>
        </w:trPr>
        <w:tc>
          <w:tcPr>
            <w:tcW w:w="3160" w:type="dxa"/>
            <w:vAlign w:val="bottom"/>
            <w:shd w:val="clear" w:color="auto" w:fill="E5E9E3"/>
          </w:tcPr>
          <w:p>
            <w:pPr>
              <w:ind w:left="220"/>
              <w:spacing w:after="0"/>
              <w:rPr>
                <w:sz w:val="20"/>
                <w:szCs w:val="20"/>
                <w:color w:val="auto"/>
              </w:rPr>
            </w:pPr>
            <w:r>
              <w:rPr>
                <w:rFonts w:ascii="Arial" w:cs="Arial" w:eastAsia="Arial" w:hAnsi="Arial"/>
                <w:sz w:val="14"/>
                <w:szCs w:val="14"/>
                <w:b w:val="1"/>
                <w:bCs w:val="1"/>
                <w:color w:val="auto"/>
              </w:rPr>
              <w:t>Total Meetings (average director</w:t>
            </w:r>
          </w:p>
        </w:tc>
        <w:tc>
          <w:tcPr>
            <w:tcW w:w="1260" w:type="dxa"/>
            <w:vAlign w:val="bottom"/>
            <w:shd w:val="clear" w:color="auto" w:fill="E5E9E3"/>
          </w:tcPr>
          <w:p>
            <w:pPr>
              <w:jc w:val="center"/>
              <w:spacing w:after="0"/>
              <w:rPr>
                <w:sz w:val="20"/>
                <w:szCs w:val="20"/>
                <w:color w:val="auto"/>
              </w:rPr>
            </w:pPr>
            <w:r>
              <w:rPr>
                <w:rFonts w:ascii="Arial" w:cs="Arial" w:eastAsia="Arial" w:hAnsi="Arial"/>
                <w:sz w:val="14"/>
                <w:szCs w:val="14"/>
                <w:b w:val="1"/>
                <w:bCs w:val="1"/>
                <w:color w:val="auto"/>
              </w:rPr>
              <w:t>21</w:t>
            </w:r>
          </w:p>
        </w:tc>
      </w:tr>
      <w:tr>
        <w:trPr>
          <w:trHeight w:val="198"/>
        </w:trPr>
        <w:tc>
          <w:tcPr>
            <w:tcW w:w="3160" w:type="dxa"/>
            <w:vAlign w:val="bottom"/>
            <w:shd w:val="clear" w:color="auto" w:fill="E5E9E3"/>
          </w:tcPr>
          <w:p>
            <w:pPr>
              <w:ind w:left="220"/>
              <w:spacing w:after="0"/>
              <w:rPr>
                <w:sz w:val="20"/>
                <w:szCs w:val="20"/>
                <w:color w:val="auto"/>
              </w:rPr>
            </w:pPr>
            <w:r>
              <w:rPr>
                <w:rFonts w:ascii="Arial" w:cs="Arial" w:eastAsia="Arial" w:hAnsi="Arial"/>
                <w:sz w:val="14"/>
                <w:szCs w:val="14"/>
                <w:b w:val="1"/>
                <w:bCs w:val="1"/>
                <w:color w:val="auto"/>
              </w:rPr>
              <w:t>attendance of 100%)</w:t>
            </w:r>
          </w:p>
        </w:tc>
        <w:tc>
          <w:tcPr>
            <w:tcW w:w="1260" w:type="dxa"/>
            <w:vAlign w:val="bottom"/>
            <w:shd w:val="clear" w:color="auto" w:fill="E5E9E3"/>
          </w:tcPr>
          <w:p>
            <w:pPr>
              <w:spacing w:after="0"/>
              <w:rPr>
                <w:sz w:val="17"/>
                <w:szCs w:val="17"/>
                <w:color w:val="auto"/>
              </w:rPr>
            </w:pPr>
          </w:p>
        </w:tc>
      </w:tr>
      <w:tr>
        <w:trPr>
          <w:trHeight w:val="166"/>
        </w:trPr>
        <w:tc>
          <w:tcPr>
            <w:tcW w:w="3160" w:type="dxa"/>
            <w:vAlign w:val="bottom"/>
          </w:tcPr>
          <w:p>
            <w:pPr>
              <w:ind w:left="80"/>
              <w:spacing w:after="0"/>
              <w:rPr>
                <w:sz w:val="20"/>
                <w:szCs w:val="20"/>
                <w:color w:val="auto"/>
              </w:rPr>
            </w:pPr>
            <w:r>
              <w:rPr>
                <w:rFonts w:ascii="Arial" w:cs="Arial" w:eastAsia="Arial" w:hAnsi="Arial"/>
                <w:sz w:val="14"/>
                <w:szCs w:val="14"/>
                <w:color w:val="auto"/>
              </w:rPr>
              <w:t>Executive Sessions of the Board (independent</w:t>
            </w:r>
          </w:p>
        </w:tc>
        <w:tc>
          <w:tcPr>
            <w:tcW w:w="126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185"/>
        </w:trPr>
        <w:tc>
          <w:tcPr>
            <w:tcW w:w="3160" w:type="dxa"/>
            <w:vAlign w:val="bottom"/>
          </w:tcPr>
          <w:p>
            <w:pPr>
              <w:ind w:left="80"/>
              <w:spacing w:after="0"/>
              <w:rPr>
                <w:sz w:val="20"/>
                <w:szCs w:val="20"/>
                <w:color w:val="auto"/>
              </w:rPr>
            </w:pPr>
            <w:r>
              <w:rPr>
                <w:rFonts w:ascii="Arial" w:cs="Arial" w:eastAsia="Arial" w:hAnsi="Arial"/>
                <w:sz w:val="14"/>
                <w:szCs w:val="14"/>
                <w:color w:val="auto"/>
              </w:rPr>
              <w:t>directors meet without management present)</w:t>
            </w:r>
          </w:p>
        </w:tc>
        <w:tc>
          <w:tcPr>
            <w:tcW w:w="1260" w:type="dxa"/>
            <w:vAlign w:val="bottom"/>
          </w:tcPr>
          <w:p>
            <w:pPr>
              <w:spacing w:after="0"/>
              <w:rPr>
                <w:sz w:val="16"/>
                <w:szCs w:val="16"/>
                <w:color w:val="auto"/>
              </w:rPr>
            </w:pPr>
          </w:p>
        </w:tc>
      </w:tr>
      <w:tr>
        <w:trPr>
          <w:trHeight w:val="95"/>
        </w:trPr>
        <w:tc>
          <w:tcPr>
            <w:tcW w:w="3160" w:type="dxa"/>
            <w:vAlign w:val="bottom"/>
            <w:shd w:val="clear" w:color="auto" w:fill="819F7C"/>
          </w:tcPr>
          <w:p>
            <w:pPr>
              <w:spacing w:after="0"/>
              <w:rPr>
                <w:sz w:val="8"/>
                <w:szCs w:val="8"/>
                <w:color w:val="auto"/>
              </w:rPr>
            </w:pPr>
          </w:p>
        </w:tc>
        <w:tc>
          <w:tcPr>
            <w:tcW w:w="1260" w:type="dxa"/>
            <w:vAlign w:val="bottom"/>
            <w:shd w:val="clear" w:color="auto" w:fill="819F7C"/>
          </w:tcPr>
          <w:p>
            <w:pPr>
              <w:spacing w:after="0"/>
              <w:rPr>
                <w:sz w:val="8"/>
                <w:szCs w:val="8"/>
                <w:color w:val="auto"/>
              </w:rPr>
            </w:pPr>
          </w:p>
        </w:tc>
      </w:tr>
    </w:tbl>
    <w:p>
      <w:pPr>
        <w:spacing w:after="0" w:line="89" w:lineRule="exact"/>
        <w:rPr>
          <w:sz w:val="20"/>
          <w:szCs w:val="20"/>
          <w:color w:val="auto"/>
        </w:rPr>
      </w:pPr>
    </w:p>
    <w:p>
      <w:pPr>
        <w:jc w:val="both"/>
        <w:ind w:left="60"/>
        <w:spacing w:after="0"/>
        <w:rPr>
          <w:sz w:val="20"/>
          <w:szCs w:val="20"/>
          <w:color w:val="auto"/>
        </w:rPr>
      </w:pPr>
      <w:r>
        <w:rPr>
          <w:rFonts w:ascii="Arial" w:cs="Arial" w:eastAsia="Arial" w:hAnsi="Arial"/>
          <w:sz w:val="18"/>
          <w:szCs w:val="18"/>
          <w:color w:val="auto"/>
        </w:rPr>
        <w:t>The Board has established an Audit Committee, a Compensation Committee, and a Nominating &amp; Corporate Governance Committee, each of which has the composition and responsibilities described below. Each committee acts in accordance with a written charter adopted by the Board. The committee charters are available in the “Investors—Governance” section of our website at www.fabrinet.com.</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578255"/>
        </w:rPr>
        <w:t>Audit Committee</w:t>
      </w:r>
    </w:p>
    <w:p>
      <w:pPr>
        <w:spacing w:after="0" w:line="108" w:lineRule="exact"/>
        <w:rPr>
          <w:sz w:val="20"/>
          <w:szCs w:val="20"/>
          <w:color w:val="auto"/>
        </w:rPr>
      </w:pPr>
    </w:p>
    <w:p>
      <w:pPr>
        <w:spacing w:after="0"/>
        <w:tabs>
          <w:tab w:leader="none" w:pos="560" w:val="left"/>
          <w:tab w:leader="none" w:pos="1240" w:val="left"/>
          <w:tab w:leader="none" w:pos="2380" w:val="left"/>
          <w:tab w:leader="none" w:pos="3340" w:val="left"/>
          <w:tab w:leader="none" w:pos="4260" w:val="left"/>
        </w:tabs>
        <w:rPr>
          <w:sz w:val="20"/>
          <w:szCs w:val="20"/>
          <w:color w:val="auto"/>
        </w:rPr>
      </w:pPr>
      <w:r>
        <w:rPr>
          <w:rFonts w:ascii="Arial" w:cs="Arial" w:eastAsia="Arial" w:hAnsi="Arial"/>
          <w:sz w:val="18"/>
          <w:szCs w:val="18"/>
          <w:color w:val="auto"/>
        </w:rPr>
        <w:t>The</w:t>
        <w:tab/>
        <w:t>Audit</w:t>
        <w:tab/>
        <w:t>Committee</w:t>
        <w:tab/>
        <w:t>currently</w:t>
        <w:tab/>
        <w:t>consists</w:t>
      </w:r>
      <w:r>
        <w:rPr>
          <w:sz w:val="20"/>
          <w:szCs w:val="20"/>
          <w:color w:val="auto"/>
        </w:rPr>
        <w:tab/>
      </w:r>
      <w:r>
        <w:rPr>
          <w:rFonts w:ascii="Arial" w:cs="Arial" w:eastAsia="Arial" w:hAnsi="Arial"/>
          <w:sz w:val="16"/>
          <w:szCs w:val="16"/>
          <w:color w:val="auto"/>
        </w:rPr>
        <w:t>of</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Alexander, Mr. Kelly (chair), Ms. Knight and Dr. Levinson, each of whom is independent under the NYSE listing standards and the rules and regulations of the SEC. The Board has determined that each of Mr. Alexander and Mr. Kelly qualifies as an “audit committee financial expert” under the rules and regulations of the SEC and that each member of the Audit Committee meets the financial literacy requirements of the NYSE listing standards.</w:t>
      </w:r>
    </w:p>
    <w:p>
      <w:pPr>
        <w:spacing w:after="0" w:line="73"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Among other responsibilities, the Audit Committee assists the Board in its oversight of (1) our accounting and financial reporting processes and internal controls,</w:t>
      </w:r>
    </w:p>
    <w:p>
      <w:pPr>
        <w:ind w:left="300" w:hanging="294"/>
        <w:spacing w:after="0" w:line="237"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audit and integrity of our financial statements,</w:t>
      </w:r>
    </w:p>
    <w:p>
      <w:pPr>
        <w:jc w:val="both"/>
        <w:ind w:firstLine="6"/>
        <w:spacing w:after="0" w:line="237" w:lineRule="auto"/>
        <w:tabs>
          <w:tab w:leader="none" w:pos="4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(4) the qualifications, independence and performance of our independent auditors, and (5) the performance of our internal audit function. The Audit Committee is also responsible for reviewing, approving and monitoring related party transactions, and reviewing cybersecurity and data security risks and mitigation strategies.</w:t>
      </w:r>
    </w:p>
    <w:p>
      <w:pPr>
        <w:spacing w:after="0" w:line="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The Audit Committee report is included in this proxy statement on page </w:t>
      </w:r>
      <w:r>
        <w:rPr>
          <w:rFonts w:ascii="Arial" w:cs="Arial" w:eastAsia="Arial" w:hAnsi="Arial"/>
          <w:sz w:val="18"/>
          <w:szCs w:val="18"/>
          <w:u w:val="single" w:color="auto"/>
          <w:color w:val="0000EE"/>
        </w:rPr>
        <w:t>33</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62"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24</w:t>
      </w:r>
      <w:r>
        <w:rPr>
          <w:sz w:val="20"/>
          <w:szCs w:val="20"/>
          <w:color w:val="auto"/>
        </w:rPr>
        <w:tab/>
      </w:r>
      <w:r>
        <w:rPr>
          <w:sz w:val="1"/>
          <w:szCs w:val="1"/>
          <w:color w:val="auto"/>
        </w:rPr>
        <w:drawing>
          <wp:inline distT="0" distB="0" distL="0" distR="0">
            <wp:extent cx="342900" cy="7683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30" w:name="page31"/>
    <w:bookmarkEnd w:id="3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Compensation Committee</w:t>
      </w:r>
    </w:p>
    <w:p>
      <w:pPr>
        <w:spacing w:after="0" w:line="108" w:lineRule="exact"/>
        <w:rPr>
          <w:sz w:val="20"/>
          <w:szCs w:val="20"/>
          <w:color w:val="auto"/>
        </w:rPr>
      </w:pPr>
    </w:p>
    <w:p>
      <w:pPr>
        <w:jc w:val="both"/>
        <w:ind w:left="920"/>
        <w:spacing w:after="0" w:line="239" w:lineRule="auto"/>
        <w:rPr>
          <w:sz w:val="20"/>
          <w:szCs w:val="20"/>
          <w:color w:val="auto"/>
        </w:rPr>
      </w:pPr>
      <w:r>
        <w:rPr>
          <w:rFonts w:ascii="Arial" w:cs="Arial" w:eastAsia="Arial" w:hAnsi="Arial"/>
          <w:sz w:val="18"/>
          <w:szCs w:val="18"/>
          <w:color w:val="auto"/>
        </w:rPr>
        <w:t>The Compensation Committee currently consists of Dr. Bahrami, Dr. Levinson (chair) and Mr. Kelly, each of whom is independent under the NYSE listing standards and the rules and regulations of the SEC. In addition, the Board has determined that Dr. Bahrami, Dr. Levinson and Mr. Kelly meet the requirements of the non-employee director definition of Rule 16b-3 promulgated under the Exchange Act and the outside director definition of Section 162(m) of the Internal Revenue Code.</w:t>
      </w:r>
    </w:p>
    <w:p>
      <w:pPr>
        <w:spacing w:after="0" w:line="72" w:lineRule="exact"/>
        <w:rPr>
          <w:sz w:val="20"/>
          <w:szCs w:val="20"/>
          <w:color w:val="auto"/>
        </w:rPr>
      </w:pPr>
    </w:p>
    <w:p>
      <w:pPr>
        <w:jc w:val="both"/>
        <w:ind w:left="920"/>
        <w:spacing w:after="0" w:line="238" w:lineRule="auto"/>
        <w:rPr>
          <w:sz w:val="20"/>
          <w:szCs w:val="20"/>
          <w:color w:val="auto"/>
        </w:rPr>
      </w:pPr>
      <w:r>
        <w:rPr>
          <w:rFonts w:ascii="Arial" w:cs="Arial" w:eastAsia="Arial" w:hAnsi="Arial"/>
          <w:sz w:val="18"/>
          <w:szCs w:val="18"/>
          <w:color w:val="auto"/>
        </w:rPr>
        <w:t>Among other responsibilities, the Compensation Committee (1) oversees our compensation policies, plans, benefits programs, and overall compensation philosophy, (2) assists the Board in its oversight of executive compensation, (3) administers our incentive compensation and equity compensation plans,</w:t>
      </w:r>
    </w:p>
    <w:p>
      <w:pPr>
        <w:spacing w:after="0" w:line="1" w:lineRule="exact"/>
        <w:rPr>
          <w:sz w:val="20"/>
          <w:szCs w:val="20"/>
          <w:color w:val="auto"/>
        </w:rPr>
      </w:pPr>
    </w:p>
    <w:p>
      <w:pPr>
        <w:jc w:val="both"/>
        <w:ind w:left="920" w:hanging="6"/>
        <w:spacing w:after="0" w:line="237" w:lineRule="auto"/>
        <w:tabs>
          <w:tab w:leader="none" w:pos="1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prepares an annual report on executive officer compensation for inclusion in our annual proxy statement, (5) assists the Board in its oversight of our policies and strategies related to people management, and (6) reviews and evaluates our compensation policies and practices as they relate to risk management and risk-taking incentives.</w:t>
      </w:r>
    </w:p>
    <w:p>
      <w:pPr>
        <w:spacing w:after="0" w:line="77" w:lineRule="exact"/>
        <w:rPr>
          <w:sz w:val="20"/>
          <w:szCs w:val="20"/>
          <w:color w:val="auto"/>
        </w:rPr>
      </w:pPr>
    </w:p>
    <w:p>
      <w:pPr>
        <w:ind w:left="920"/>
        <w:spacing w:after="0" w:line="271" w:lineRule="auto"/>
        <w:rPr>
          <w:sz w:val="20"/>
          <w:szCs w:val="20"/>
          <w:color w:val="auto"/>
        </w:rPr>
      </w:pPr>
      <w:r>
        <w:rPr>
          <w:rFonts w:ascii="Arial" w:cs="Arial" w:eastAsia="Arial" w:hAnsi="Arial"/>
          <w:sz w:val="18"/>
          <w:szCs w:val="18"/>
          <w:color w:val="auto"/>
        </w:rPr>
        <w:t xml:space="preserve">The Compensation Committee report is included in this proxy statement on page </w:t>
      </w:r>
      <w:r>
        <w:rPr>
          <w:rFonts w:ascii="Arial" w:cs="Arial" w:eastAsia="Arial" w:hAnsi="Arial"/>
          <w:sz w:val="18"/>
          <w:szCs w:val="18"/>
          <w:u w:val="single" w:color="auto"/>
          <w:color w:val="0000EE"/>
        </w:rPr>
        <w:t>46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540"/>
        <w:spacing w:after="0" w:line="272" w:lineRule="auto"/>
        <w:rPr>
          <w:sz w:val="20"/>
          <w:szCs w:val="20"/>
          <w:color w:val="auto"/>
        </w:rPr>
      </w:pPr>
      <w:r>
        <w:rPr>
          <w:rFonts w:ascii="Arial" w:cs="Arial" w:eastAsia="Arial" w:hAnsi="Arial"/>
          <w:sz w:val="22"/>
          <w:szCs w:val="22"/>
          <w:b w:val="1"/>
          <w:bCs w:val="1"/>
          <w:color w:val="578255"/>
        </w:rPr>
        <w:t>Nominating &amp; Corporate Governance Committee</w:t>
      </w:r>
    </w:p>
    <w:p>
      <w:pPr>
        <w:spacing w:after="0" w:line="30" w:lineRule="exact"/>
        <w:rPr>
          <w:sz w:val="20"/>
          <w:szCs w:val="20"/>
          <w:color w:val="auto"/>
        </w:rPr>
      </w:pPr>
    </w:p>
    <w:p>
      <w:pPr>
        <w:jc w:val="both"/>
        <w:ind w:right="940"/>
        <w:spacing w:after="0" w:line="247" w:lineRule="auto"/>
        <w:rPr>
          <w:sz w:val="20"/>
          <w:szCs w:val="20"/>
          <w:color w:val="auto"/>
        </w:rPr>
      </w:pPr>
      <w:r>
        <w:rPr>
          <w:rFonts w:ascii="Arial" w:cs="Arial" w:eastAsia="Arial" w:hAnsi="Arial"/>
          <w:sz w:val="18"/>
          <w:szCs w:val="18"/>
          <w:color w:val="auto"/>
        </w:rPr>
        <w:t>The Nominating &amp; Corporate Governance Committee currently consists of Dr. Bahrami (chair) and Mr. Olson, each of whom is independent under the NYSE listing standards and the rules and regulations of the SEC.</w:t>
      </w:r>
    </w:p>
    <w:p>
      <w:pPr>
        <w:spacing w:after="0" w:line="66" w:lineRule="exact"/>
        <w:rPr>
          <w:sz w:val="20"/>
          <w:szCs w:val="20"/>
          <w:color w:val="auto"/>
        </w:rPr>
      </w:pPr>
    </w:p>
    <w:p>
      <w:pPr>
        <w:jc w:val="both"/>
        <w:ind w:right="920"/>
        <w:spacing w:after="0" w:line="237" w:lineRule="auto"/>
        <w:rPr>
          <w:sz w:val="20"/>
          <w:szCs w:val="20"/>
          <w:color w:val="auto"/>
        </w:rPr>
      </w:pPr>
      <w:r>
        <w:rPr>
          <w:rFonts w:ascii="Arial" w:cs="Arial" w:eastAsia="Arial" w:hAnsi="Arial"/>
          <w:sz w:val="18"/>
          <w:szCs w:val="18"/>
          <w:color w:val="auto"/>
        </w:rPr>
        <w:t>Among other responsibilities, the Nominating &amp; Corporate Governance Committee (1) assists the Board in identifying prospective director nominees, (2) recommends candidates for election to the Board at each annual meeting of shareholders, (3) reviews and recommends updates to our corporate governance guidelines, as appropriate, (4) reviews and recommends directors to serve on each board committee, (5) oversees the annual evaluation of the Board and its committees, (6) monitors and reviews matters related to succession planning for our executive officers, and (7) oversees our environmental, social and governance programs (including reviewing risks relating to corporate social responsibility and environmental sustainability).</w:t>
      </w:r>
    </w:p>
    <w:p>
      <w:pPr>
        <w:spacing w:after="0" w:line="80"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The Nominating &amp; Corporate Governance Committee will consider recommendations of candidates for election to the Board submitted by shareholders of Fabrinet. For more information, see “</w:t>
      </w:r>
      <w:r>
        <w:rPr>
          <w:rFonts w:ascii="Arial" w:cs="Arial" w:eastAsia="Arial" w:hAnsi="Arial"/>
          <w:sz w:val="18"/>
          <w:szCs w:val="18"/>
          <w:i w:val="1"/>
          <w:iCs w:val="1"/>
          <w:color w:val="auto"/>
        </w:rPr>
        <w:t>Process for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Recommending Candidates for Election to the Board of Directors</w:t>
      </w:r>
      <w:r>
        <w:rPr>
          <w:rFonts w:ascii="Arial" w:cs="Arial" w:eastAsia="Arial" w:hAnsi="Arial"/>
          <w:sz w:val="18"/>
          <w:szCs w:val="18"/>
          <w:color w:val="auto"/>
        </w:rPr>
        <w:t>” below.</w:t>
      </w:r>
    </w:p>
    <w:p>
      <w:pPr>
        <w:spacing w:after="0" w:line="200"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135"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Attendance at Annual Meetings of Shareholders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p>
      <w:pPr>
        <w:spacing w:after="0" w:line="218" w:lineRule="exact"/>
        <w:rPr>
          <w:sz w:val="20"/>
          <w:szCs w:val="20"/>
          <w:color w:val="auto"/>
        </w:rPr>
      </w:pPr>
    </w:p>
    <w:p>
      <w:pPr>
        <w:jc w:val="both"/>
        <w:ind w:left="920"/>
        <w:spacing w:after="0" w:line="247" w:lineRule="auto"/>
        <w:rPr>
          <w:sz w:val="20"/>
          <w:szCs w:val="20"/>
          <w:color w:val="auto"/>
        </w:rPr>
      </w:pPr>
      <w:r>
        <w:rPr>
          <w:rFonts w:ascii="Arial" w:cs="Arial" w:eastAsia="Arial" w:hAnsi="Arial"/>
          <w:sz w:val="18"/>
          <w:szCs w:val="18"/>
          <w:color w:val="auto"/>
        </w:rPr>
        <w:t>Although we do not have a formal policy regarding attendance by members of the Board at our annual meeting of shareholders, we encourage, but do not require, directors to attend.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All of our directors attended our 2023 annual meeting of shareholders.</w:t>
      </w:r>
    </w:p>
    <w:p>
      <w:pPr>
        <w:spacing w:after="0" w:line="584"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130"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Contacting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p>
      <w:pPr>
        <w:spacing w:after="0" w:line="218"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Shareholders and other interested parties who wish to communicate directly with our lead independent director may do so by sending an email to leadindependentdirector@fabrinet.com.</w:t>
      </w:r>
    </w:p>
    <w:p>
      <w:pPr>
        <w:jc w:val="both"/>
        <w:ind w:left="920"/>
        <w:spacing w:after="0" w:line="242" w:lineRule="auto"/>
        <w:rPr>
          <w:sz w:val="20"/>
          <w:szCs w:val="20"/>
          <w:color w:val="auto"/>
        </w:rPr>
      </w:pPr>
      <w:r>
        <w:rPr>
          <w:rFonts w:ascii="Arial" w:cs="Arial" w:eastAsia="Arial" w:hAnsi="Arial"/>
          <w:sz w:val="18"/>
          <w:szCs w:val="18"/>
          <w:color w:val="auto"/>
        </w:rPr>
        <w:t>Communications received at this email address are automatically routed directly to our lead independent director.</w:t>
      </w:r>
    </w:p>
    <w:p>
      <w:pPr>
        <w:spacing w:after="0" w:line="71" w:lineRule="exact"/>
        <w:rPr>
          <w:sz w:val="20"/>
          <w:szCs w:val="20"/>
          <w:color w:val="auto"/>
        </w:rPr>
      </w:pPr>
    </w:p>
    <w:p>
      <w:pPr>
        <w:jc w:val="both"/>
        <w:ind w:left="920"/>
        <w:spacing w:after="0" w:line="242" w:lineRule="auto"/>
        <w:rPr>
          <w:sz w:val="20"/>
          <w:szCs w:val="20"/>
          <w:color w:val="auto"/>
        </w:rPr>
      </w:pPr>
      <w:r>
        <w:rPr>
          <w:rFonts w:ascii="Arial" w:cs="Arial" w:eastAsia="Arial" w:hAnsi="Arial"/>
          <w:sz w:val="18"/>
          <w:szCs w:val="18"/>
          <w:color w:val="auto"/>
        </w:rPr>
        <w:t>Shareholders and other interested parties who wish to communicate with the Board may do so by sending an email to board@fabrinet.com or a written communication addressed to Fabrinet, c/o Fabrinet USA, Inc., 4900 Patrick Henry Drive, Santa Clara, CA 95054, Attention: Board of Directors.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Our legal counsel reviews all incoming communications from shareholders and other interested parties (except for communications sent directly to the lead independent director, mass mailings, product complaints or inquiries, job inquiries, business solicitations and patently offensive or otherwise inappropriate material) and, as appropriate, routes such communications to the appropriate member(s) of the Board, or if none is specified, to the chairman of the Board.</w:t>
      </w:r>
    </w:p>
    <w:p>
      <w:pPr>
        <w:spacing w:after="0" w:line="916"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25</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38735</wp:posOffset>
            </wp:positionV>
            <wp:extent cx="5829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4"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To further align the interests of our executive officers and members of the Board with those of our shareholders, we first adopted share ownership guidelines for our executive officers and non-employee directors in August 2012. In 2023, the Compensation Committee retained Compensia, Inc., a national compensation consulting firm, to provide independent services to assist the Compensation Committee in evaluating the competitiveness of our share ownership guidelines. As a result of this review and upon the recommendation of the Compensation Committee, the Board amended our share ownership guidelines in August 2023. Under these guidelines, our executive officers are required, and our non-employee directors are expected, to own a number of shares with a minimum value equivalent to the following:</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2120" w:type="dxa"/>
            <w:vAlign w:val="bottom"/>
            <w:shd w:val="clear" w:color="auto" w:fill="819F7C"/>
          </w:tcPr>
          <w:p>
            <w:pPr>
              <w:spacing w:after="0"/>
              <w:rPr>
                <w:sz w:val="22"/>
                <w:szCs w:val="22"/>
                <w:color w:val="auto"/>
              </w:rPr>
            </w:pPr>
          </w:p>
        </w:tc>
        <w:tc>
          <w:tcPr>
            <w:tcW w:w="2300" w:type="dxa"/>
            <w:vAlign w:val="bottom"/>
            <w:shd w:val="clear" w:color="auto" w:fill="819F7C"/>
          </w:tcPr>
          <w:p>
            <w:pPr>
              <w:jc w:val="center"/>
              <w:ind w:left="168"/>
              <w:spacing w:after="0"/>
              <w:rPr>
                <w:sz w:val="20"/>
                <w:szCs w:val="20"/>
                <w:color w:val="auto"/>
              </w:rPr>
            </w:pPr>
            <w:r>
              <w:rPr>
                <w:rFonts w:ascii="Arial" w:cs="Arial" w:eastAsia="Arial" w:hAnsi="Arial"/>
                <w:sz w:val="14"/>
                <w:szCs w:val="14"/>
                <w:b w:val="1"/>
                <w:bCs w:val="1"/>
                <w:color w:val="FFFFFF"/>
              </w:rPr>
              <w:t>Minimum Ownership</w:t>
            </w:r>
          </w:p>
        </w:tc>
      </w:tr>
      <w:tr>
        <w:trPr>
          <w:trHeight w:val="198"/>
        </w:trPr>
        <w:tc>
          <w:tcPr>
            <w:tcW w:w="212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Position</w:t>
            </w:r>
          </w:p>
        </w:tc>
        <w:tc>
          <w:tcPr>
            <w:tcW w:w="2300" w:type="dxa"/>
            <w:vAlign w:val="bottom"/>
            <w:shd w:val="clear" w:color="auto" w:fill="819F7C"/>
          </w:tcPr>
          <w:p>
            <w:pPr>
              <w:jc w:val="center"/>
              <w:ind w:left="168"/>
              <w:spacing w:after="0"/>
              <w:rPr>
                <w:sz w:val="20"/>
                <w:szCs w:val="20"/>
                <w:color w:val="auto"/>
              </w:rPr>
            </w:pPr>
            <w:r>
              <w:rPr>
                <w:rFonts w:ascii="Arial" w:cs="Arial" w:eastAsia="Arial" w:hAnsi="Arial"/>
                <w:sz w:val="14"/>
                <w:szCs w:val="14"/>
                <w:b w:val="1"/>
                <w:bCs w:val="1"/>
                <w:color w:val="FFFFFF"/>
              </w:rPr>
              <w:t>Value</w:t>
            </w:r>
          </w:p>
        </w:tc>
      </w:tr>
      <w:tr>
        <w:trPr>
          <w:trHeight w:val="203"/>
        </w:trPr>
        <w:tc>
          <w:tcPr>
            <w:tcW w:w="2120" w:type="dxa"/>
            <w:vAlign w:val="bottom"/>
            <w:shd w:val="clear" w:color="auto" w:fill="E5E9E3"/>
          </w:tcPr>
          <w:p>
            <w:pPr>
              <w:ind w:left="80"/>
              <w:spacing w:after="0"/>
              <w:rPr>
                <w:sz w:val="20"/>
                <w:szCs w:val="20"/>
                <w:color w:val="auto"/>
              </w:rPr>
            </w:pPr>
            <w:r>
              <w:rPr>
                <w:rFonts w:ascii="Arial" w:cs="Arial" w:eastAsia="Arial" w:hAnsi="Arial"/>
                <w:sz w:val="14"/>
                <w:szCs w:val="14"/>
                <w:color w:val="auto"/>
              </w:rPr>
              <w:t>CEO</w:t>
            </w:r>
          </w:p>
        </w:tc>
        <w:tc>
          <w:tcPr>
            <w:tcW w:w="2300" w:type="dxa"/>
            <w:vAlign w:val="bottom"/>
            <w:shd w:val="clear" w:color="auto" w:fill="E5E9E3"/>
          </w:tcPr>
          <w:p>
            <w:pPr>
              <w:jc w:val="center"/>
              <w:ind w:left="148"/>
              <w:spacing w:after="0"/>
              <w:rPr>
                <w:sz w:val="20"/>
                <w:szCs w:val="20"/>
                <w:color w:val="auto"/>
              </w:rPr>
            </w:pPr>
            <w:r>
              <w:rPr>
                <w:rFonts w:ascii="Arial" w:cs="Arial" w:eastAsia="Arial" w:hAnsi="Arial"/>
                <w:sz w:val="14"/>
                <w:szCs w:val="14"/>
                <w:color w:val="auto"/>
              </w:rPr>
              <w:t>5x annual base salary</w:t>
            </w:r>
          </w:p>
        </w:tc>
      </w:tr>
      <w:tr>
        <w:trPr>
          <w:trHeight w:val="198"/>
        </w:trPr>
        <w:tc>
          <w:tcPr>
            <w:tcW w:w="2120" w:type="dxa"/>
            <w:vAlign w:val="bottom"/>
          </w:tcPr>
          <w:p>
            <w:pPr>
              <w:ind w:left="80"/>
              <w:spacing w:after="0"/>
              <w:rPr>
                <w:sz w:val="20"/>
                <w:szCs w:val="20"/>
                <w:color w:val="auto"/>
              </w:rPr>
            </w:pPr>
            <w:r>
              <w:rPr>
                <w:rFonts w:ascii="Arial" w:cs="Arial" w:eastAsia="Arial" w:hAnsi="Arial"/>
                <w:sz w:val="14"/>
                <w:szCs w:val="14"/>
                <w:color w:val="auto"/>
              </w:rPr>
              <w:t>Other Executive Officers</w:t>
            </w:r>
          </w:p>
        </w:tc>
        <w:tc>
          <w:tcPr>
            <w:tcW w:w="2300" w:type="dxa"/>
            <w:vAlign w:val="bottom"/>
          </w:tcPr>
          <w:p>
            <w:pPr>
              <w:jc w:val="center"/>
              <w:ind w:left="148"/>
              <w:spacing w:after="0"/>
              <w:rPr>
                <w:sz w:val="20"/>
                <w:szCs w:val="20"/>
                <w:color w:val="auto"/>
              </w:rPr>
            </w:pPr>
            <w:r>
              <w:rPr>
                <w:rFonts w:ascii="Arial" w:cs="Arial" w:eastAsia="Arial" w:hAnsi="Arial"/>
                <w:sz w:val="14"/>
                <w:szCs w:val="14"/>
                <w:color w:val="auto"/>
              </w:rPr>
              <w:t>2x annual base salary</w:t>
            </w:r>
          </w:p>
        </w:tc>
      </w:tr>
      <w:tr>
        <w:trPr>
          <w:trHeight w:val="193"/>
        </w:trPr>
        <w:tc>
          <w:tcPr>
            <w:tcW w:w="2120" w:type="dxa"/>
            <w:vAlign w:val="bottom"/>
            <w:shd w:val="clear" w:color="auto" w:fill="E5E9E3"/>
          </w:tcPr>
          <w:p>
            <w:pPr>
              <w:ind w:left="80"/>
              <w:spacing w:after="0"/>
              <w:rPr>
                <w:sz w:val="20"/>
                <w:szCs w:val="20"/>
                <w:color w:val="auto"/>
              </w:rPr>
            </w:pPr>
            <w:r>
              <w:rPr>
                <w:rFonts w:ascii="Arial" w:cs="Arial" w:eastAsia="Arial" w:hAnsi="Arial"/>
                <w:sz w:val="14"/>
                <w:szCs w:val="14"/>
                <w:color w:val="auto"/>
              </w:rPr>
              <w:t>Non-Employee Directors</w:t>
            </w:r>
          </w:p>
        </w:tc>
        <w:tc>
          <w:tcPr>
            <w:tcW w:w="2300" w:type="dxa"/>
            <w:vAlign w:val="bottom"/>
            <w:shd w:val="clear" w:color="auto" w:fill="E5E9E3"/>
          </w:tcPr>
          <w:p>
            <w:pPr>
              <w:jc w:val="center"/>
              <w:ind w:left="168"/>
              <w:spacing w:after="0"/>
              <w:rPr>
                <w:sz w:val="20"/>
                <w:szCs w:val="20"/>
                <w:color w:val="auto"/>
              </w:rPr>
            </w:pPr>
            <w:r>
              <w:rPr>
                <w:rFonts w:ascii="Arial" w:cs="Arial" w:eastAsia="Arial" w:hAnsi="Arial"/>
                <w:sz w:val="14"/>
                <w:szCs w:val="14"/>
                <w:color w:val="auto"/>
              </w:rPr>
              <w:t>4x annual Board retainer</w:t>
            </w:r>
          </w:p>
        </w:tc>
      </w:tr>
    </w:tbl>
    <w:p>
      <w:pPr>
        <w:spacing w:after="0" w:line="89" w:lineRule="exact"/>
        <w:rPr>
          <w:sz w:val="20"/>
          <w:szCs w:val="20"/>
          <w:color w:val="auto"/>
        </w:rPr>
      </w:pPr>
    </w:p>
    <w:p>
      <w:pPr>
        <w:jc w:val="both"/>
        <w:ind w:left="60"/>
        <w:spacing w:after="0"/>
        <w:rPr>
          <w:sz w:val="20"/>
          <w:szCs w:val="20"/>
          <w:color w:val="auto"/>
        </w:rPr>
      </w:pPr>
      <w:r>
        <w:rPr>
          <w:rFonts w:ascii="Arial" w:cs="Arial" w:eastAsia="Arial" w:hAnsi="Arial"/>
          <w:sz w:val="18"/>
          <w:szCs w:val="18"/>
          <w:color w:val="auto"/>
        </w:rPr>
        <w:t>Our executive officers are required, and non-employee directors are expected, to have achieved the applicable amount of share ownership by the later of August 2023 or five years after becoming an executive officer or being appointed to the Board, as applicable, and to maintain such amount of share ownership thereafter throughout their tenure as an executive officer or non-employee director of Fabrinet.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Shares counted towards the minimum ownership levels include all shares directly or beneficially owned by the executive officer or non-employee director and any unvested, non-performance-based restricted share units held by the executive officer or non-employee director.</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satisfy these guidelines, any executive officer or non-employee director who has not reached or who fails to maintain their minimum ownership level must retain at least fifty percent (50%) of any net shares derived from the vesting or exercise of equity awards until their applicable guideline is met. “Net shares” are those shares that remain after shares are sold or netted to pay the exercise price (if any) of equity awards and applicable taxes.</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its discretion, the Compensation Committee may waive these guidelines for non-employee directors joining the Board from government, academia, or similar professions. The Compensation Committee may also temporarily suspend these guidelines if compliance would create severe hardship or prevent an executive officer or non-employee director from complying with a court order.</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As of September 30, 2024, all of our executive officers and non-employee directors either met the applicable ownership threshold or were within the permitted time period to attain the required ownership.</w:t>
      </w:r>
    </w:p>
    <w:p>
      <w:pPr>
        <w:spacing w:after="0" w:line="363"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15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30480</wp:posOffset>
            </wp:positionV>
            <wp:extent cx="5829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p>
      <w:pPr>
        <w:spacing w:after="0" w:line="204"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color w:val="auto"/>
        </w:rPr>
        <w:t>We have adopted an insider trading policy governing the purchase, sale, and/or other disposition of our securities by our directors, officers, employees, and other covered persons. We believe this policy is reasonably designed to promote compliance with insider trading laws, rules, and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regulations, as well as the exchange listing standards applicable to us. A copy of our insider trading policy is filed as an exhibit to our Annual Report on Form 10-K for fiscal 2024.</w:t>
      </w:r>
    </w:p>
    <w:p>
      <w:pPr>
        <w:spacing w:after="0" w:line="6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14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Prohibited Transactions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30480</wp:posOffset>
            </wp:positionV>
            <wp:extent cx="5829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p>
      <w:pPr>
        <w:spacing w:after="0" w:line="204" w:lineRule="exact"/>
        <w:rPr>
          <w:sz w:val="20"/>
          <w:szCs w:val="20"/>
          <w:color w:val="auto"/>
        </w:rPr>
      </w:pPr>
    </w:p>
    <w:p>
      <w:pPr>
        <w:jc w:val="both"/>
        <w:ind w:left="60"/>
        <w:spacing w:after="0" w:line="247" w:lineRule="auto"/>
        <w:rPr>
          <w:sz w:val="20"/>
          <w:szCs w:val="20"/>
          <w:color w:val="auto"/>
        </w:rPr>
      </w:pPr>
      <w:r>
        <w:rPr>
          <w:rFonts w:ascii="Arial" w:cs="Arial" w:eastAsia="Arial" w:hAnsi="Arial"/>
          <w:sz w:val="18"/>
          <w:szCs w:val="18"/>
          <w:color w:val="auto"/>
        </w:rPr>
        <w:t>Our officers, directors, employees and consultants are prohibited from trading in derivative securities with respect to our securities, including put and call options and other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whose value varies with the value of our ordinary shares. This prohibition also extends to short sales.</w:t>
      </w:r>
    </w:p>
    <w:p>
      <w:pPr>
        <w:spacing w:after="0" w:line="397"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30480</wp:posOffset>
            </wp:positionV>
            <wp:extent cx="5829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p>
      <w:pPr>
        <w:spacing w:after="0" w:line="204"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color w:val="auto"/>
        </w:rPr>
        <w:t>During fiscal 2024, Dr. Bahrami, Mr. Kelly and Dr. Levinson served as members of the Compensation Committee. None of the members of the Compensation Committee is or has in the past served as an officer or employee of Fabrinet. None of our executive officers serves as 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member of the board of directors or compensation committee of any entity that has one or more executive officers serving as a member of the Board or Compensation Committee.</w:t>
      </w:r>
    </w:p>
    <w:p>
      <w:pPr>
        <w:spacing w:after="0" w:line="6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88"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26</w:t>
      </w:r>
      <w:r>
        <w:rPr>
          <w:sz w:val="20"/>
          <w:szCs w:val="20"/>
          <w:color w:val="auto"/>
        </w:rPr>
        <w:tab/>
      </w:r>
      <w:r>
        <w:rPr>
          <w:sz w:val="1"/>
          <w:szCs w:val="1"/>
          <w:color w:val="auto"/>
        </w:rPr>
        <w:drawing>
          <wp:inline distT="0" distB="0" distL="0" distR="0">
            <wp:extent cx="342900" cy="774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32" w:name="page33"/>
    <w:bookmarkEnd w:id="32"/>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Process for Recommending Candidates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4" w:lineRule="exact"/>
        <w:rPr>
          <w:sz w:val="20"/>
          <w:szCs w:val="20"/>
          <w:color w:val="auto"/>
        </w:rPr>
      </w:pPr>
    </w:p>
    <w:p>
      <w:pPr>
        <w:jc w:val="both"/>
        <w:ind w:left="920"/>
        <w:spacing w:after="0" w:line="238" w:lineRule="auto"/>
        <w:rPr>
          <w:sz w:val="20"/>
          <w:szCs w:val="20"/>
          <w:color w:val="auto"/>
        </w:rPr>
      </w:pPr>
      <w:r>
        <w:rPr>
          <w:rFonts w:ascii="Arial" w:cs="Arial" w:eastAsia="Arial" w:hAnsi="Arial"/>
          <w:sz w:val="18"/>
          <w:szCs w:val="18"/>
          <w:color w:val="auto"/>
        </w:rPr>
        <w:t>The Nominating &amp; Corporate Governance Committee is responsible for, among other things, determining the criteria for membership to the Board, and recommending candidates for election to the Board. The Nominating &amp; Corporate Governance Committee will consider recommendations from shareholders for candidates to serve on the Board. There are no differences in the manner by which the Nominating &amp; Corporate Governance Committee evaluates nominees for director based on whether the nominee is recommended by a shareholder or a member of the Board.</w:t>
      </w:r>
    </w:p>
    <w:p>
      <w:pPr>
        <w:spacing w:after="0" w:line="173" w:lineRule="exact"/>
        <w:rPr>
          <w:sz w:val="20"/>
          <w:szCs w:val="20"/>
          <w:color w:val="auto"/>
        </w:rPr>
      </w:pPr>
    </w:p>
    <w:p>
      <w:pPr>
        <w:ind w:left="920" w:right="140"/>
        <w:spacing w:after="0" w:line="272" w:lineRule="auto"/>
        <w:rPr>
          <w:sz w:val="20"/>
          <w:szCs w:val="20"/>
          <w:color w:val="auto"/>
        </w:rPr>
      </w:pPr>
      <w:r>
        <w:rPr>
          <w:rFonts w:ascii="Arial" w:cs="Arial" w:eastAsia="Arial" w:hAnsi="Arial"/>
          <w:sz w:val="22"/>
          <w:szCs w:val="22"/>
          <w:b w:val="1"/>
          <w:bCs w:val="1"/>
          <w:color w:val="578255"/>
        </w:rPr>
        <w:t>Shareholder Recommendations for Board Nominees</w:t>
      </w:r>
    </w:p>
    <w:p>
      <w:pPr>
        <w:spacing w:after="0" w:line="30" w:lineRule="exact"/>
        <w:rPr>
          <w:sz w:val="20"/>
          <w:szCs w:val="20"/>
          <w:color w:val="auto"/>
        </w:rPr>
      </w:pPr>
    </w:p>
    <w:p>
      <w:pPr>
        <w:jc w:val="both"/>
        <w:ind w:left="920"/>
        <w:spacing w:after="0" w:line="235" w:lineRule="auto"/>
        <w:rPr>
          <w:sz w:val="20"/>
          <w:szCs w:val="20"/>
          <w:color w:val="auto"/>
        </w:rPr>
      </w:pPr>
      <w:r>
        <w:rPr>
          <w:rFonts w:ascii="Arial" w:cs="Arial" w:eastAsia="Arial" w:hAnsi="Arial"/>
          <w:sz w:val="18"/>
          <w:szCs w:val="18"/>
          <w:color w:val="auto"/>
        </w:rPr>
        <w:t>Shareholder recommendations for candidates to the Board must be directed in writing to our Corporate Secretary, c/o Fabrinet USA, Inc., 4900 Patrick Henry Drive, Santa Clara, CA 95054, and must include (1) the candidate’s name, age, business address and residence address, (2) the candidate’s principal occupation or employment, (3) the class and number of shares that are held of record or beneficially owned by the candidate and any derivative positions held or beneficially held by the candidate, (4) whether and the extent to which any hedging or other transaction or series of transactions has been entered into by or on behalf of the candidate with respect to any of our securities, and a description of any other agreement, arrangement or understanding (including any short position or any borrowing or lending of our shares), the effect or intent of which is to mitigate loss to, or to manage the risk or benefit of share price changes for, or to increase or decrease the voting power of the candidate, (5) a description of all arrangements or understandings between the nominating shareholder and each candidate and any other person or persons pursuant to which the nominations are to be made by the nominating shareholder, (6) a written statement executed by the candidate acknowledging that as a director, the candidate will owe a fiduciary duty under Cayman Islands law with respect to Fabrinet and its shareholders, and (7) any other information relating to the candidate that would be required to be disclosed about such candidate if proxies were being solicited for the election of the candidate as a director, or that is otherwise required, in each case pursuant to Regulation 14A under the Exchange Act (including, without limitation, the candidate’s written consent to being named in the proxy statement, if any, as a nominee and to serving as a director if elected).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Shareholder recommendations for candidates to the Board must also contain specified information about the shareholder proposing such nomination. For more information, please refer to our memorandum and articles of association, which may be obtained by writing to our Corporate Secretary, c/o Fabrinet USA, Inc., 4900 Patrick Henry Drive, Santa Clara, CA 95054, or by accessing Fabrinet’s filings on the SEC’s website at www.sec.gov.</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578255"/>
        </w:rPr>
        <w:t>Director Qualifications</w:t>
      </w:r>
    </w:p>
    <w:p>
      <w:pPr>
        <w:spacing w:after="0" w:line="108" w:lineRule="exact"/>
        <w:rPr>
          <w:sz w:val="20"/>
          <w:szCs w:val="20"/>
          <w:color w:val="auto"/>
        </w:rPr>
      </w:pPr>
    </w:p>
    <w:p>
      <w:pPr>
        <w:jc w:val="both"/>
        <w:ind w:right="920"/>
        <w:spacing w:after="0" w:line="236" w:lineRule="auto"/>
        <w:rPr>
          <w:sz w:val="20"/>
          <w:szCs w:val="20"/>
          <w:color w:val="auto"/>
        </w:rPr>
      </w:pPr>
      <w:r>
        <w:rPr>
          <w:rFonts w:ascii="Arial" w:cs="Arial" w:eastAsia="Arial" w:hAnsi="Arial"/>
          <w:sz w:val="18"/>
          <w:szCs w:val="18"/>
          <w:color w:val="auto"/>
        </w:rPr>
        <w:t>The Nominating &amp; Corporate Governance Committee will evaluate and recommend candidates for membership on the Board consistent with any criteria established by the committee. The consideration of any candidate for director will be based on the committee’s assessment of the individual’s background, experience, skills and abilities, and if such characteristics qualify the individual to fulfill the needs of the Board at that time. While the Nominating &amp; Corporate Governance Committee has not established specific minimum qualifications or a formal diversity policy for director candidates, the committee believes that candidates and nominees should reflect a board of directors that is predominately independent and that is comprised of directors who (1) are of high integrity, (2) have broad, business-related knowledge and experience, (3) have qualifications that will increase overall board effectiveness, (4) have diverse backgrounds and perspectives, and (5) meet other requirements as may be required by applicable rules, such as financial literacy or financial expertise with respect to Audit Committee members.</w:t>
      </w:r>
    </w:p>
    <w:p>
      <w:pPr>
        <w:spacing w:after="0" w:line="184" w:lineRule="exact"/>
        <w:rPr>
          <w:sz w:val="20"/>
          <w:szCs w:val="20"/>
          <w:color w:val="auto"/>
        </w:rPr>
      </w:pPr>
    </w:p>
    <w:p>
      <w:pPr>
        <w:jc w:val="both"/>
        <w:ind w:right="940"/>
        <w:spacing w:after="0" w:line="272" w:lineRule="auto"/>
        <w:rPr>
          <w:sz w:val="20"/>
          <w:szCs w:val="20"/>
          <w:color w:val="auto"/>
        </w:rPr>
      </w:pPr>
      <w:r>
        <w:rPr>
          <w:rFonts w:ascii="Arial" w:cs="Arial" w:eastAsia="Arial" w:hAnsi="Arial"/>
          <w:sz w:val="22"/>
          <w:szCs w:val="22"/>
          <w:b w:val="1"/>
          <w:bCs w:val="1"/>
          <w:color w:val="578255"/>
        </w:rPr>
        <w:t>Identification and Evaluation of Director Nominees</w:t>
      </w:r>
    </w:p>
    <w:p>
      <w:pPr>
        <w:spacing w:after="0" w:line="30"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The Nominating &amp; Corporate Governance Committee uses a variety of methods for identifying and evaluating director nominees. The committee assesses the appropriate size and composition of the Board, the needs of the Board and its committees and the qualifications of candidates in light of these needs.</w:t>
      </w:r>
    </w:p>
    <w:p>
      <w:pPr>
        <w:spacing w:after="0" w:line="71"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Candidates may come to the attention of the Nominating &amp; Corporate Governance Committee through shareholders, management, current members of the Board or search firms. The evaluation of these candidates may be based solely upon information provided to the committee or may also include discussions with persons familiar with the candidate, an interview of the candidate or other actions the committee deems appropriate, including the use of third parties to review candidates.</w:t>
      </w:r>
    </w:p>
    <w:p>
      <w:pPr>
        <w:spacing w:after="0" w:line="200"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27</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33" w:name="page34"/>
    <w:bookmarkEnd w:id="33"/>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6" w:right="140"/>
        <w:spacing w:after="0" w:line="298" w:lineRule="auto"/>
        <w:rPr>
          <w:sz w:val="20"/>
          <w:szCs w:val="20"/>
          <w:color w:val="auto"/>
        </w:rPr>
      </w:pPr>
      <w:r>
        <w:rPr>
          <w:rFonts w:ascii="Arial" w:cs="Arial" w:eastAsia="Arial" w:hAnsi="Arial"/>
          <w:sz w:val="39"/>
          <w:szCs w:val="39"/>
          <w:b w:val="1"/>
          <w:bCs w:val="1"/>
          <w:color w:val="578255"/>
        </w:rPr>
        <w:t>ENVIRONMENTAL, SOCIAL AND GOVERNANCE (ESG) PRACTICES AND POLICIES</w:t>
      </w:r>
    </w:p>
    <w:p>
      <w:pPr>
        <w:spacing w:after="0" w:line="151"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204" w:lineRule="exact"/>
        <w:rPr>
          <w:sz w:val="20"/>
          <w:szCs w:val="20"/>
          <w:color w:val="auto"/>
        </w:rPr>
      </w:pPr>
    </w:p>
    <w:p>
      <w:pPr>
        <w:jc w:val="both"/>
        <w:ind w:left="6"/>
        <w:spacing w:after="0" w:line="239" w:lineRule="auto"/>
        <w:rPr>
          <w:sz w:val="20"/>
          <w:szCs w:val="20"/>
          <w:color w:val="auto"/>
        </w:rPr>
      </w:pPr>
      <w:r>
        <w:rPr>
          <w:rFonts w:ascii="Arial" w:cs="Arial" w:eastAsia="Arial" w:hAnsi="Arial"/>
          <w:sz w:val="18"/>
          <w:szCs w:val="18"/>
          <w:color w:val="auto"/>
        </w:rPr>
        <w:t>Fabrinet is committed to being a good corporate citizen in the communities in which we work and live. We maintain the highest ethical, safety, and environmental standards, and encourage our employees to assist us in meeting these standards. Because good corporate citizenship is essential to our success, we are committed to operating with integrity, contributing to the local communities surrounding our facilities, promoting diversity and inclusion in the workplace, developing our employees, and protecting the environment.</w:t>
      </w:r>
    </w:p>
    <w:p>
      <w:pPr>
        <w:spacing w:after="0" w:line="72"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The Board, including through its committees, oversees our environmental, social and governance (“</w:t>
      </w:r>
      <w:r>
        <w:rPr>
          <w:rFonts w:ascii="Arial" w:cs="Arial" w:eastAsia="Arial" w:hAnsi="Arial"/>
          <w:sz w:val="18"/>
          <w:szCs w:val="18"/>
          <w:b w:val="1"/>
          <w:bCs w:val="1"/>
          <w:color w:val="auto"/>
        </w:rPr>
        <w:t>ESG</w:t>
      </w:r>
      <w:r>
        <w:rPr>
          <w:rFonts w:ascii="Arial" w:cs="Arial" w:eastAsia="Arial" w:hAnsi="Arial"/>
          <w:sz w:val="18"/>
          <w:szCs w:val="18"/>
          <w:color w:val="auto"/>
        </w:rPr>
        <w:t>”) efforts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and believes an integrated approach to our business strategy, corporate governance, and corporate citizenship creates long-term value for our stakeholders.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January 2024, we published our 2023 Sustainability Report, detailing our ESG practices and policies described below. The contents of our 2023 Sustainability Report are referenced for general information only and are not incorporated by reference in this proxy statement.</w:t>
      </w:r>
    </w:p>
    <w:p>
      <w:pPr>
        <w:spacing w:after="0" w:line="817" w:lineRule="exact"/>
        <w:rPr>
          <w:sz w:val="20"/>
          <w:szCs w:val="20"/>
          <w:color w:val="auto"/>
        </w:rPr>
      </w:pPr>
    </w:p>
    <w:p>
      <w:pPr>
        <w:sectPr>
          <w:pgSz w:w="11900" w:h="16838" w:orient="portrait"/>
          <w:cols w:equalWidth="0" w:num="2">
            <w:col w:w="4426" w:space="320"/>
            <w:col w:w="4440"/>
          </w:cols>
          <w:pgMar w:left="1354" w:top="114" w:right="1359" w:bottom="1440" w:gutter="0" w:footer="0" w:header="0"/>
          <w:type w:val="continuous"/>
        </w:sectPr>
      </w:pPr>
    </w:p>
    <w:p>
      <w:pPr>
        <w:spacing w:after="0" w:line="139"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auto"/>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p>
      <w:pPr>
        <w:spacing w:after="0" w:line="204"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We are committed to the deployment of sustainable manufacturing and continuous improvement throughout our operations. We conduct our business and manage our operations globally in a manner that protects the environment and meets or exceeds all applicable environmental laws, legislation and regulations. In particular:</w:t>
      </w:r>
    </w:p>
    <w:p>
      <w:pPr>
        <w:spacing w:after="0" w:line="77" w:lineRule="exact"/>
        <w:rPr>
          <w:sz w:val="20"/>
          <w:szCs w:val="20"/>
          <w:color w:val="auto"/>
        </w:rPr>
      </w:pPr>
    </w:p>
    <w:p>
      <w:pPr>
        <w:jc w:val="both"/>
        <w:ind w:left="166" w:hanging="166"/>
        <w:spacing w:after="0" w:line="244" w:lineRule="auto"/>
        <w:tabs>
          <w:tab w:leader="none" w:pos="166" w:val="left"/>
        </w:tabs>
        <w:numPr>
          <w:ilvl w:val="0"/>
          <w:numId w:val="54"/>
        </w:numPr>
        <w:rPr>
          <w:rFonts w:ascii="Arial" w:cs="Arial" w:eastAsia="Arial" w:hAnsi="Arial"/>
          <w:sz w:val="18"/>
          <w:szCs w:val="18"/>
          <w:color w:val="578255"/>
        </w:rPr>
      </w:pPr>
      <w:r>
        <w:rPr>
          <w:rFonts w:ascii="Arial" w:cs="Arial" w:eastAsia="Arial" w:hAnsi="Arial"/>
          <w:sz w:val="18"/>
          <w:szCs w:val="18"/>
          <w:color w:val="auto"/>
        </w:rPr>
        <w:t>we maintain an Environment, Occupational Health and Safety (EHS) management system that is certified to both ISO 14001 for environmental management and ISO 45001 for occupational health and safety management;</w:t>
      </w:r>
    </w:p>
    <w:p>
      <w:pPr>
        <w:spacing w:after="0" w:line="68" w:lineRule="exact"/>
        <w:rPr>
          <w:rFonts w:ascii="Arial" w:cs="Arial" w:eastAsia="Arial" w:hAnsi="Arial"/>
          <w:sz w:val="18"/>
          <w:szCs w:val="18"/>
          <w:color w:val="578255"/>
        </w:rPr>
      </w:pPr>
    </w:p>
    <w:p>
      <w:pPr>
        <w:jc w:val="both"/>
        <w:ind w:left="166" w:hanging="166"/>
        <w:spacing w:after="0" w:line="244" w:lineRule="auto"/>
        <w:tabs>
          <w:tab w:leader="none" w:pos="166" w:val="left"/>
        </w:tabs>
        <w:numPr>
          <w:ilvl w:val="0"/>
          <w:numId w:val="54"/>
        </w:numPr>
        <w:rPr>
          <w:rFonts w:ascii="Arial" w:cs="Arial" w:eastAsia="Arial" w:hAnsi="Arial"/>
          <w:sz w:val="18"/>
          <w:szCs w:val="18"/>
          <w:color w:val="578255"/>
        </w:rPr>
      </w:pPr>
      <w:r>
        <w:rPr>
          <w:rFonts w:ascii="Arial" w:cs="Arial" w:eastAsia="Arial" w:hAnsi="Arial"/>
          <w:sz w:val="18"/>
          <w:szCs w:val="18"/>
          <w:color w:val="auto"/>
        </w:rPr>
        <w:t>our operations and products are compliant with European Union regulations, such as RoHS and REACH, prohibiting the use of certain chemicals unless authorized by the government or relevant agency;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left="174" w:hanging="174"/>
        <w:spacing w:after="0" w:line="247" w:lineRule="auto"/>
        <w:tabs>
          <w:tab w:leader="none" w:pos="174" w:val="left"/>
        </w:tabs>
        <w:numPr>
          <w:ilvl w:val="0"/>
          <w:numId w:val="55"/>
        </w:numPr>
        <w:rPr>
          <w:rFonts w:ascii="Arial" w:cs="Arial" w:eastAsia="Arial" w:hAnsi="Arial"/>
          <w:sz w:val="18"/>
          <w:szCs w:val="18"/>
          <w:color w:val="578255"/>
        </w:rPr>
      </w:pPr>
      <w:r>
        <w:rPr>
          <w:rFonts w:ascii="Arial" w:cs="Arial" w:eastAsia="Arial" w:hAnsi="Arial"/>
          <w:sz w:val="18"/>
          <w:szCs w:val="18"/>
          <w:color w:val="auto"/>
        </w:rPr>
        <w:t>we embed sustainability into our culture and reinforce a sustainability mindset among employees through trainings, workshops, competitions, and events throughout the year; and</w:t>
      </w:r>
    </w:p>
    <w:p>
      <w:pPr>
        <w:spacing w:after="0" w:line="65" w:lineRule="exact"/>
        <w:rPr>
          <w:rFonts w:ascii="Arial" w:cs="Arial" w:eastAsia="Arial" w:hAnsi="Arial"/>
          <w:sz w:val="18"/>
          <w:szCs w:val="18"/>
          <w:color w:val="578255"/>
        </w:rPr>
      </w:pPr>
    </w:p>
    <w:p>
      <w:pPr>
        <w:ind w:left="174" w:right="20" w:hanging="174"/>
        <w:spacing w:after="0" w:line="255" w:lineRule="auto"/>
        <w:tabs>
          <w:tab w:leader="none" w:pos="174" w:val="left"/>
        </w:tabs>
        <w:numPr>
          <w:ilvl w:val="0"/>
          <w:numId w:val="55"/>
        </w:numPr>
        <w:rPr>
          <w:rFonts w:ascii="Arial" w:cs="Arial" w:eastAsia="Arial" w:hAnsi="Arial"/>
          <w:sz w:val="18"/>
          <w:szCs w:val="18"/>
          <w:color w:val="578255"/>
        </w:rPr>
      </w:pPr>
      <w:r>
        <w:rPr>
          <w:rFonts w:ascii="Arial" w:cs="Arial" w:eastAsia="Arial" w:hAnsi="Arial"/>
          <w:sz w:val="18"/>
          <w:szCs w:val="18"/>
          <w:color w:val="auto"/>
        </w:rPr>
        <w:t>we have the following environmental protection programs:</w:t>
      </w:r>
    </w:p>
    <w:p>
      <w:pPr>
        <w:spacing w:after="0" w:line="1" w:lineRule="exact"/>
        <w:rPr>
          <w:rFonts w:ascii="Arial" w:cs="Arial" w:eastAsia="Arial" w:hAnsi="Arial"/>
          <w:sz w:val="18"/>
          <w:szCs w:val="18"/>
          <w:color w:val="578255"/>
        </w:rPr>
      </w:pPr>
    </w:p>
    <w:p>
      <w:pPr>
        <w:ind w:left="354" w:hanging="174"/>
        <w:spacing w:after="0" w:line="180" w:lineRule="auto"/>
        <w:tabs>
          <w:tab w:leader="none" w:pos="354" w:val="left"/>
        </w:tabs>
        <w:numPr>
          <w:ilvl w:val="1"/>
          <w:numId w:val="55"/>
        </w:numPr>
        <w:rPr>
          <w:rFonts w:ascii="Arial" w:cs="Arial" w:eastAsia="Arial" w:hAnsi="Arial"/>
          <w:sz w:val="36"/>
          <w:szCs w:val="36"/>
          <w:color w:val="578255"/>
          <w:vertAlign w:val="subscript"/>
        </w:rPr>
      </w:pPr>
      <w:r>
        <w:rPr>
          <w:rFonts w:ascii="Arial" w:cs="Arial" w:eastAsia="Arial" w:hAnsi="Arial"/>
          <w:sz w:val="16"/>
          <w:szCs w:val="16"/>
          <w:color w:val="auto"/>
        </w:rPr>
        <w:t>energy conservation;</w:t>
      </w:r>
    </w:p>
    <w:p>
      <w:pPr>
        <w:spacing w:after="0" w:line="91" w:lineRule="exact"/>
        <w:rPr>
          <w:rFonts w:ascii="Arial" w:cs="Arial" w:eastAsia="Arial" w:hAnsi="Arial"/>
          <w:sz w:val="36"/>
          <w:szCs w:val="36"/>
          <w:color w:val="578255"/>
          <w:vertAlign w:val="subscript"/>
        </w:rPr>
      </w:pPr>
    </w:p>
    <w:p>
      <w:pPr>
        <w:ind w:left="354" w:hanging="174"/>
        <w:spacing w:after="0" w:line="180" w:lineRule="auto"/>
        <w:tabs>
          <w:tab w:leader="none" w:pos="354" w:val="left"/>
        </w:tabs>
        <w:numPr>
          <w:ilvl w:val="1"/>
          <w:numId w:val="55"/>
        </w:numPr>
        <w:rPr>
          <w:rFonts w:ascii="Arial" w:cs="Arial" w:eastAsia="Arial" w:hAnsi="Arial"/>
          <w:sz w:val="30"/>
          <w:szCs w:val="30"/>
          <w:color w:val="578255"/>
          <w:vertAlign w:val="subscript"/>
        </w:rPr>
      </w:pPr>
      <w:r>
        <w:rPr>
          <w:rFonts w:ascii="Arial" w:cs="Arial" w:eastAsia="Arial" w:hAnsi="Arial"/>
          <w:sz w:val="14"/>
          <w:szCs w:val="14"/>
          <w:color w:val="auto"/>
        </w:rPr>
        <w:t>water conservation &amp; recycling;</w:t>
      </w:r>
    </w:p>
    <w:p>
      <w:pPr>
        <w:spacing w:after="0" w:line="92" w:lineRule="exact"/>
        <w:rPr>
          <w:rFonts w:ascii="Arial" w:cs="Arial" w:eastAsia="Arial" w:hAnsi="Arial"/>
          <w:sz w:val="30"/>
          <w:szCs w:val="30"/>
          <w:color w:val="578255"/>
          <w:vertAlign w:val="subscript"/>
        </w:rPr>
      </w:pPr>
    </w:p>
    <w:p>
      <w:pPr>
        <w:ind w:left="354" w:hanging="174"/>
        <w:spacing w:after="0" w:line="180" w:lineRule="auto"/>
        <w:tabs>
          <w:tab w:leader="none" w:pos="354" w:val="left"/>
        </w:tabs>
        <w:numPr>
          <w:ilvl w:val="1"/>
          <w:numId w:val="55"/>
        </w:numPr>
        <w:rPr>
          <w:rFonts w:ascii="Arial" w:cs="Arial" w:eastAsia="Arial" w:hAnsi="Arial"/>
          <w:sz w:val="30"/>
          <w:szCs w:val="30"/>
          <w:color w:val="578255"/>
          <w:vertAlign w:val="subscript"/>
        </w:rPr>
      </w:pPr>
      <w:r>
        <w:rPr>
          <w:rFonts w:ascii="Arial" w:cs="Arial" w:eastAsia="Arial" w:hAnsi="Arial"/>
          <w:sz w:val="14"/>
          <w:szCs w:val="14"/>
          <w:color w:val="auto"/>
        </w:rPr>
        <w:t>hazardous waste reduction &amp; safety;</w:t>
      </w:r>
    </w:p>
    <w:p>
      <w:pPr>
        <w:spacing w:after="0" w:line="92" w:lineRule="exact"/>
        <w:rPr>
          <w:rFonts w:ascii="Arial" w:cs="Arial" w:eastAsia="Arial" w:hAnsi="Arial"/>
          <w:sz w:val="30"/>
          <w:szCs w:val="30"/>
          <w:color w:val="578255"/>
          <w:vertAlign w:val="subscript"/>
        </w:rPr>
      </w:pPr>
    </w:p>
    <w:p>
      <w:pPr>
        <w:ind w:left="354" w:hanging="174"/>
        <w:spacing w:after="0" w:line="180" w:lineRule="auto"/>
        <w:tabs>
          <w:tab w:leader="none" w:pos="354" w:val="left"/>
        </w:tabs>
        <w:numPr>
          <w:ilvl w:val="1"/>
          <w:numId w:val="55"/>
        </w:numPr>
        <w:rPr>
          <w:rFonts w:ascii="Arial" w:cs="Arial" w:eastAsia="Arial" w:hAnsi="Arial"/>
          <w:sz w:val="30"/>
          <w:szCs w:val="30"/>
          <w:color w:val="578255"/>
          <w:vertAlign w:val="subscript"/>
        </w:rPr>
      </w:pPr>
      <w:r>
        <w:rPr>
          <w:rFonts w:ascii="Arial" w:cs="Arial" w:eastAsia="Arial" w:hAnsi="Arial"/>
          <w:sz w:val="14"/>
          <w:szCs w:val="14"/>
          <w:color w:val="auto"/>
        </w:rPr>
        <w:t>paper use reduction &amp; recycling; and</w:t>
      </w:r>
    </w:p>
    <w:p>
      <w:pPr>
        <w:spacing w:after="0" w:line="92" w:lineRule="exact"/>
        <w:rPr>
          <w:rFonts w:ascii="Arial" w:cs="Arial" w:eastAsia="Arial" w:hAnsi="Arial"/>
          <w:sz w:val="30"/>
          <w:szCs w:val="30"/>
          <w:color w:val="578255"/>
          <w:vertAlign w:val="subscript"/>
        </w:rPr>
      </w:pPr>
    </w:p>
    <w:p>
      <w:pPr>
        <w:ind w:left="354" w:hanging="174"/>
        <w:spacing w:after="0" w:line="180" w:lineRule="auto"/>
        <w:tabs>
          <w:tab w:leader="none" w:pos="354" w:val="left"/>
        </w:tabs>
        <w:numPr>
          <w:ilvl w:val="1"/>
          <w:numId w:val="55"/>
        </w:numPr>
        <w:rPr>
          <w:rFonts w:ascii="Arial" w:cs="Arial" w:eastAsia="Arial" w:hAnsi="Arial"/>
          <w:sz w:val="30"/>
          <w:szCs w:val="30"/>
          <w:color w:val="578255"/>
          <w:vertAlign w:val="subscript"/>
        </w:rPr>
      </w:pPr>
      <w:r>
        <w:rPr>
          <w:rFonts w:ascii="Arial" w:cs="Arial" w:eastAsia="Arial" w:hAnsi="Arial"/>
          <w:sz w:val="14"/>
          <w:szCs w:val="14"/>
          <w:color w:val="auto"/>
        </w:rPr>
        <w:t>carbon emission reduction.</w:t>
      </w:r>
    </w:p>
    <w:p>
      <w:pPr>
        <w:spacing w:after="0" w:line="825" w:lineRule="exact"/>
        <w:rPr>
          <w:sz w:val="20"/>
          <w:szCs w:val="20"/>
          <w:color w:val="auto"/>
        </w:rPr>
      </w:pPr>
    </w:p>
    <w:p>
      <w:pPr>
        <w:sectPr>
          <w:pgSz w:w="11900" w:h="16838" w:orient="portrait"/>
          <w:cols w:equalWidth="0" w:num="2">
            <w:col w:w="4426" w:space="326"/>
            <w:col w:w="4434"/>
          </w:cols>
          <w:pgMar w:left="1354" w:top="114" w:right="1359" w:bottom="1440" w:gutter="0" w:footer="0" w:header="0"/>
          <w:type w:val="continuous"/>
        </w:sectPr>
      </w:pPr>
    </w:p>
    <w:p>
      <w:pPr>
        <w:spacing w:after="0" w:line="85" w:lineRule="exact"/>
        <w:rPr>
          <w:sz w:val="20"/>
          <w:szCs w:val="20"/>
          <w:color w:val="auto"/>
        </w:rPr>
      </w:pPr>
    </w:p>
    <w:p>
      <w:pPr>
        <w:ind w:left="6"/>
        <w:spacing w:after="0"/>
        <w:tabs>
          <w:tab w:leader="none" w:pos="6676" w:val="left"/>
        </w:tabs>
        <w:rPr>
          <w:sz w:val="20"/>
          <w:szCs w:val="20"/>
          <w:color w:val="auto"/>
        </w:rPr>
      </w:pPr>
      <w:r>
        <w:rPr>
          <w:rFonts w:ascii="Arial" w:cs="Arial" w:eastAsia="Arial" w:hAnsi="Arial"/>
          <w:sz w:val="13"/>
          <w:szCs w:val="13"/>
          <w:color w:val="auto"/>
        </w:rPr>
        <w:t>28</w:t>
      </w:r>
      <w:r>
        <w:rPr>
          <w:sz w:val="20"/>
          <w:szCs w:val="20"/>
          <w:color w:val="auto"/>
        </w:rPr>
        <w:tab/>
      </w:r>
      <w:r>
        <w:rPr>
          <w:sz w:val="1"/>
          <w:szCs w:val="1"/>
          <w:color w:val="auto"/>
        </w:rPr>
        <w:drawing>
          <wp:inline distT="0" distB="0" distL="0" distR="0">
            <wp:extent cx="342900" cy="7683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156210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34" w:name="page35"/>
    <w:bookmarkEnd w:id="34"/>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ENVIRONMENTAL, SOCIAL AND GOVERNANCE (ESG)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4" w:lineRule="exact"/>
        <w:rPr>
          <w:sz w:val="20"/>
          <w:szCs w:val="20"/>
          <w:color w:val="auto"/>
        </w:rPr>
      </w:pPr>
    </w:p>
    <w:p>
      <w:pPr>
        <w:jc w:val="both"/>
        <w:ind w:left="920"/>
        <w:spacing w:after="0" w:line="244" w:lineRule="auto"/>
        <w:rPr>
          <w:sz w:val="20"/>
          <w:szCs w:val="20"/>
          <w:color w:val="auto"/>
        </w:rPr>
      </w:pPr>
      <w:r>
        <w:rPr>
          <w:rFonts w:ascii="Arial" w:cs="Arial" w:eastAsia="Arial" w:hAnsi="Arial"/>
          <w:sz w:val="18"/>
          <w:szCs w:val="18"/>
          <w:color w:val="auto"/>
        </w:rPr>
        <w:t>We are a global company with strong ties to the local communities in which we operate. We value the overall well-being of our employees and promote the vitality of community and culture by working to build an inclusive and welcoming workplace.</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Employee Welfare Initiatives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the following practices and policies:</w:t>
      </w:r>
    </w:p>
    <w:p>
      <w:pPr>
        <w:spacing w:after="0" w:line="104" w:lineRule="exact"/>
        <w:rPr>
          <w:sz w:val="20"/>
          <w:szCs w:val="20"/>
          <w:color w:val="auto"/>
        </w:rPr>
      </w:pPr>
    </w:p>
    <w:p>
      <w:pPr>
        <w:jc w:val="both"/>
        <w:ind w:left="1080" w:hanging="166"/>
        <w:spacing w:after="0" w:line="247" w:lineRule="auto"/>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company culture that promotes the highest standards of ethics and compliance for our business, including a Code of Business Conduct with principles to guide our employee, officer, and director conduct;</w:t>
      </w:r>
    </w:p>
    <w:p>
      <w:pPr>
        <w:spacing w:after="0" w:line="65" w:lineRule="exact"/>
        <w:rPr>
          <w:rFonts w:ascii="Arial" w:cs="Arial" w:eastAsia="Arial" w:hAnsi="Arial"/>
          <w:sz w:val="18"/>
          <w:szCs w:val="18"/>
          <w:color w:val="578255"/>
        </w:rPr>
      </w:pPr>
    </w:p>
    <w:p>
      <w:pPr>
        <w:jc w:val="both"/>
        <w:ind w:left="1080" w:hanging="166"/>
        <w:spacing w:after="0" w:line="253" w:lineRule="auto"/>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employee career guidance and counseling (with established employee development and training opportunities);</w:t>
      </w:r>
    </w:p>
    <w:p>
      <w:pPr>
        <w:spacing w:after="0" w:line="60" w:lineRule="exact"/>
        <w:rPr>
          <w:rFonts w:ascii="Arial" w:cs="Arial" w:eastAsia="Arial" w:hAnsi="Arial"/>
          <w:sz w:val="18"/>
          <w:szCs w:val="18"/>
          <w:color w:val="578255"/>
        </w:rPr>
      </w:pPr>
    </w:p>
    <w:p>
      <w:pPr>
        <w:ind w:left="1080" w:hanging="166"/>
        <w:spacing w:after="0" w:line="271" w:lineRule="auto"/>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equal employment opportunity hiring practices and policies;</w:t>
      </w:r>
    </w:p>
    <w:p>
      <w:pPr>
        <w:spacing w:after="0" w:line="45" w:lineRule="exact"/>
        <w:rPr>
          <w:rFonts w:ascii="Arial" w:cs="Arial" w:eastAsia="Arial" w:hAnsi="Arial"/>
          <w:sz w:val="18"/>
          <w:szCs w:val="18"/>
          <w:color w:val="578255"/>
        </w:rPr>
      </w:pPr>
    </w:p>
    <w:p>
      <w:pPr>
        <w:jc w:val="both"/>
        <w:ind w:left="1080" w:hanging="166"/>
        <w:spacing w:after="0" w:line="244" w:lineRule="auto"/>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anti-harassment policy that prohibits sexual harassment in any form, details how to report and respond to harassment issues, and strictly prohibits retaliation against any employee for reporting harassment;</w:t>
      </w:r>
    </w:p>
    <w:p>
      <w:pPr>
        <w:spacing w:after="0" w:line="68" w:lineRule="exact"/>
        <w:rPr>
          <w:rFonts w:ascii="Arial" w:cs="Arial" w:eastAsia="Arial" w:hAnsi="Arial"/>
          <w:sz w:val="18"/>
          <w:szCs w:val="18"/>
          <w:color w:val="578255"/>
        </w:rPr>
      </w:pPr>
    </w:p>
    <w:p>
      <w:pPr>
        <w:jc w:val="both"/>
        <w:ind w:left="1080" w:hanging="166"/>
        <w:spacing w:after="0" w:line="247" w:lineRule="auto"/>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a diversity, equity and inclusion policy expressing our commitment to promoting an inclusive and diverse work environment, and the need to treat others at all times with dignity and respect;</w:t>
      </w:r>
    </w:p>
    <w:p>
      <w:pPr>
        <w:spacing w:after="0" w:line="65" w:lineRule="exact"/>
        <w:rPr>
          <w:rFonts w:ascii="Arial" w:cs="Arial" w:eastAsia="Arial" w:hAnsi="Arial"/>
          <w:sz w:val="18"/>
          <w:szCs w:val="18"/>
          <w:color w:val="578255"/>
        </w:rPr>
      </w:pPr>
    </w:p>
    <w:p>
      <w:pPr>
        <w:ind w:left="1080" w:hanging="166"/>
        <w:spacing w:after="0" w:line="271" w:lineRule="auto"/>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whistleblower hotline operated by an independent third party for confidential reporting;</w:t>
      </w:r>
    </w:p>
    <w:p>
      <w:pPr>
        <w:spacing w:after="0" w:line="45" w:lineRule="exact"/>
        <w:rPr>
          <w:rFonts w:ascii="Arial" w:cs="Arial" w:eastAsia="Arial" w:hAnsi="Arial"/>
          <w:sz w:val="18"/>
          <w:szCs w:val="18"/>
          <w:color w:val="578255"/>
        </w:rPr>
      </w:pPr>
    </w:p>
    <w:p>
      <w:pPr>
        <w:ind w:left="1080" w:hanging="166"/>
        <w:spacing w:after="0"/>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market competitive compensation and benefits;</w:t>
      </w:r>
    </w:p>
    <w:p>
      <w:pPr>
        <w:spacing w:after="0" w:line="103" w:lineRule="exact"/>
        <w:rPr>
          <w:rFonts w:ascii="Arial" w:cs="Arial" w:eastAsia="Arial" w:hAnsi="Arial"/>
          <w:sz w:val="18"/>
          <w:szCs w:val="18"/>
          <w:color w:val="578255"/>
        </w:rPr>
      </w:pPr>
    </w:p>
    <w:p>
      <w:pPr>
        <w:ind w:left="1080" w:hanging="166"/>
        <w:spacing w:after="0"/>
        <w:tabs>
          <w:tab w:leader="none" w:pos="1080" w:val="left"/>
        </w:tabs>
        <w:numPr>
          <w:ilvl w:val="0"/>
          <w:numId w:val="56"/>
        </w:numPr>
        <w:rPr>
          <w:rFonts w:ascii="Arial" w:cs="Arial" w:eastAsia="Arial" w:hAnsi="Arial"/>
          <w:sz w:val="18"/>
          <w:szCs w:val="18"/>
          <w:color w:val="578255"/>
        </w:rPr>
      </w:pPr>
      <w:r>
        <w:rPr>
          <w:rFonts w:ascii="Arial" w:cs="Arial" w:eastAsia="Arial" w:hAnsi="Arial"/>
          <w:sz w:val="18"/>
          <w:szCs w:val="18"/>
          <w:color w:val="auto"/>
        </w:rPr>
        <w:t>prohibition of child labor;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left="180" w:right="920" w:hanging="174"/>
        <w:spacing w:after="0" w:line="253" w:lineRule="auto"/>
        <w:tabs>
          <w:tab w:leader="none" w:pos="180" w:val="left"/>
        </w:tabs>
        <w:numPr>
          <w:ilvl w:val="0"/>
          <w:numId w:val="57"/>
        </w:numPr>
        <w:rPr>
          <w:rFonts w:ascii="Arial" w:cs="Arial" w:eastAsia="Arial" w:hAnsi="Arial"/>
          <w:sz w:val="18"/>
          <w:szCs w:val="18"/>
          <w:color w:val="578255"/>
        </w:rPr>
      </w:pPr>
      <w:r>
        <w:rPr>
          <w:rFonts w:ascii="Arial" w:cs="Arial" w:eastAsia="Arial" w:hAnsi="Arial"/>
          <w:sz w:val="18"/>
          <w:szCs w:val="18"/>
          <w:color w:val="auto"/>
        </w:rPr>
        <w:t>Fabrinet Academy (our in-house education and training program for managerial, professional, and technical skills development);</w:t>
      </w:r>
    </w:p>
    <w:p>
      <w:pPr>
        <w:spacing w:after="0" w:line="60" w:lineRule="exact"/>
        <w:rPr>
          <w:rFonts w:ascii="Arial" w:cs="Arial" w:eastAsia="Arial" w:hAnsi="Arial"/>
          <w:sz w:val="18"/>
          <w:szCs w:val="18"/>
          <w:color w:val="578255"/>
        </w:rPr>
      </w:pPr>
    </w:p>
    <w:p>
      <w:pPr>
        <w:ind w:left="180" w:hanging="174"/>
        <w:spacing w:after="0"/>
        <w:tabs>
          <w:tab w:leader="none" w:pos="180" w:val="left"/>
        </w:tabs>
        <w:numPr>
          <w:ilvl w:val="0"/>
          <w:numId w:val="57"/>
        </w:numPr>
        <w:rPr>
          <w:rFonts w:ascii="Arial" w:cs="Arial" w:eastAsia="Arial" w:hAnsi="Arial"/>
          <w:sz w:val="18"/>
          <w:szCs w:val="18"/>
          <w:color w:val="578255"/>
        </w:rPr>
      </w:pPr>
      <w:r>
        <w:rPr>
          <w:rFonts w:ascii="Arial" w:cs="Arial" w:eastAsia="Arial" w:hAnsi="Arial"/>
          <w:sz w:val="18"/>
          <w:szCs w:val="18"/>
          <w:color w:val="auto"/>
        </w:rPr>
        <w:t>employee tuition reimbursement plan;</w:t>
      </w:r>
    </w:p>
    <w:p>
      <w:pPr>
        <w:spacing w:after="0" w:line="103" w:lineRule="exact"/>
        <w:rPr>
          <w:rFonts w:ascii="Arial" w:cs="Arial" w:eastAsia="Arial" w:hAnsi="Arial"/>
          <w:sz w:val="18"/>
          <w:szCs w:val="18"/>
          <w:color w:val="578255"/>
        </w:rPr>
      </w:pPr>
    </w:p>
    <w:p>
      <w:pPr>
        <w:ind w:left="180" w:hanging="174"/>
        <w:spacing w:after="0"/>
        <w:tabs>
          <w:tab w:leader="none" w:pos="180" w:val="left"/>
        </w:tabs>
        <w:numPr>
          <w:ilvl w:val="0"/>
          <w:numId w:val="57"/>
        </w:numPr>
        <w:rPr>
          <w:rFonts w:ascii="Arial" w:cs="Arial" w:eastAsia="Arial" w:hAnsi="Arial"/>
          <w:sz w:val="18"/>
          <w:szCs w:val="18"/>
          <w:color w:val="578255"/>
        </w:rPr>
      </w:pPr>
      <w:r>
        <w:rPr>
          <w:rFonts w:ascii="Arial" w:cs="Arial" w:eastAsia="Arial" w:hAnsi="Arial"/>
          <w:sz w:val="18"/>
          <w:szCs w:val="18"/>
          <w:color w:val="auto"/>
        </w:rPr>
        <w:t>discretionary and profit-sharing bonus plans;</w:t>
      </w:r>
    </w:p>
    <w:p>
      <w:pPr>
        <w:spacing w:after="0" w:line="103" w:lineRule="exact"/>
        <w:rPr>
          <w:rFonts w:ascii="Arial" w:cs="Arial" w:eastAsia="Arial" w:hAnsi="Arial"/>
          <w:sz w:val="18"/>
          <w:szCs w:val="18"/>
          <w:color w:val="578255"/>
        </w:rPr>
      </w:pPr>
    </w:p>
    <w:p>
      <w:pPr>
        <w:ind w:left="180" w:hanging="174"/>
        <w:spacing w:after="0"/>
        <w:tabs>
          <w:tab w:leader="none" w:pos="180" w:val="left"/>
        </w:tabs>
        <w:numPr>
          <w:ilvl w:val="0"/>
          <w:numId w:val="57"/>
        </w:numPr>
        <w:rPr>
          <w:rFonts w:ascii="Arial" w:cs="Arial" w:eastAsia="Arial" w:hAnsi="Arial"/>
          <w:sz w:val="18"/>
          <w:szCs w:val="18"/>
          <w:color w:val="578255"/>
        </w:rPr>
      </w:pPr>
      <w:r>
        <w:rPr>
          <w:rFonts w:ascii="Arial" w:cs="Arial" w:eastAsia="Arial" w:hAnsi="Arial"/>
          <w:sz w:val="18"/>
          <w:szCs w:val="18"/>
          <w:color w:val="auto"/>
        </w:rPr>
        <w:t>employee fitness center;</w:t>
      </w:r>
    </w:p>
    <w:p>
      <w:pPr>
        <w:spacing w:after="0" w:line="103" w:lineRule="exact"/>
        <w:rPr>
          <w:rFonts w:ascii="Arial" w:cs="Arial" w:eastAsia="Arial" w:hAnsi="Arial"/>
          <w:sz w:val="18"/>
          <w:szCs w:val="18"/>
          <w:color w:val="578255"/>
        </w:rPr>
      </w:pPr>
    </w:p>
    <w:p>
      <w:pPr>
        <w:jc w:val="both"/>
        <w:ind w:left="180" w:right="920" w:hanging="174"/>
        <w:spacing w:after="0" w:line="247" w:lineRule="auto"/>
        <w:tabs>
          <w:tab w:leader="none" w:pos="180" w:val="left"/>
        </w:tabs>
        <w:numPr>
          <w:ilvl w:val="0"/>
          <w:numId w:val="57"/>
        </w:numPr>
        <w:rPr>
          <w:rFonts w:ascii="Arial" w:cs="Arial" w:eastAsia="Arial" w:hAnsi="Arial"/>
          <w:sz w:val="18"/>
          <w:szCs w:val="18"/>
          <w:color w:val="578255"/>
        </w:rPr>
      </w:pPr>
      <w:r>
        <w:rPr>
          <w:rFonts w:ascii="Arial" w:cs="Arial" w:eastAsia="Arial" w:hAnsi="Arial"/>
          <w:sz w:val="18"/>
          <w:szCs w:val="18"/>
          <w:color w:val="auto"/>
        </w:rPr>
        <w:t>“Happy Workplace” program, modeled after the World Health Organization’s Healthy Workplaces framework and the International Labor Organization’s Decent Work Agenda; and</w:t>
      </w:r>
    </w:p>
    <w:p>
      <w:pPr>
        <w:spacing w:after="0" w:line="65" w:lineRule="exact"/>
        <w:rPr>
          <w:rFonts w:ascii="Arial" w:cs="Arial" w:eastAsia="Arial" w:hAnsi="Arial"/>
          <w:sz w:val="18"/>
          <w:szCs w:val="18"/>
          <w:color w:val="578255"/>
        </w:rPr>
      </w:pPr>
    </w:p>
    <w:p>
      <w:pPr>
        <w:ind w:left="180" w:hanging="174"/>
        <w:spacing w:after="0"/>
        <w:tabs>
          <w:tab w:leader="none" w:pos="180" w:val="left"/>
        </w:tabs>
        <w:numPr>
          <w:ilvl w:val="0"/>
          <w:numId w:val="57"/>
        </w:numPr>
        <w:rPr>
          <w:rFonts w:ascii="Arial" w:cs="Arial" w:eastAsia="Arial" w:hAnsi="Arial"/>
          <w:sz w:val="18"/>
          <w:szCs w:val="18"/>
          <w:color w:val="578255"/>
        </w:rPr>
      </w:pPr>
      <w:r>
        <w:rPr>
          <w:rFonts w:ascii="Arial" w:cs="Arial" w:eastAsia="Arial" w:hAnsi="Arial"/>
          <w:sz w:val="18"/>
          <w:szCs w:val="18"/>
          <w:color w:val="auto"/>
        </w:rPr>
        <w:t>employee motherhood and parenting training.</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578255"/>
        </w:rPr>
        <w:t>Local Community Initiatives</w:t>
      </w:r>
    </w:p>
    <w:p>
      <w:pPr>
        <w:spacing w:after="0" w:line="121"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We support our local communities in the following ways:</w:t>
      </w:r>
    </w:p>
    <w:p>
      <w:pPr>
        <w:spacing w:after="0" w:line="46" w:lineRule="exact"/>
        <w:rPr>
          <w:sz w:val="20"/>
          <w:szCs w:val="20"/>
          <w:color w:val="auto"/>
        </w:rPr>
      </w:pPr>
    </w:p>
    <w:p>
      <w:pPr>
        <w:jc w:val="both"/>
        <w:ind w:left="180" w:right="920" w:hanging="174"/>
        <w:spacing w:after="0" w:line="253" w:lineRule="auto"/>
        <w:tabs>
          <w:tab w:leader="none" w:pos="180" w:val="left"/>
        </w:tabs>
        <w:numPr>
          <w:ilvl w:val="0"/>
          <w:numId w:val="58"/>
        </w:numPr>
        <w:rPr>
          <w:rFonts w:ascii="Arial" w:cs="Arial" w:eastAsia="Arial" w:hAnsi="Arial"/>
          <w:sz w:val="18"/>
          <w:szCs w:val="18"/>
          <w:color w:val="578255"/>
        </w:rPr>
      </w:pPr>
      <w:r>
        <w:rPr>
          <w:rFonts w:ascii="Arial" w:cs="Arial" w:eastAsia="Arial" w:hAnsi="Arial"/>
          <w:sz w:val="18"/>
          <w:szCs w:val="18"/>
          <w:color w:val="auto"/>
        </w:rPr>
        <w:t>“Maharaj” Orphanage benefactor (annual financial and administrative support, and employee volunteers); and</w:t>
      </w:r>
    </w:p>
    <w:p>
      <w:pPr>
        <w:spacing w:after="0" w:line="60" w:lineRule="exact"/>
        <w:rPr>
          <w:rFonts w:ascii="Arial" w:cs="Arial" w:eastAsia="Arial" w:hAnsi="Arial"/>
          <w:sz w:val="18"/>
          <w:szCs w:val="18"/>
          <w:color w:val="578255"/>
        </w:rPr>
      </w:pPr>
    </w:p>
    <w:p>
      <w:pPr>
        <w:ind w:left="180" w:right="940" w:hanging="174"/>
        <w:spacing w:after="0" w:line="271" w:lineRule="auto"/>
        <w:tabs>
          <w:tab w:leader="none" w:pos="180" w:val="left"/>
        </w:tabs>
        <w:numPr>
          <w:ilvl w:val="0"/>
          <w:numId w:val="58"/>
        </w:numPr>
        <w:rPr>
          <w:rFonts w:ascii="Arial" w:cs="Arial" w:eastAsia="Arial" w:hAnsi="Arial"/>
          <w:sz w:val="18"/>
          <w:szCs w:val="18"/>
          <w:color w:val="578255"/>
        </w:rPr>
      </w:pPr>
      <w:r>
        <w:rPr>
          <w:rFonts w:ascii="Arial" w:cs="Arial" w:eastAsia="Arial" w:hAnsi="Arial"/>
          <w:sz w:val="18"/>
          <w:szCs w:val="18"/>
          <w:color w:val="auto"/>
        </w:rPr>
        <w:t>free elderly health checks for local community residents (Thailand).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578255"/>
        </w:rPr>
        <w:t>Workplace Safety</w:t>
      </w:r>
    </w:p>
    <w:p>
      <w:pPr>
        <w:spacing w:after="0" w:line="108"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We demonstrate our commitment to workplace safety with the following policies and practices:</w:t>
      </w:r>
    </w:p>
    <w:p>
      <w:pPr>
        <w:spacing w:after="0" w:line="46" w:lineRule="exact"/>
        <w:rPr>
          <w:sz w:val="20"/>
          <w:szCs w:val="20"/>
          <w:color w:val="auto"/>
        </w:rPr>
      </w:pPr>
    </w:p>
    <w:p>
      <w:pPr>
        <w:ind w:left="180" w:right="940" w:hanging="174"/>
        <w:spacing w:after="0" w:line="271" w:lineRule="auto"/>
        <w:tabs>
          <w:tab w:leader="none" w:pos="180" w:val="left"/>
        </w:tabs>
        <w:numPr>
          <w:ilvl w:val="0"/>
          <w:numId w:val="59"/>
        </w:numPr>
        <w:rPr>
          <w:rFonts w:ascii="Arial" w:cs="Arial" w:eastAsia="Arial" w:hAnsi="Arial"/>
          <w:sz w:val="18"/>
          <w:szCs w:val="18"/>
          <w:color w:val="578255"/>
        </w:rPr>
      </w:pPr>
      <w:r>
        <w:rPr>
          <w:rFonts w:ascii="Arial" w:cs="Arial" w:eastAsia="Arial" w:hAnsi="Arial"/>
          <w:sz w:val="18"/>
          <w:szCs w:val="18"/>
          <w:color w:val="auto"/>
        </w:rPr>
        <w:t>compliance with the local labor laws and standards in all countries in which we operate; and</w:t>
      </w:r>
    </w:p>
    <w:p>
      <w:pPr>
        <w:spacing w:after="0" w:line="45" w:lineRule="exact"/>
        <w:rPr>
          <w:rFonts w:ascii="Arial" w:cs="Arial" w:eastAsia="Arial" w:hAnsi="Arial"/>
          <w:sz w:val="18"/>
          <w:szCs w:val="18"/>
          <w:color w:val="578255"/>
        </w:rPr>
      </w:pPr>
    </w:p>
    <w:p>
      <w:pPr>
        <w:ind w:left="180" w:right="940" w:hanging="174"/>
        <w:spacing w:after="0" w:line="271" w:lineRule="auto"/>
        <w:tabs>
          <w:tab w:leader="none" w:pos="180" w:val="left"/>
        </w:tabs>
        <w:numPr>
          <w:ilvl w:val="0"/>
          <w:numId w:val="59"/>
        </w:numPr>
        <w:rPr>
          <w:rFonts w:ascii="Arial" w:cs="Arial" w:eastAsia="Arial" w:hAnsi="Arial"/>
          <w:sz w:val="18"/>
          <w:szCs w:val="18"/>
          <w:color w:val="578255"/>
        </w:rPr>
      </w:pPr>
      <w:r>
        <w:rPr>
          <w:rFonts w:ascii="Arial" w:cs="Arial" w:eastAsia="Arial" w:hAnsi="Arial"/>
          <w:sz w:val="18"/>
          <w:szCs w:val="18"/>
          <w:color w:val="auto"/>
        </w:rPr>
        <w:t>compliance with the local workplace safety laws and regulations in all countries in which we operate.</w:t>
      </w:r>
    </w:p>
    <w:p>
      <w:pPr>
        <w:spacing w:after="0" w:line="236"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29</w:t>
            </w:r>
          </w:p>
        </w:tc>
      </w:tr>
      <w:tr>
        <w:trPr>
          <w:trHeight w:val="237"/>
        </w:trPr>
        <w:tc>
          <w:tcPr>
            <w:tcW w:w="66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-247650</wp:posOffset>
            </wp:positionV>
            <wp:extent cx="342900"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ENVIRONMENTAL, SOCIAL AND GOVERNANCE (ESG)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38735</wp:posOffset>
            </wp:positionV>
            <wp:extent cx="5829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4" w:lineRule="exact"/>
        <w:rPr>
          <w:sz w:val="20"/>
          <w:szCs w:val="20"/>
          <w:color w:val="auto"/>
        </w:rPr>
      </w:pPr>
    </w:p>
    <w:p>
      <w:pPr>
        <w:ind w:left="60"/>
        <w:spacing w:after="0" w:line="271" w:lineRule="auto"/>
        <w:rPr>
          <w:sz w:val="20"/>
          <w:szCs w:val="20"/>
          <w:color w:val="auto"/>
        </w:rPr>
      </w:pPr>
      <w:r>
        <w:rPr>
          <w:rFonts w:ascii="Arial" w:cs="Arial" w:eastAsia="Arial" w:hAnsi="Arial"/>
          <w:sz w:val="18"/>
          <w:szCs w:val="18"/>
          <w:color w:val="auto"/>
        </w:rPr>
        <w:t>We are committed to good corporate governance, including the following: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Shareholder Engagement Initiatives</w:t>
      </w:r>
    </w:p>
    <w:p>
      <w:pPr>
        <w:spacing w:after="0" w:line="108" w:lineRule="exact"/>
        <w:rPr>
          <w:sz w:val="20"/>
          <w:szCs w:val="20"/>
          <w:color w:val="auto"/>
        </w:rPr>
      </w:pPr>
    </w:p>
    <w:p>
      <w:pPr>
        <w:ind w:left="220" w:hanging="166"/>
        <w:spacing w:after="0" w:line="271" w:lineRule="auto"/>
        <w:tabs>
          <w:tab w:leader="none" w:pos="220" w:val="left"/>
        </w:tabs>
        <w:numPr>
          <w:ilvl w:val="0"/>
          <w:numId w:val="60"/>
        </w:numPr>
        <w:rPr>
          <w:rFonts w:ascii="Arial" w:cs="Arial" w:eastAsia="Arial" w:hAnsi="Arial"/>
          <w:sz w:val="18"/>
          <w:szCs w:val="18"/>
          <w:color w:val="578255"/>
        </w:rPr>
      </w:pPr>
      <w:r>
        <w:rPr>
          <w:rFonts w:ascii="Arial" w:cs="Arial" w:eastAsia="Arial" w:hAnsi="Arial"/>
          <w:sz w:val="18"/>
          <w:szCs w:val="18"/>
          <w:color w:val="auto"/>
        </w:rPr>
        <w:t>we consult with experts on the best compensation and governance practices;</w:t>
      </w:r>
    </w:p>
    <w:p>
      <w:pPr>
        <w:spacing w:after="0" w:line="45" w:lineRule="exact"/>
        <w:rPr>
          <w:rFonts w:ascii="Arial" w:cs="Arial" w:eastAsia="Arial" w:hAnsi="Arial"/>
          <w:sz w:val="18"/>
          <w:szCs w:val="18"/>
          <w:color w:val="578255"/>
        </w:rPr>
      </w:pPr>
    </w:p>
    <w:p>
      <w:pPr>
        <w:ind w:left="220" w:hanging="166"/>
        <w:spacing w:after="0" w:line="271" w:lineRule="auto"/>
        <w:tabs>
          <w:tab w:leader="none" w:pos="220" w:val="left"/>
        </w:tabs>
        <w:numPr>
          <w:ilvl w:val="0"/>
          <w:numId w:val="60"/>
        </w:numPr>
        <w:rPr>
          <w:rFonts w:ascii="Arial" w:cs="Arial" w:eastAsia="Arial" w:hAnsi="Arial"/>
          <w:sz w:val="18"/>
          <w:szCs w:val="18"/>
          <w:color w:val="578255"/>
        </w:rPr>
      </w:pPr>
      <w:r>
        <w:rPr>
          <w:rFonts w:ascii="Arial" w:cs="Arial" w:eastAsia="Arial" w:hAnsi="Arial"/>
          <w:sz w:val="18"/>
          <w:szCs w:val="18"/>
          <w:color w:val="auto"/>
        </w:rPr>
        <w:t>we regularly attend and participate in investor roadshows and conferences; and</w:t>
      </w:r>
    </w:p>
    <w:p>
      <w:pPr>
        <w:spacing w:after="0" w:line="45" w:lineRule="exact"/>
        <w:rPr>
          <w:rFonts w:ascii="Arial" w:cs="Arial" w:eastAsia="Arial" w:hAnsi="Arial"/>
          <w:sz w:val="18"/>
          <w:szCs w:val="18"/>
          <w:color w:val="578255"/>
        </w:rPr>
      </w:pPr>
    </w:p>
    <w:p>
      <w:pPr>
        <w:jc w:val="both"/>
        <w:ind w:left="220" w:hanging="166"/>
        <w:spacing w:after="0"/>
        <w:tabs>
          <w:tab w:leader="none" w:pos="220" w:val="left"/>
        </w:tabs>
        <w:numPr>
          <w:ilvl w:val="0"/>
          <w:numId w:val="60"/>
        </w:numPr>
        <w:rPr>
          <w:rFonts w:ascii="Arial" w:cs="Arial" w:eastAsia="Arial" w:hAnsi="Arial"/>
          <w:sz w:val="18"/>
          <w:szCs w:val="18"/>
          <w:color w:val="578255"/>
        </w:rPr>
      </w:pPr>
      <w:r>
        <w:rPr>
          <w:rFonts w:ascii="Arial" w:cs="Arial" w:eastAsia="Arial" w:hAnsi="Arial"/>
          <w:sz w:val="18"/>
          <w:szCs w:val="18"/>
          <w:color w:val="auto"/>
        </w:rPr>
        <w:t>we reach out annually to our 25 largest shareholders, in advance of our annual shareholders’ meeting, and invite them to provide feedback on our executive compensation and corporate governance practices by participating in conference calls with Chairs of the Compensation, Audit, and Nominating &amp; Corporate Governance Committees.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578255"/>
        </w:rPr>
        <w:t>Business Practices</w:t>
      </w:r>
    </w:p>
    <w:p>
      <w:pPr>
        <w:spacing w:after="0" w:line="108" w:lineRule="exact"/>
        <w:rPr>
          <w:sz w:val="20"/>
          <w:szCs w:val="20"/>
          <w:color w:val="auto"/>
        </w:rPr>
      </w:pPr>
    </w:p>
    <w:p>
      <w:pPr>
        <w:ind w:left="180" w:hanging="174"/>
        <w:spacing w:after="0"/>
        <w:tabs>
          <w:tab w:leader="none" w:pos="180" w:val="left"/>
        </w:tabs>
        <w:numPr>
          <w:ilvl w:val="0"/>
          <w:numId w:val="61"/>
        </w:numPr>
        <w:rPr>
          <w:rFonts w:ascii="Arial" w:cs="Arial" w:eastAsia="Arial" w:hAnsi="Arial"/>
          <w:sz w:val="18"/>
          <w:szCs w:val="18"/>
          <w:color w:val="578255"/>
        </w:rPr>
      </w:pPr>
      <w:r>
        <w:rPr>
          <w:rFonts w:ascii="Arial" w:cs="Arial" w:eastAsia="Arial" w:hAnsi="Arial"/>
          <w:sz w:val="18"/>
          <w:szCs w:val="18"/>
          <w:color w:val="auto"/>
        </w:rPr>
        <w:t>we have and enforce our Code of Business Conduct;</w:t>
      </w:r>
    </w:p>
    <w:p>
      <w:pPr>
        <w:spacing w:after="0" w:line="103" w:lineRule="exact"/>
        <w:rPr>
          <w:rFonts w:ascii="Arial" w:cs="Arial" w:eastAsia="Arial" w:hAnsi="Arial"/>
          <w:sz w:val="18"/>
          <w:szCs w:val="18"/>
          <w:color w:val="578255"/>
        </w:rPr>
      </w:pPr>
    </w:p>
    <w:p>
      <w:pPr>
        <w:jc w:val="both"/>
        <w:ind w:left="180" w:right="20" w:hanging="174"/>
        <w:spacing w:after="0" w:line="253" w:lineRule="auto"/>
        <w:tabs>
          <w:tab w:leader="none" w:pos="180" w:val="left"/>
        </w:tabs>
        <w:numPr>
          <w:ilvl w:val="0"/>
          <w:numId w:val="61"/>
        </w:numPr>
        <w:rPr>
          <w:rFonts w:ascii="Arial" w:cs="Arial" w:eastAsia="Arial" w:hAnsi="Arial"/>
          <w:sz w:val="18"/>
          <w:szCs w:val="18"/>
          <w:color w:val="578255"/>
        </w:rPr>
      </w:pPr>
      <w:r>
        <w:rPr>
          <w:rFonts w:ascii="Arial" w:cs="Arial" w:eastAsia="Arial" w:hAnsi="Arial"/>
          <w:sz w:val="18"/>
          <w:szCs w:val="18"/>
          <w:color w:val="auto"/>
        </w:rPr>
        <w:t>we require our suppliers to agree to conduct their business practices in accordance with our Supplier Code of Conduct;</w:t>
      </w:r>
    </w:p>
    <w:p>
      <w:pPr>
        <w:spacing w:after="0" w:line="60" w:lineRule="exact"/>
        <w:rPr>
          <w:rFonts w:ascii="Arial" w:cs="Arial" w:eastAsia="Arial" w:hAnsi="Arial"/>
          <w:sz w:val="18"/>
          <w:szCs w:val="18"/>
          <w:color w:val="578255"/>
        </w:rPr>
      </w:pPr>
    </w:p>
    <w:p>
      <w:pPr>
        <w:ind w:left="180" w:right="20" w:hanging="174"/>
        <w:spacing w:after="0" w:line="271" w:lineRule="auto"/>
        <w:tabs>
          <w:tab w:leader="none" w:pos="180" w:val="left"/>
        </w:tabs>
        <w:numPr>
          <w:ilvl w:val="0"/>
          <w:numId w:val="61"/>
        </w:numPr>
        <w:rPr>
          <w:rFonts w:ascii="Arial" w:cs="Arial" w:eastAsia="Arial" w:hAnsi="Arial"/>
          <w:sz w:val="18"/>
          <w:szCs w:val="18"/>
          <w:color w:val="578255"/>
        </w:rPr>
      </w:pPr>
      <w:r>
        <w:rPr>
          <w:rFonts w:ascii="Arial" w:cs="Arial" w:eastAsia="Arial" w:hAnsi="Arial"/>
          <w:sz w:val="18"/>
          <w:szCs w:val="18"/>
          <w:color w:val="auto"/>
        </w:rPr>
        <w:t>we are a member of the Responsible Business Alliance and adhere to its code of conduct; and</w:t>
      </w:r>
    </w:p>
    <w:p>
      <w:pPr>
        <w:spacing w:after="0" w:line="45" w:lineRule="exact"/>
        <w:rPr>
          <w:rFonts w:ascii="Arial" w:cs="Arial" w:eastAsia="Arial" w:hAnsi="Arial"/>
          <w:sz w:val="18"/>
          <w:szCs w:val="18"/>
          <w:color w:val="578255"/>
        </w:rPr>
      </w:pPr>
    </w:p>
    <w:p>
      <w:pPr>
        <w:jc w:val="both"/>
        <w:ind w:left="180" w:hanging="174"/>
        <w:spacing w:after="0" w:line="253" w:lineRule="auto"/>
        <w:tabs>
          <w:tab w:leader="none" w:pos="180" w:val="left"/>
        </w:tabs>
        <w:numPr>
          <w:ilvl w:val="0"/>
          <w:numId w:val="61"/>
        </w:numPr>
        <w:rPr>
          <w:rFonts w:ascii="Arial" w:cs="Arial" w:eastAsia="Arial" w:hAnsi="Arial"/>
          <w:sz w:val="18"/>
          <w:szCs w:val="18"/>
          <w:color w:val="578255"/>
        </w:rPr>
      </w:pPr>
      <w:r>
        <w:rPr>
          <w:rFonts w:ascii="Arial" w:cs="Arial" w:eastAsia="Arial" w:hAnsi="Arial"/>
          <w:sz w:val="18"/>
          <w:szCs w:val="18"/>
          <w:color w:val="auto"/>
        </w:rPr>
        <w:t>we have a conflict minerals sourcing policy that supports our efforts to enable a socially and environmentally responsible global supply chain.</w:t>
      </w:r>
    </w:p>
    <w:p>
      <w:pPr>
        <w:spacing w:after="0" w:line="1075"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93"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30</w:t>
      </w:r>
      <w:r>
        <w:rPr>
          <w:sz w:val="20"/>
          <w:szCs w:val="20"/>
          <w:color w:val="auto"/>
        </w:rPr>
        <w:tab/>
      </w:r>
      <w:r>
        <w:rPr>
          <w:sz w:val="1"/>
          <w:szCs w:val="1"/>
          <w:color w:val="auto"/>
        </w:rPr>
        <w:drawing>
          <wp:inline distT="0" distB="0" distL="0" distR="0">
            <wp:extent cx="342900" cy="7683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158115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36" w:name="page37"/>
    <w:bookmarkEnd w:id="3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right="940"/>
        <w:spacing w:after="0" w:line="262" w:lineRule="auto"/>
        <w:rPr>
          <w:sz w:val="20"/>
          <w:szCs w:val="20"/>
          <w:color w:val="auto"/>
        </w:rPr>
      </w:pPr>
      <w:r>
        <w:rPr>
          <w:rFonts w:ascii="Arial" w:cs="Arial" w:eastAsia="Arial" w:hAnsi="Arial"/>
          <w:sz w:val="40"/>
          <w:szCs w:val="40"/>
          <w:b w:val="1"/>
          <w:bCs w:val="1"/>
          <w:color w:val="578255"/>
        </w:rPr>
        <w:t>PROPOSAL TWO: RATIFICATION OF APPOINTMENT OF INDEPENDENT REGISTERED PUBLIC ACCOUNTING FIRM</w:t>
      </w:r>
    </w:p>
    <w:p>
      <w:pPr>
        <w:spacing w:after="0" w:line="231"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0" w:lineRule="exact"/>
        <w:rPr>
          <w:sz w:val="20"/>
          <w:szCs w:val="20"/>
          <w:color w:val="auto"/>
        </w:rPr>
      </w:pPr>
    </w:p>
    <w:p>
      <w:pPr>
        <w:jc w:val="both"/>
        <w:ind w:left="920" w:right="920"/>
        <w:spacing w:after="0" w:line="255" w:lineRule="auto"/>
        <w:rPr>
          <w:sz w:val="20"/>
          <w:szCs w:val="20"/>
          <w:color w:val="auto"/>
        </w:rPr>
      </w:pPr>
      <w:r>
        <w:rPr>
          <w:rFonts w:ascii="Arial" w:cs="Arial" w:eastAsia="Arial" w:hAnsi="Arial"/>
          <w:sz w:val="17"/>
          <w:szCs w:val="17"/>
          <w:color w:val="auto"/>
        </w:rPr>
        <w:t>The Audit Committee has appointed PricewaterhouseCoopers ABAS Ltd. and its network firm (“</w:t>
      </w:r>
      <w:r>
        <w:rPr>
          <w:rFonts w:ascii="Arial" w:cs="Arial" w:eastAsia="Arial" w:hAnsi="Arial"/>
          <w:sz w:val="17"/>
          <w:szCs w:val="17"/>
          <w:b w:val="1"/>
          <w:bCs w:val="1"/>
          <w:color w:val="auto"/>
        </w:rPr>
        <w:t>PwC</w:t>
      </w:r>
      <w:r>
        <w:rPr>
          <w:rFonts w:ascii="Arial" w:cs="Arial" w:eastAsia="Arial" w:hAnsi="Arial"/>
          <w:sz w:val="17"/>
          <w:szCs w:val="17"/>
          <w:color w:val="auto"/>
        </w:rPr>
        <w:t>”) as our independent registered public accounting firm for our fiscal year ending June 27, 2025. Although ratification by shareholders is not required by any applicable legal requirements, the Board has determined it is desirable to request ratification of this appointment by our shareholders. Notwithstanding its selection, the Audit Committee, in its discretion, may appoint a new independent registered public accounting firm at any time during the fiscal year if the Audit Committee believes that such a change would be in the best interests of Fabrinet and its shareholders. If our shareholders do not ratify the appointment of PwC, the Audit Committee may reconsider the appointment.</w:t>
      </w:r>
    </w:p>
    <w:p>
      <w:pPr>
        <w:spacing w:after="0" w:line="74" w:lineRule="exact"/>
        <w:rPr>
          <w:sz w:val="20"/>
          <w:szCs w:val="20"/>
          <w:color w:val="auto"/>
        </w:rPr>
      </w:pPr>
    </w:p>
    <w:p>
      <w:pPr>
        <w:jc w:val="both"/>
        <w:ind w:left="920" w:right="920"/>
        <w:spacing w:after="0" w:line="286" w:lineRule="auto"/>
        <w:rPr>
          <w:sz w:val="20"/>
          <w:szCs w:val="20"/>
          <w:color w:val="auto"/>
        </w:rPr>
      </w:pPr>
      <w:r>
        <w:rPr>
          <w:rFonts w:ascii="Arial" w:cs="Arial" w:eastAsia="Arial" w:hAnsi="Arial"/>
          <w:sz w:val="17"/>
          <w:szCs w:val="17"/>
          <w:color w:val="auto"/>
        </w:rPr>
        <w:t>A representative of PwC is expected to be present at the meeting, will have the opportunity to make a statement if he or she desires to do so, and is expected to be available to respond to appropriate questions.</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30480</wp:posOffset>
            </wp:positionV>
            <wp:extent cx="58293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37" w:lineRule="exact"/>
        <w:rPr>
          <w:sz w:val="20"/>
          <w:szCs w:val="20"/>
          <w:color w:val="auto"/>
        </w:rPr>
      </w:pPr>
    </w:p>
    <w:p>
      <w:pPr>
        <w:jc w:val="both"/>
        <w:ind w:left="920" w:right="940"/>
        <w:spacing w:after="0" w:line="289" w:lineRule="auto"/>
        <w:rPr>
          <w:sz w:val="20"/>
          <w:szCs w:val="20"/>
          <w:color w:val="auto"/>
        </w:rPr>
      </w:pPr>
      <w:r>
        <w:rPr>
          <w:rFonts w:ascii="Arial" w:cs="Arial" w:eastAsia="Arial" w:hAnsi="Arial"/>
          <w:sz w:val="17"/>
          <w:szCs w:val="17"/>
          <w:color w:val="auto"/>
        </w:rPr>
        <w:t>The Board recommends a vote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PwC as Fabrinet’s independent registered public accounting firm for Fabrinet’s fiscal year ending June 27, 2025.</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Accounting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2" w:lineRule="exact"/>
        <w:rPr>
          <w:sz w:val="20"/>
          <w:szCs w:val="20"/>
          <w:color w:val="auto"/>
        </w:rPr>
      </w:pPr>
    </w:p>
    <w:p>
      <w:pPr>
        <w:jc w:val="both"/>
        <w:ind w:left="920" w:right="920"/>
        <w:spacing w:after="0" w:line="286" w:lineRule="auto"/>
        <w:rPr>
          <w:sz w:val="20"/>
          <w:szCs w:val="20"/>
          <w:color w:val="auto"/>
        </w:rPr>
      </w:pPr>
      <w:r>
        <w:rPr>
          <w:rFonts w:ascii="Arial" w:cs="Arial" w:eastAsia="Arial" w:hAnsi="Arial"/>
          <w:sz w:val="17"/>
          <w:szCs w:val="17"/>
          <w:color w:val="auto"/>
        </w:rPr>
        <w:t>The following table presents fees paid or accrued by Fabrinet for audit and other services rendered by PwC for fiscal 2024 and fiscal 2023.</w:t>
      </w:r>
    </w:p>
    <w:p>
      <w:pPr>
        <w:spacing w:after="0" w:line="85" w:lineRule="exact"/>
        <w:rPr>
          <w:sz w:val="20"/>
          <w:szCs w:val="20"/>
          <w:color w:val="auto"/>
        </w:rPr>
      </w:pPr>
    </w:p>
    <w:tbl>
      <w:tblPr>
        <w:tblLayout w:type="fixed"/>
        <w:tblInd w:w="920" w:type="dxa"/>
        <w:tblCellMar>
          <w:top w:w="0" w:type="dxa"/>
          <w:left w:w="0" w:type="dxa"/>
          <w:bottom w:w="0" w:type="dxa"/>
          <w:right w:w="0" w:type="dxa"/>
        </w:tblCellMar>
      </w:tblPr>
      <w:tr>
        <w:trPr>
          <w:trHeight w:val="304"/>
        </w:trPr>
        <w:tc>
          <w:tcPr>
            <w:tcW w:w="40" w:type="dxa"/>
            <w:vAlign w:val="bottom"/>
            <w:tcBorders>
              <w:bottom w:val="single" w:sz="8" w:color="819F7C"/>
            </w:tcBorders>
            <w:shd w:val="clear" w:color="auto" w:fill="819F7C"/>
          </w:tcPr>
          <w:p>
            <w:pPr>
              <w:spacing w:after="0"/>
              <w:rPr>
                <w:sz w:val="24"/>
                <w:szCs w:val="24"/>
                <w:color w:val="auto"/>
              </w:rPr>
            </w:pPr>
          </w:p>
        </w:tc>
        <w:tc>
          <w:tcPr>
            <w:tcW w:w="4080" w:type="dxa"/>
            <w:vAlign w:val="bottom"/>
            <w:tcBorders>
              <w:bottom w:val="single" w:sz="8" w:color="819F7C"/>
            </w:tcBorders>
            <w:shd w:val="clear" w:color="auto" w:fill="819F7C"/>
          </w:tcPr>
          <w:p>
            <w:pPr>
              <w:spacing w:after="0"/>
              <w:rPr>
                <w:sz w:val="24"/>
                <w:szCs w:val="24"/>
                <w:color w:val="auto"/>
              </w:rPr>
            </w:pPr>
          </w:p>
        </w:tc>
        <w:tc>
          <w:tcPr>
            <w:tcW w:w="2620" w:type="dxa"/>
            <w:vAlign w:val="bottom"/>
            <w:tcBorders>
              <w:bottom w:val="single" w:sz="8" w:color="819F7C"/>
            </w:tcBorders>
            <w:shd w:val="clear" w:color="auto" w:fill="819F7C"/>
          </w:tcPr>
          <w:p>
            <w:pPr>
              <w:spacing w:after="0"/>
              <w:rPr>
                <w:sz w:val="24"/>
                <w:szCs w:val="24"/>
                <w:color w:val="auto"/>
              </w:rPr>
            </w:pPr>
          </w:p>
        </w:tc>
        <w:tc>
          <w:tcPr>
            <w:tcW w:w="1460" w:type="dxa"/>
            <w:vAlign w:val="bottom"/>
            <w:tcBorders>
              <w:bottom w:val="single" w:sz="8" w:color="819F7C"/>
            </w:tcBorders>
            <w:gridSpan w:val="2"/>
            <w:shd w:val="clear" w:color="auto" w:fill="819F7C"/>
          </w:tcPr>
          <w:p>
            <w:pPr>
              <w:jc w:val="center"/>
              <w:ind w:right="620"/>
              <w:spacing w:after="0"/>
              <w:rPr>
                <w:sz w:val="20"/>
                <w:szCs w:val="20"/>
                <w:color w:val="auto"/>
              </w:rPr>
            </w:pPr>
            <w:r>
              <w:rPr>
                <w:rFonts w:ascii="Arial" w:cs="Arial" w:eastAsia="Arial" w:hAnsi="Arial"/>
                <w:sz w:val="14"/>
                <w:szCs w:val="14"/>
                <w:b w:val="1"/>
                <w:bCs w:val="1"/>
                <w:color w:val="FFFFFF"/>
              </w:rPr>
              <w:t>Fiscal 2024</w:t>
            </w:r>
          </w:p>
        </w:tc>
        <w:tc>
          <w:tcPr>
            <w:tcW w:w="980" w:type="dxa"/>
            <w:vAlign w:val="bottom"/>
            <w:tcBorders>
              <w:bottom w:val="single" w:sz="8" w:color="819F7C"/>
            </w:tcBorders>
            <w:gridSpan w:val="2"/>
            <w:shd w:val="clear" w:color="auto" w:fill="819F7C"/>
          </w:tcPr>
          <w:p>
            <w:pPr>
              <w:ind w:left="40"/>
              <w:spacing w:after="0"/>
              <w:rPr>
                <w:sz w:val="20"/>
                <w:szCs w:val="20"/>
                <w:color w:val="auto"/>
              </w:rPr>
            </w:pPr>
            <w:r>
              <w:rPr>
                <w:rFonts w:ascii="Arial" w:cs="Arial" w:eastAsia="Arial" w:hAnsi="Arial"/>
                <w:sz w:val="14"/>
                <w:szCs w:val="14"/>
                <w:b w:val="1"/>
                <w:bCs w:val="1"/>
                <w:color w:val="FFFFFF"/>
              </w:rPr>
              <w:t>Fiscal 2023</w:t>
            </w:r>
          </w:p>
        </w:tc>
      </w:tr>
      <w:tr>
        <w:trPr>
          <w:trHeight w:val="338"/>
        </w:trPr>
        <w:tc>
          <w:tcPr>
            <w:tcW w:w="40" w:type="dxa"/>
            <w:vAlign w:val="bottom"/>
            <w:shd w:val="clear" w:color="auto" w:fill="E5E9E3"/>
          </w:tcPr>
          <w:p>
            <w:pPr>
              <w:spacing w:after="0"/>
              <w:rPr>
                <w:sz w:val="24"/>
                <w:szCs w:val="24"/>
                <w:color w:val="auto"/>
              </w:rPr>
            </w:pPr>
          </w:p>
        </w:tc>
        <w:tc>
          <w:tcPr>
            <w:tcW w:w="4080" w:type="dxa"/>
            <w:vAlign w:val="bottom"/>
            <w:shd w:val="clear" w:color="auto" w:fill="E5E9E3"/>
          </w:tcPr>
          <w:p>
            <w:pPr>
              <w:ind w:left="40"/>
              <w:spacing w:after="0"/>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4080" w:type="dxa"/>
            <w:vAlign w:val="bottom"/>
            <w:gridSpan w:val="3"/>
            <w:shd w:val="clear" w:color="auto" w:fill="E5E9E3"/>
          </w:tcPr>
          <w:p>
            <w:pPr>
              <w:jc w:val="center"/>
              <w:ind w:left="1896"/>
              <w:spacing w:after="0"/>
              <w:rPr>
                <w:sz w:val="20"/>
                <w:szCs w:val="20"/>
                <w:color w:val="auto"/>
              </w:rPr>
            </w:pPr>
            <w:r>
              <w:rPr>
                <w:rFonts w:ascii="Arial" w:cs="Arial" w:eastAsia="Arial" w:hAnsi="Arial"/>
                <w:sz w:val="17"/>
                <w:szCs w:val="17"/>
                <w:color w:val="auto"/>
                <w:w w:val="96"/>
              </w:rPr>
              <w:t>$1,669,529</w:t>
            </w:r>
          </w:p>
        </w:tc>
        <w:tc>
          <w:tcPr>
            <w:tcW w:w="980" w:type="dxa"/>
            <w:vAlign w:val="bottom"/>
            <w:gridSpan w:val="2"/>
            <w:shd w:val="clear" w:color="auto" w:fill="E5E9E3"/>
          </w:tcPr>
          <w:p>
            <w:pPr>
              <w:jc w:val="right"/>
              <w:ind w:right="140"/>
              <w:spacing w:after="0"/>
              <w:rPr>
                <w:sz w:val="20"/>
                <w:szCs w:val="20"/>
                <w:color w:val="auto"/>
              </w:rPr>
            </w:pPr>
            <w:r>
              <w:rPr>
                <w:rFonts w:ascii="Arial" w:cs="Arial" w:eastAsia="Arial" w:hAnsi="Arial"/>
                <w:sz w:val="17"/>
                <w:szCs w:val="17"/>
                <w:color w:val="auto"/>
                <w:w w:val="96"/>
              </w:rPr>
              <w:t>$1,745,149</w:t>
            </w:r>
          </w:p>
        </w:tc>
      </w:tr>
      <w:tr>
        <w:trPr>
          <w:trHeight w:val="257"/>
        </w:trPr>
        <w:tc>
          <w:tcPr>
            <w:tcW w:w="40" w:type="dxa"/>
            <w:vAlign w:val="bottom"/>
          </w:tcPr>
          <w:p>
            <w:pPr>
              <w:spacing w:after="0"/>
              <w:rPr>
                <w:sz w:val="22"/>
                <w:szCs w:val="22"/>
                <w:color w:val="auto"/>
              </w:rPr>
            </w:pPr>
          </w:p>
        </w:tc>
        <w:tc>
          <w:tcPr>
            <w:tcW w:w="4080" w:type="dxa"/>
            <w:vAlign w:val="bottom"/>
          </w:tcPr>
          <w:p>
            <w:pPr>
              <w:ind w:left="40"/>
              <w:spacing w:after="0"/>
              <w:rPr>
                <w:sz w:val="20"/>
                <w:szCs w:val="20"/>
                <w:color w:val="auto"/>
              </w:rPr>
            </w:pPr>
            <w:r>
              <w:rPr>
                <w:rFonts w:ascii="Arial" w:cs="Arial" w:eastAsia="Arial" w:hAnsi="Arial"/>
                <w:sz w:val="17"/>
                <w:szCs w:val="17"/>
                <w:color w:val="auto"/>
              </w:rPr>
              <w:t>Audit-Related Fees</w:t>
            </w:r>
          </w:p>
        </w:tc>
        <w:tc>
          <w:tcPr>
            <w:tcW w:w="2620" w:type="dxa"/>
            <w:vAlign w:val="bottom"/>
          </w:tcPr>
          <w:p>
            <w:pPr>
              <w:spacing w:after="0"/>
              <w:rPr>
                <w:sz w:val="22"/>
                <w:szCs w:val="22"/>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40"/>
        </w:trPr>
        <w:tc>
          <w:tcPr>
            <w:tcW w:w="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38"/>
        </w:trPr>
        <w:tc>
          <w:tcPr>
            <w:tcW w:w="40" w:type="dxa"/>
            <w:vAlign w:val="bottom"/>
            <w:shd w:val="clear" w:color="auto" w:fill="E5E9E3"/>
          </w:tcPr>
          <w:p>
            <w:pPr>
              <w:spacing w:after="0"/>
              <w:rPr>
                <w:sz w:val="24"/>
                <w:szCs w:val="24"/>
                <w:color w:val="auto"/>
              </w:rPr>
            </w:pPr>
          </w:p>
        </w:tc>
        <w:tc>
          <w:tcPr>
            <w:tcW w:w="4080" w:type="dxa"/>
            <w:vAlign w:val="bottom"/>
            <w:shd w:val="clear" w:color="auto" w:fill="E5E9E3"/>
          </w:tcPr>
          <w:p>
            <w:pPr>
              <w:ind w:left="40"/>
              <w:spacing w:after="0"/>
              <w:rPr>
                <w:sz w:val="20"/>
                <w:szCs w:val="20"/>
                <w:color w:val="auto"/>
              </w:rPr>
            </w:pPr>
            <w:r>
              <w:rPr>
                <w:rFonts w:ascii="Arial" w:cs="Arial" w:eastAsia="Arial" w:hAnsi="Arial"/>
                <w:sz w:val="17"/>
                <w:szCs w:val="17"/>
                <w:color w:val="auto"/>
              </w:rPr>
              <w:t>Tax Fees</w:t>
            </w:r>
            <w:r>
              <w:rPr>
                <w:rFonts w:ascii="Arial" w:cs="Arial" w:eastAsia="Arial" w:hAnsi="Arial"/>
                <w:sz w:val="27"/>
                <w:szCs w:val="27"/>
                <w:color w:val="auto"/>
                <w:vertAlign w:val="superscript"/>
              </w:rPr>
              <w:t>(2)</w:t>
            </w:r>
          </w:p>
        </w:tc>
        <w:tc>
          <w:tcPr>
            <w:tcW w:w="3440" w:type="dxa"/>
            <w:vAlign w:val="bottom"/>
            <w:gridSpan w:val="2"/>
            <w:shd w:val="clear" w:color="auto" w:fill="E5E9E3"/>
          </w:tcPr>
          <w:p>
            <w:pPr>
              <w:jc w:val="right"/>
              <w:spacing w:after="0"/>
              <w:rPr>
                <w:sz w:val="20"/>
                <w:szCs w:val="20"/>
                <w:color w:val="auto"/>
              </w:rPr>
            </w:pPr>
            <w:r>
              <w:rPr>
                <w:rFonts w:ascii="Arial" w:cs="Arial" w:eastAsia="Arial" w:hAnsi="Arial"/>
                <w:sz w:val="17"/>
                <w:szCs w:val="17"/>
                <w:color w:val="auto"/>
              </w:rPr>
              <w:t>50,254</w:t>
            </w:r>
          </w:p>
        </w:tc>
        <w:tc>
          <w:tcPr>
            <w:tcW w:w="640" w:type="dxa"/>
            <w:vAlign w:val="bottom"/>
            <w:shd w:val="clear" w:color="auto" w:fill="E5E9E3"/>
          </w:tcPr>
          <w:p>
            <w:pPr>
              <w:spacing w:after="0"/>
              <w:rPr>
                <w:sz w:val="24"/>
                <w:szCs w:val="24"/>
                <w:color w:val="auto"/>
              </w:rPr>
            </w:pPr>
          </w:p>
        </w:tc>
        <w:tc>
          <w:tcPr>
            <w:tcW w:w="840" w:type="dxa"/>
            <w:vAlign w:val="bottom"/>
            <w:shd w:val="clear" w:color="auto" w:fill="E5E9E3"/>
          </w:tcPr>
          <w:p>
            <w:pPr>
              <w:jc w:val="right"/>
              <w:spacing w:after="0"/>
              <w:rPr>
                <w:sz w:val="20"/>
                <w:szCs w:val="20"/>
                <w:color w:val="auto"/>
              </w:rPr>
            </w:pPr>
            <w:r>
              <w:rPr>
                <w:rFonts w:ascii="Arial" w:cs="Arial" w:eastAsia="Arial" w:hAnsi="Arial"/>
                <w:sz w:val="17"/>
                <w:szCs w:val="17"/>
                <w:color w:val="auto"/>
              </w:rPr>
              <w:t>60,723</w:t>
            </w:r>
          </w:p>
        </w:tc>
        <w:tc>
          <w:tcPr>
            <w:tcW w:w="140" w:type="dxa"/>
            <w:vAlign w:val="bottom"/>
            <w:shd w:val="clear" w:color="auto" w:fill="E5E9E3"/>
          </w:tcPr>
          <w:p>
            <w:pPr>
              <w:spacing w:after="0"/>
              <w:rPr>
                <w:sz w:val="24"/>
                <w:szCs w:val="24"/>
                <w:color w:val="auto"/>
              </w:rPr>
            </w:pPr>
          </w:p>
        </w:tc>
      </w:tr>
      <w:tr>
        <w:trPr>
          <w:trHeight w:val="358"/>
        </w:trPr>
        <w:tc>
          <w:tcPr>
            <w:tcW w:w="40" w:type="dxa"/>
            <w:vAlign w:val="bottom"/>
            <w:tcBorders>
              <w:bottom w:val="single" w:sz="8" w:color="E5E9E3"/>
            </w:tcBorders>
          </w:tcPr>
          <w:p>
            <w:pPr>
              <w:spacing w:after="0"/>
              <w:rPr>
                <w:sz w:val="24"/>
                <w:szCs w:val="24"/>
                <w:color w:val="auto"/>
              </w:rPr>
            </w:pPr>
          </w:p>
        </w:tc>
        <w:tc>
          <w:tcPr>
            <w:tcW w:w="4080" w:type="dxa"/>
            <w:vAlign w:val="bottom"/>
            <w:tcBorders>
              <w:bottom w:val="single" w:sz="8" w:color="E5E9E3"/>
            </w:tcBorders>
          </w:tcPr>
          <w:p>
            <w:pPr>
              <w:ind w:left="40"/>
              <w:spacing w:after="0"/>
              <w:rPr>
                <w:sz w:val="20"/>
                <w:szCs w:val="20"/>
                <w:color w:val="auto"/>
              </w:rPr>
            </w:pPr>
            <w:r>
              <w:rPr>
                <w:rFonts w:ascii="Arial" w:cs="Arial" w:eastAsia="Arial" w:hAnsi="Arial"/>
                <w:sz w:val="17"/>
                <w:szCs w:val="17"/>
                <w:color w:val="auto"/>
              </w:rPr>
              <w:t>All Other Fees</w:t>
            </w:r>
            <w:r>
              <w:rPr>
                <w:rFonts w:ascii="Arial" w:cs="Arial" w:eastAsia="Arial" w:hAnsi="Arial"/>
                <w:sz w:val="27"/>
                <w:szCs w:val="27"/>
                <w:color w:val="auto"/>
                <w:vertAlign w:val="superscript"/>
              </w:rPr>
              <w:t>(3)</w:t>
            </w:r>
          </w:p>
        </w:tc>
        <w:tc>
          <w:tcPr>
            <w:tcW w:w="2620" w:type="dxa"/>
            <w:vAlign w:val="bottom"/>
            <w:tcBorders>
              <w:bottom w:val="single" w:sz="8" w:color="E5E9E3"/>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13,650</w:t>
            </w:r>
          </w:p>
        </w:tc>
        <w:tc>
          <w:tcPr>
            <w:tcW w:w="640" w:type="dxa"/>
            <w:vAlign w:val="bottom"/>
            <w:tcBorders>
              <w:bottom w:val="single" w:sz="8" w:color="E5E9E3"/>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7,280</w:t>
            </w:r>
          </w:p>
        </w:tc>
        <w:tc>
          <w:tcPr>
            <w:tcW w:w="140" w:type="dxa"/>
            <w:vAlign w:val="bottom"/>
            <w:tcBorders>
              <w:bottom w:val="single" w:sz="8" w:color="E5E9E3"/>
            </w:tcBorders>
          </w:tcPr>
          <w:p>
            <w:pPr>
              <w:spacing w:after="0"/>
              <w:rPr>
                <w:sz w:val="24"/>
                <w:szCs w:val="24"/>
                <w:color w:val="auto"/>
              </w:rPr>
            </w:pPr>
          </w:p>
        </w:tc>
      </w:tr>
      <w:tr>
        <w:trPr>
          <w:trHeight w:val="216"/>
        </w:trPr>
        <w:tc>
          <w:tcPr>
            <w:tcW w:w="40" w:type="dxa"/>
            <w:vAlign w:val="bottom"/>
            <w:shd w:val="clear" w:color="auto" w:fill="E5E9E3"/>
          </w:tcPr>
          <w:p>
            <w:pPr>
              <w:spacing w:after="0"/>
              <w:rPr>
                <w:sz w:val="18"/>
                <w:szCs w:val="18"/>
                <w:color w:val="auto"/>
              </w:rPr>
            </w:pPr>
          </w:p>
        </w:tc>
        <w:tc>
          <w:tcPr>
            <w:tcW w:w="4080" w:type="dxa"/>
            <w:vAlign w:val="bottom"/>
            <w:shd w:val="clear" w:color="auto" w:fill="E5E9E3"/>
          </w:tcPr>
          <w:p>
            <w:pPr>
              <w:ind w:left="180"/>
              <w:spacing w:after="0"/>
              <w:rPr>
                <w:sz w:val="20"/>
                <w:szCs w:val="20"/>
                <w:color w:val="auto"/>
              </w:rPr>
            </w:pPr>
            <w:r>
              <w:rPr>
                <w:rFonts w:ascii="Arial" w:cs="Arial" w:eastAsia="Arial" w:hAnsi="Arial"/>
                <w:sz w:val="17"/>
                <w:szCs w:val="17"/>
                <w:color w:val="auto"/>
              </w:rPr>
              <w:t>Total</w:t>
            </w:r>
          </w:p>
        </w:tc>
        <w:tc>
          <w:tcPr>
            <w:tcW w:w="4080" w:type="dxa"/>
            <w:vAlign w:val="bottom"/>
            <w:gridSpan w:val="3"/>
            <w:shd w:val="clear" w:color="auto" w:fill="E5E9E3"/>
          </w:tcPr>
          <w:p>
            <w:pPr>
              <w:jc w:val="center"/>
              <w:ind w:left="1896"/>
              <w:spacing w:after="0"/>
              <w:rPr>
                <w:sz w:val="20"/>
                <w:szCs w:val="20"/>
                <w:color w:val="auto"/>
              </w:rPr>
            </w:pPr>
            <w:r>
              <w:rPr>
                <w:rFonts w:ascii="Arial" w:cs="Arial" w:eastAsia="Arial" w:hAnsi="Arial"/>
                <w:sz w:val="17"/>
                <w:szCs w:val="17"/>
                <w:color w:val="auto"/>
                <w:w w:val="96"/>
              </w:rPr>
              <w:t>$1,733,434</w:t>
            </w:r>
          </w:p>
        </w:tc>
        <w:tc>
          <w:tcPr>
            <w:tcW w:w="980" w:type="dxa"/>
            <w:vAlign w:val="bottom"/>
            <w:gridSpan w:val="2"/>
            <w:shd w:val="clear" w:color="auto" w:fill="E5E9E3"/>
          </w:tcPr>
          <w:p>
            <w:pPr>
              <w:jc w:val="right"/>
              <w:ind w:right="140"/>
              <w:spacing w:after="0"/>
              <w:rPr>
                <w:sz w:val="20"/>
                <w:szCs w:val="20"/>
                <w:color w:val="auto"/>
              </w:rPr>
            </w:pPr>
            <w:r>
              <w:rPr>
                <w:rFonts w:ascii="Arial" w:cs="Arial" w:eastAsia="Arial" w:hAnsi="Arial"/>
                <w:sz w:val="17"/>
                <w:szCs w:val="17"/>
                <w:color w:val="auto"/>
                <w:w w:val="96"/>
              </w:rPr>
              <w:t>$1,813,152</w:t>
            </w:r>
          </w:p>
        </w:tc>
      </w:tr>
      <w:tr>
        <w:trPr>
          <w:trHeight w:val="95"/>
        </w:trPr>
        <w:tc>
          <w:tcPr>
            <w:tcW w:w="40" w:type="dxa"/>
            <w:vAlign w:val="bottom"/>
            <w:shd w:val="clear" w:color="auto" w:fill="819F7C"/>
          </w:tcPr>
          <w:p>
            <w:pPr>
              <w:spacing w:after="0"/>
              <w:rPr>
                <w:sz w:val="8"/>
                <w:szCs w:val="8"/>
                <w:color w:val="auto"/>
              </w:rPr>
            </w:pPr>
          </w:p>
        </w:tc>
        <w:tc>
          <w:tcPr>
            <w:tcW w:w="4080" w:type="dxa"/>
            <w:vAlign w:val="bottom"/>
            <w:shd w:val="clear" w:color="auto" w:fill="819F7C"/>
          </w:tcPr>
          <w:p>
            <w:pPr>
              <w:spacing w:after="0"/>
              <w:rPr>
                <w:sz w:val="8"/>
                <w:szCs w:val="8"/>
                <w:color w:val="auto"/>
              </w:rPr>
            </w:pPr>
          </w:p>
        </w:tc>
        <w:tc>
          <w:tcPr>
            <w:tcW w:w="2620" w:type="dxa"/>
            <w:vAlign w:val="bottom"/>
            <w:shd w:val="clear" w:color="auto" w:fill="819F7C"/>
          </w:tcPr>
          <w:p>
            <w:pPr>
              <w:spacing w:after="0"/>
              <w:rPr>
                <w:sz w:val="8"/>
                <w:szCs w:val="8"/>
                <w:color w:val="auto"/>
              </w:rPr>
            </w:pPr>
          </w:p>
        </w:tc>
        <w:tc>
          <w:tcPr>
            <w:tcW w:w="820" w:type="dxa"/>
            <w:vAlign w:val="bottom"/>
            <w:shd w:val="clear" w:color="auto" w:fill="819F7C"/>
          </w:tcPr>
          <w:p>
            <w:pPr>
              <w:spacing w:after="0"/>
              <w:rPr>
                <w:sz w:val="8"/>
                <w:szCs w:val="8"/>
                <w:color w:val="auto"/>
              </w:rPr>
            </w:pPr>
          </w:p>
        </w:tc>
        <w:tc>
          <w:tcPr>
            <w:tcW w:w="640" w:type="dxa"/>
            <w:vAlign w:val="bottom"/>
            <w:shd w:val="clear" w:color="auto" w:fill="819F7C"/>
          </w:tcPr>
          <w:p>
            <w:pPr>
              <w:spacing w:after="0"/>
              <w:rPr>
                <w:sz w:val="8"/>
                <w:szCs w:val="8"/>
                <w:color w:val="auto"/>
              </w:rPr>
            </w:pPr>
          </w:p>
        </w:tc>
        <w:tc>
          <w:tcPr>
            <w:tcW w:w="840" w:type="dxa"/>
            <w:vAlign w:val="bottom"/>
            <w:shd w:val="clear" w:color="auto" w:fill="819F7C"/>
          </w:tcPr>
          <w:p>
            <w:pPr>
              <w:spacing w:after="0"/>
              <w:rPr>
                <w:sz w:val="8"/>
                <w:szCs w:val="8"/>
                <w:color w:val="auto"/>
              </w:rPr>
            </w:pPr>
          </w:p>
        </w:tc>
        <w:tc>
          <w:tcPr>
            <w:tcW w:w="140" w:type="dxa"/>
            <w:vAlign w:val="bottom"/>
            <w:shd w:val="clear" w:color="auto" w:fill="819F7C"/>
          </w:tcPr>
          <w:p>
            <w:pPr>
              <w:spacing w:after="0"/>
              <w:rPr>
                <w:sz w:val="8"/>
                <w:szCs w:val="8"/>
                <w:color w:val="auto"/>
              </w:rPr>
            </w:pPr>
          </w:p>
        </w:tc>
      </w:tr>
    </w:tbl>
    <w:p>
      <w:pPr>
        <w:spacing w:after="0" w:line="82" w:lineRule="exact"/>
        <w:rPr>
          <w:sz w:val="20"/>
          <w:szCs w:val="20"/>
          <w:color w:val="auto"/>
        </w:rPr>
      </w:pPr>
    </w:p>
    <w:p>
      <w:pPr>
        <w:jc w:val="both"/>
        <w:ind w:left="1200" w:right="940" w:hanging="286"/>
        <w:spacing w:after="0" w:line="254" w:lineRule="auto"/>
        <w:tabs>
          <w:tab w:leader="none" w:pos="12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Audit Fees consist of fees for professional services provided in connection with the audit of our annual consolidated financial statements, the review of our quarterly consolidated financial statements, and audit services that are normally provided by the independent registered public accounting firm in connection with statutory and regulatory filings or engagements for the applicable fiscal year, such as statutory audits, as well as out of pocket expenses.</w:t>
      </w:r>
    </w:p>
    <w:p>
      <w:pPr>
        <w:spacing w:after="0" w:line="173" w:lineRule="exact"/>
        <w:rPr>
          <w:rFonts w:ascii="Arial" w:cs="Arial" w:eastAsia="Arial" w:hAnsi="Arial"/>
          <w:sz w:val="13"/>
          <w:szCs w:val="13"/>
          <w:color w:val="auto"/>
        </w:rPr>
      </w:pPr>
    </w:p>
    <w:p>
      <w:pPr>
        <w:ind w:left="1200" w:hanging="286"/>
        <w:spacing w:after="0"/>
        <w:tabs>
          <w:tab w:leader="none" w:pos="12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Tax fees consist of fees for tax compliance services.</w:t>
      </w:r>
    </w:p>
    <w:p>
      <w:pPr>
        <w:spacing w:after="0" w:line="53" w:lineRule="exact"/>
        <w:rPr>
          <w:rFonts w:ascii="Arial" w:cs="Arial" w:eastAsia="Arial" w:hAnsi="Arial"/>
          <w:sz w:val="13"/>
          <w:szCs w:val="13"/>
          <w:color w:val="auto"/>
        </w:rPr>
      </w:pPr>
    </w:p>
    <w:p>
      <w:pPr>
        <w:ind w:left="1200" w:hanging="286"/>
        <w:spacing w:after="0"/>
        <w:tabs>
          <w:tab w:leader="none" w:pos="12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All other fees consist of fees for accounting research software and accounting advisory services during the applicable fiscal year.</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Auditor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30480</wp:posOffset>
            </wp:positionV>
            <wp:extent cx="58293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39" w:lineRule="exact"/>
        <w:rPr>
          <w:sz w:val="20"/>
          <w:szCs w:val="20"/>
          <w:color w:val="auto"/>
        </w:rPr>
      </w:pPr>
    </w:p>
    <w:p>
      <w:pPr>
        <w:jc w:val="both"/>
        <w:ind w:left="920" w:right="920"/>
        <w:spacing w:after="0" w:line="286" w:lineRule="auto"/>
        <w:rPr>
          <w:sz w:val="20"/>
          <w:szCs w:val="20"/>
          <w:color w:val="auto"/>
        </w:rPr>
      </w:pPr>
      <w:r>
        <w:rPr>
          <w:rFonts w:ascii="Arial" w:cs="Arial" w:eastAsia="Arial" w:hAnsi="Arial"/>
          <w:sz w:val="17"/>
          <w:szCs w:val="17"/>
          <w:color w:val="auto"/>
        </w:rPr>
        <w:t>In fiscal 2024, there were no other professional services provided by PwC, other than those listed above, that would have required the Audit Committee to consider their compatibility with maintaining the independence of PwC.</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52" w:lineRule="exact"/>
        <w:rPr>
          <w:sz w:val="20"/>
          <w:szCs w:val="20"/>
          <w:color w:val="auto"/>
        </w:rPr>
      </w:pPr>
    </w:p>
    <w:p>
      <w:pPr>
        <w:jc w:val="both"/>
        <w:ind w:left="920" w:right="920"/>
        <w:spacing w:after="0" w:line="263" w:lineRule="auto"/>
        <w:rPr>
          <w:sz w:val="20"/>
          <w:szCs w:val="20"/>
          <w:color w:val="auto"/>
        </w:rPr>
      </w:pPr>
      <w:r>
        <w:rPr>
          <w:rFonts w:ascii="Arial" w:cs="Arial" w:eastAsia="Arial" w:hAnsi="Arial"/>
          <w:sz w:val="17"/>
          <w:szCs w:val="17"/>
          <w:color w:val="auto"/>
        </w:rPr>
        <w:t>Pursuant to its charter, the Audit Committee is required to (1) review and approve, in advance, the scope and plans for all audits and audit fees and (2) approve, in advance, all non-audit services to be performed by our independent auditors. All services and fees of PwC for the periods set forth in the table above were pre-approved by the Audit Committee.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31</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right="1380"/>
        <w:spacing w:after="0" w:line="262" w:lineRule="auto"/>
        <w:rPr>
          <w:sz w:val="20"/>
          <w:szCs w:val="20"/>
          <w:color w:val="auto"/>
        </w:rPr>
      </w:pPr>
      <w:r>
        <w:rPr>
          <w:rFonts w:ascii="Arial" w:cs="Arial" w:eastAsia="Arial" w:hAnsi="Arial"/>
          <w:sz w:val="40"/>
          <w:szCs w:val="40"/>
          <w:b w:val="1"/>
          <w:bCs w:val="1"/>
          <w:color w:val="578255"/>
        </w:rPr>
        <w:t>PROPOSAL THREE: ADVISORY VOTE TO APPROVE COMPENSATION OF NAMED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sectPr>
      </w:pP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SEC rules, we are providing our shareholders with the opportunity to vote to approve, on an advisory or non-binding basis, the compensation of our named executive officers as disclosed in this proxy statement in accordance with rules of the SEC. This proposal, commonly known as a “say-on-pay” proposal, gives our shareholders the opportunity to express their views on the compensation of our named executive officers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 We currently hold our say-on-pay vote every year.</w:t>
      </w:r>
    </w:p>
    <w:p>
      <w:pPr>
        <w:spacing w:after="0" w:line="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this advisory vote to approve executive compensation is non-binding, it will provide information to us regarding investor sentiment about our executive compensation philosophy, policies and practices, which the Compensation Committee will be able to consider when making future executive compensation decisions. The Board and the Compensation Committee value the opinions of shareholders and, to the extent there is any significant vote against the compensation of our named executive officers as disclosed in this proxy statement, will endeavor to communicate with shareholders to better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understand the concerns that influenced the vote, consider those shareholders’ concerns and evaluate whether any actions are necessary to address those concerns.</w:t>
      </w:r>
    </w:p>
    <w:p>
      <w:pPr>
        <w:spacing w:after="0" w:line="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urge shareholders to read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section of this proxy statement,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the information discussed under the heading “</w:t>
      </w:r>
      <w:r>
        <w:rPr>
          <w:rFonts w:ascii="Arial" w:cs="Arial" w:eastAsia="Arial" w:hAnsi="Arial"/>
          <w:sz w:val="18"/>
          <w:szCs w:val="18"/>
          <w:i w:val="1"/>
          <w:iCs w:val="1"/>
          <w:color w:val="auto"/>
        </w:rPr>
        <w:t>Executive Compensation—Compensation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which describes in more detail how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policies and procedures operate and are designed to achieve our compensation objectives. We believe that our executive compensation program is working to ensure management’s interests are aligned with our shareholders’ interests to support long-term value creation. Accordingly, pursuant to Section 14A of the Exchange Act, you are being asked to vote “FOR” the following resolution at the Annual Meeting:</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“RESOLVED, that Fabrinet’s shareholders approve, on an advisory basis, the compensation of Fabrinet’s named executive officers as disclosed in Fabrinet’s Proxy Statement for the 2024 Annual General Meeting of Shareholders, pursuant to the executive compensation disclosure rules of the Securities and Exchange Commission, including the Compensation Discussion and Analysis, the compensation tables, and related narrative disclosures.”</w:t>
      </w:r>
    </w:p>
    <w:p>
      <w:pPr>
        <w:spacing w:after="0" w:line="200"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8293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of our named executive officers as disclosed in this proxy statement.</w:t>
      </w:r>
    </w:p>
    <w:p>
      <w:pPr>
        <w:spacing w:after="0" w:line="262" w:lineRule="exact"/>
        <w:rPr>
          <w:sz w:val="20"/>
          <w:szCs w:val="20"/>
          <w:color w:val="auto"/>
        </w:rPr>
      </w:pPr>
    </w:p>
    <w:p>
      <w:pPr>
        <w:spacing w:after="0"/>
        <w:tabs>
          <w:tab w:leader="none" w:pos="6669" w:val="left"/>
        </w:tabs>
        <w:rPr>
          <w:sz w:val="20"/>
          <w:szCs w:val="20"/>
          <w:color w:val="auto"/>
        </w:rPr>
      </w:pPr>
      <w:r>
        <w:rPr>
          <w:rFonts w:ascii="Arial" w:cs="Arial" w:eastAsia="Arial" w:hAnsi="Arial"/>
          <w:sz w:val="13"/>
          <w:szCs w:val="13"/>
          <w:color w:val="auto"/>
        </w:rPr>
        <w:t>32</w:t>
      </w:r>
      <w:r>
        <w:rPr>
          <w:sz w:val="20"/>
          <w:szCs w:val="20"/>
          <w:color w:val="auto"/>
        </w:rPr>
        <w:tab/>
      </w:r>
      <w:r>
        <w:rPr>
          <w:sz w:val="1"/>
          <w:szCs w:val="1"/>
          <w:color w:val="auto"/>
        </w:rPr>
        <w:drawing>
          <wp:inline distT="0" distB="0" distL="0" distR="0">
            <wp:extent cx="342900" cy="7747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147955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38" w:name="page39"/>
    <w:bookmarkEnd w:id="3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40"/>
          <w:szCs w:val="40"/>
          <w:b w:val="1"/>
          <w:bCs w:val="1"/>
          <w:color w:val="578255"/>
        </w:rPr>
        <w:t>AUDIT COMMITTEE REPORT</w:t>
      </w:r>
    </w:p>
    <w:p>
      <w:pPr>
        <w:spacing w:after="0" w:line="392" w:lineRule="exact"/>
        <w:rPr>
          <w:sz w:val="20"/>
          <w:szCs w:val="20"/>
          <w:color w:val="auto"/>
        </w:rPr>
      </w:pPr>
    </w:p>
    <w:p>
      <w:pPr>
        <w:jc w:val="both"/>
        <w:ind w:left="920" w:right="940"/>
        <w:spacing w:after="0" w:line="247" w:lineRule="auto"/>
        <w:rPr>
          <w:sz w:val="20"/>
          <w:szCs w:val="20"/>
          <w:color w:val="auto"/>
        </w:rPr>
      </w:pPr>
      <w:r>
        <w:rPr>
          <w:rFonts w:ascii="Arial" w:cs="Arial" w:eastAsia="Arial" w:hAnsi="Arial"/>
          <w:sz w:val="18"/>
          <w:szCs w:val="18"/>
          <w:color w:val="auto"/>
        </w:rPr>
        <w:t>The Audit Committee assists the Board in fulfilling its responsibilities for oversight of the integrity of our financial statements, our internal accounting and financial controls, our compliance with legal and regulatory requirements, the organization and performance of our internal audit function and the qualifications, independence and performance of our independent registered public accounting firm.</w:t>
      </w:r>
    </w:p>
    <w:p>
      <w:pPr>
        <w:spacing w:after="0" w:line="66" w:lineRule="exact"/>
        <w:rPr>
          <w:sz w:val="20"/>
          <w:szCs w:val="20"/>
          <w:color w:val="auto"/>
        </w:rPr>
      </w:pPr>
    </w:p>
    <w:p>
      <w:pPr>
        <w:jc w:val="both"/>
        <w:ind w:left="920" w:right="940"/>
        <w:spacing w:after="0" w:line="253" w:lineRule="auto"/>
        <w:rPr>
          <w:sz w:val="20"/>
          <w:szCs w:val="20"/>
          <w:color w:val="auto"/>
        </w:rPr>
      </w:pPr>
      <w:r>
        <w:rPr>
          <w:rFonts w:ascii="Arial" w:cs="Arial" w:eastAsia="Arial" w:hAnsi="Arial"/>
          <w:sz w:val="18"/>
          <w:szCs w:val="18"/>
          <w:color w:val="auto"/>
        </w:rPr>
        <w:t>Our management is responsible for establishing and maintaining internal controls and preparing our consolidated financial statements. The independent registered public accounting firm is responsible for auditing the financial statements. It is the responsibility of the Audit Committee to oversee these activities.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Audit Committee has:</w:t>
      </w:r>
    </w:p>
    <w:p>
      <w:pPr>
        <w:spacing w:after="0" w:line="104" w:lineRule="exact"/>
        <w:rPr>
          <w:sz w:val="20"/>
          <w:szCs w:val="20"/>
          <w:color w:val="auto"/>
        </w:rPr>
      </w:pPr>
    </w:p>
    <w:p>
      <w:pPr>
        <w:ind w:left="1080" w:right="940" w:hanging="166"/>
        <w:spacing w:after="0" w:line="271" w:lineRule="auto"/>
        <w:tabs>
          <w:tab w:leader="none" w:pos="1080" w:val="left"/>
        </w:tabs>
        <w:numPr>
          <w:ilvl w:val="0"/>
          <w:numId w:val="63"/>
        </w:numPr>
        <w:rPr>
          <w:rFonts w:ascii="Arial" w:cs="Arial" w:eastAsia="Arial" w:hAnsi="Arial"/>
          <w:sz w:val="18"/>
          <w:szCs w:val="18"/>
          <w:color w:val="578255"/>
        </w:rPr>
      </w:pPr>
      <w:r>
        <w:rPr>
          <w:rFonts w:ascii="Arial" w:cs="Arial" w:eastAsia="Arial" w:hAnsi="Arial"/>
          <w:sz w:val="18"/>
          <w:szCs w:val="18"/>
          <w:color w:val="auto"/>
        </w:rPr>
        <w:t>Reviewed and discussed the audited financial statements with management and with PricewaterhouseCoopers ABAS Ltd., our independent registered public accounting firm;</w:t>
      </w:r>
    </w:p>
    <w:p>
      <w:pPr>
        <w:spacing w:after="0" w:line="45" w:lineRule="exact"/>
        <w:rPr>
          <w:rFonts w:ascii="Arial" w:cs="Arial" w:eastAsia="Arial" w:hAnsi="Arial"/>
          <w:sz w:val="18"/>
          <w:szCs w:val="18"/>
          <w:color w:val="578255"/>
        </w:rPr>
      </w:pPr>
    </w:p>
    <w:p>
      <w:pPr>
        <w:ind w:left="1080" w:right="940" w:hanging="166"/>
        <w:spacing w:after="0" w:line="281" w:lineRule="auto"/>
        <w:tabs>
          <w:tab w:leader="none" w:pos="1080" w:val="left"/>
        </w:tabs>
        <w:numPr>
          <w:ilvl w:val="0"/>
          <w:numId w:val="63"/>
        </w:numPr>
        <w:rPr>
          <w:rFonts w:ascii="Arial" w:cs="Arial" w:eastAsia="Arial" w:hAnsi="Arial"/>
          <w:sz w:val="18"/>
          <w:szCs w:val="18"/>
          <w:color w:val="578255"/>
        </w:rPr>
      </w:pPr>
      <w:r>
        <w:rPr>
          <w:rFonts w:ascii="Arial" w:cs="Arial" w:eastAsia="Arial" w:hAnsi="Arial"/>
          <w:sz w:val="18"/>
          <w:szCs w:val="18"/>
          <w:color w:val="auto"/>
        </w:rPr>
        <w:t>Discussed with PricewaterhouseCoopers ABAS Ltd. the matters required to be discussed by the applicable requirements of the Public Company Accounting Oversight Board (the “</w:t>
      </w:r>
      <w:r>
        <w:rPr>
          <w:rFonts w:ascii="Arial" w:cs="Arial" w:eastAsia="Arial" w:hAnsi="Arial"/>
          <w:sz w:val="18"/>
          <w:szCs w:val="18"/>
          <w:b w:val="1"/>
          <w:bCs w:val="1"/>
          <w:color w:val="auto"/>
        </w:rPr>
        <w:t>PCAOB</w:t>
      </w:r>
      <w:r>
        <w:rPr>
          <w:rFonts w:ascii="Arial" w:cs="Arial" w:eastAsia="Arial" w:hAnsi="Arial"/>
          <w:sz w:val="18"/>
          <w:szCs w:val="18"/>
          <w:color w:val="auto"/>
        </w:rPr>
        <w:t>”) and the SEC; and</w:t>
      </w:r>
    </w:p>
    <w:p>
      <w:pPr>
        <w:spacing w:after="0" w:line="28" w:lineRule="exact"/>
        <w:rPr>
          <w:rFonts w:ascii="Arial" w:cs="Arial" w:eastAsia="Arial" w:hAnsi="Arial"/>
          <w:sz w:val="18"/>
          <w:szCs w:val="18"/>
          <w:color w:val="578255"/>
        </w:rPr>
      </w:pPr>
    </w:p>
    <w:p>
      <w:pPr>
        <w:jc w:val="both"/>
        <w:ind w:left="1080" w:right="920" w:hanging="166"/>
        <w:spacing w:after="0" w:line="247" w:lineRule="auto"/>
        <w:tabs>
          <w:tab w:leader="none" w:pos="1080" w:val="left"/>
        </w:tabs>
        <w:numPr>
          <w:ilvl w:val="0"/>
          <w:numId w:val="63"/>
        </w:numPr>
        <w:rPr>
          <w:rFonts w:ascii="Arial" w:cs="Arial" w:eastAsia="Arial" w:hAnsi="Arial"/>
          <w:sz w:val="18"/>
          <w:szCs w:val="18"/>
          <w:color w:val="578255"/>
        </w:rPr>
      </w:pPr>
      <w:r>
        <w:rPr>
          <w:rFonts w:ascii="Arial" w:cs="Arial" w:eastAsia="Arial" w:hAnsi="Arial"/>
          <w:sz w:val="18"/>
          <w:szCs w:val="18"/>
          <w:color w:val="auto"/>
        </w:rPr>
        <w:t>Received the written disclosures and the letter from PricewaterhouseCoopers ABAS Ltd. required by applicable requirements of the PCAOB regarding PricewaterhouseCoopers ABAS Ltd.’s communications with the Audit Committee concerning independence, and has discussed with PricewaterhouseCoopers ABAS Ltd. its independence.</w:t>
      </w:r>
    </w:p>
    <w:p>
      <w:pPr>
        <w:spacing w:after="0" w:line="66" w:lineRule="exact"/>
        <w:rPr>
          <w:sz w:val="20"/>
          <w:szCs w:val="20"/>
          <w:color w:val="auto"/>
        </w:rPr>
      </w:pPr>
    </w:p>
    <w:p>
      <w:pPr>
        <w:jc w:val="both"/>
        <w:ind w:left="920" w:right="920"/>
        <w:spacing w:after="0" w:line="253" w:lineRule="auto"/>
        <w:rPr>
          <w:sz w:val="20"/>
          <w:szCs w:val="20"/>
          <w:color w:val="auto"/>
        </w:rPr>
      </w:pPr>
      <w:r>
        <w:rPr>
          <w:rFonts w:ascii="Arial" w:cs="Arial" w:eastAsia="Arial" w:hAnsi="Arial"/>
          <w:sz w:val="18"/>
          <w:szCs w:val="18"/>
          <w:color w:val="auto"/>
        </w:rPr>
        <w:t>Based upon these discussions and review, the Audit Committee recommended to the Board that the audited financial statements be included in our Annual Report on Form 10-K for the fiscal year ended June 28, 2024, for filing with the SEC.</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Respectfully submitted by the members of the Audit Committee of the Board of Directors.</w:t>
      </w:r>
    </w:p>
    <w:p>
      <w:pPr>
        <w:spacing w:after="0" w:line="1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Thomas F. Kelly (Chair)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Forbes I.J. Alexander</w:t>
      </w:r>
    </w:p>
    <w:p>
      <w:pPr>
        <w:ind w:left="5520"/>
        <w:spacing w:after="0" w:line="234" w:lineRule="auto"/>
        <w:rPr>
          <w:sz w:val="20"/>
          <w:szCs w:val="20"/>
          <w:color w:val="auto"/>
        </w:rPr>
      </w:pPr>
      <w:r>
        <w:rPr>
          <w:rFonts w:ascii="Arial" w:cs="Arial" w:eastAsia="Arial" w:hAnsi="Arial"/>
          <w:sz w:val="18"/>
          <w:szCs w:val="18"/>
          <w:color w:val="auto"/>
        </w:rPr>
        <w:t>Darlene S. Knight</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Dr. Frank H. Levinson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33</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40"/>
          <w:szCs w:val="40"/>
          <w:b w:val="1"/>
          <w:bCs w:val="1"/>
          <w:color w:val="578255"/>
        </w:rPr>
        <w:t>EXECUTIVE OFFICERS</w:t>
      </w: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names of our executive officers, their ages, their positions with us and other biographical information as of October 16, 2024, are set forth below. There are no family relationships among any of our directors or executive officers.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194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7"/>
                <w:szCs w:val="17"/>
                <w:b w:val="1"/>
                <w:bCs w:val="1"/>
                <w:color w:val="FFFFFF"/>
              </w:rPr>
              <w:t>Name</w:t>
            </w:r>
          </w:p>
        </w:tc>
        <w:tc>
          <w:tcPr>
            <w:tcW w:w="1000" w:type="dxa"/>
            <w:vAlign w:val="bottom"/>
            <w:tcBorders>
              <w:bottom w:val="single" w:sz="8" w:color="819F7C"/>
            </w:tcBorders>
            <w:shd w:val="clear" w:color="auto" w:fill="819F7C"/>
          </w:tcPr>
          <w:p>
            <w:pPr>
              <w:jc w:val="center"/>
              <w:ind w:left="315"/>
              <w:spacing w:after="0"/>
              <w:rPr>
                <w:sz w:val="20"/>
                <w:szCs w:val="20"/>
                <w:color w:val="auto"/>
              </w:rPr>
            </w:pPr>
            <w:r>
              <w:rPr>
                <w:rFonts w:ascii="Arial" w:cs="Arial" w:eastAsia="Arial" w:hAnsi="Arial"/>
                <w:sz w:val="17"/>
                <w:szCs w:val="17"/>
                <w:b w:val="1"/>
                <w:bCs w:val="1"/>
                <w:color w:val="FFFFFF"/>
                <w:w w:val="99"/>
              </w:rPr>
              <w:t>Age</w:t>
            </w:r>
          </w:p>
        </w:tc>
        <w:tc>
          <w:tcPr>
            <w:tcW w:w="6240" w:type="dxa"/>
            <w:vAlign w:val="bottom"/>
            <w:tcBorders>
              <w:bottom w:val="single" w:sz="8" w:color="819F7C"/>
            </w:tcBorders>
            <w:shd w:val="clear" w:color="auto" w:fill="819F7C"/>
          </w:tcPr>
          <w:p>
            <w:pPr>
              <w:ind w:left="2820"/>
              <w:spacing w:after="0"/>
              <w:rPr>
                <w:sz w:val="20"/>
                <w:szCs w:val="20"/>
                <w:color w:val="auto"/>
              </w:rPr>
            </w:pPr>
            <w:r>
              <w:rPr>
                <w:rFonts w:ascii="Arial" w:cs="Arial" w:eastAsia="Arial" w:hAnsi="Arial"/>
                <w:sz w:val="17"/>
                <w:szCs w:val="17"/>
                <w:b w:val="1"/>
                <w:bCs w:val="1"/>
                <w:color w:val="FFFFFF"/>
              </w:rPr>
              <w:t>Position</w:t>
            </w:r>
          </w:p>
        </w:tc>
      </w:tr>
      <w:tr>
        <w:trPr>
          <w:trHeight w:val="277"/>
        </w:trPr>
        <w:tc>
          <w:tcPr>
            <w:tcW w:w="194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Seamus Grady</w:t>
            </w:r>
          </w:p>
        </w:tc>
        <w:tc>
          <w:tcPr>
            <w:tcW w:w="1000" w:type="dxa"/>
            <w:vAlign w:val="bottom"/>
            <w:tcBorders>
              <w:bottom w:val="single" w:sz="8" w:color="E5E9E3"/>
            </w:tcBorders>
            <w:shd w:val="clear" w:color="auto" w:fill="E5E9E3"/>
          </w:tcPr>
          <w:p>
            <w:pPr>
              <w:jc w:val="center"/>
              <w:ind w:left="315"/>
              <w:spacing w:after="0"/>
              <w:rPr>
                <w:sz w:val="20"/>
                <w:szCs w:val="20"/>
                <w:color w:val="auto"/>
              </w:rPr>
            </w:pPr>
            <w:r>
              <w:rPr>
                <w:rFonts w:ascii="Arial" w:cs="Arial" w:eastAsia="Arial" w:hAnsi="Arial"/>
                <w:sz w:val="17"/>
                <w:szCs w:val="17"/>
                <w:color w:val="auto"/>
              </w:rPr>
              <w:t>57</w:t>
            </w:r>
          </w:p>
        </w:tc>
        <w:tc>
          <w:tcPr>
            <w:tcW w:w="6240" w:type="dxa"/>
            <w:vAlign w:val="bottom"/>
            <w:tcBorders>
              <w:bottom w:val="single" w:sz="8" w:color="E5E9E3"/>
            </w:tcBorders>
            <w:shd w:val="clear" w:color="auto" w:fill="E5E9E3"/>
          </w:tcPr>
          <w:p>
            <w:pPr>
              <w:ind w:left="140"/>
              <w:spacing w:after="0"/>
              <w:rPr>
                <w:sz w:val="20"/>
                <w:szCs w:val="20"/>
                <w:color w:val="auto"/>
              </w:rPr>
            </w:pPr>
            <w:r>
              <w:rPr>
                <w:rFonts w:ascii="Arial" w:cs="Arial" w:eastAsia="Arial" w:hAnsi="Arial"/>
                <w:sz w:val="17"/>
                <w:szCs w:val="17"/>
                <w:color w:val="auto"/>
              </w:rPr>
              <w:t>Chief Executive Officer and Director</w:t>
            </w:r>
          </w:p>
        </w:tc>
      </w:tr>
      <w:tr>
        <w:trPr>
          <w:trHeight w:val="257"/>
        </w:trPr>
        <w:tc>
          <w:tcPr>
            <w:tcW w:w="1940" w:type="dxa"/>
            <w:vAlign w:val="bottom"/>
          </w:tcPr>
          <w:p>
            <w:pPr>
              <w:ind w:left="80"/>
              <w:spacing w:after="0"/>
              <w:rPr>
                <w:sz w:val="20"/>
                <w:szCs w:val="20"/>
                <w:color w:val="auto"/>
              </w:rPr>
            </w:pPr>
            <w:r>
              <w:rPr>
                <w:rFonts w:ascii="Arial" w:cs="Arial" w:eastAsia="Arial" w:hAnsi="Arial"/>
                <w:sz w:val="17"/>
                <w:szCs w:val="17"/>
                <w:color w:val="auto"/>
              </w:rPr>
              <w:t>Dr. Harpal Gill</w:t>
            </w:r>
          </w:p>
        </w:tc>
        <w:tc>
          <w:tcPr>
            <w:tcW w:w="1000" w:type="dxa"/>
            <w:vAlign w:val="bottom"/>
          </w:tcPr>
          <w:p>
            <w:pPr>
              <w:jc w:val="center"/>
              <w:ind w:left="315"/>
              <w:spacing w:after="0"/>
              <w:rPr>
                <w:sz w:val="20"/>
                <w:szCs w:val="20"/>
                <w:color w:val="auto"/>
              </w:rPr>
            </w:pPr>
            <w:r>
              <w:rPr>
                <w:rFonts w:ascii="Arial" w:cs="Arial" w:eastAsia="Arial" w:hAnsi="Arial"/>
                <w:sz w:val="17"/>
                <w:szCs w:val="17"/>
                <w:color w:val="auto"/>
              </w:rPr>
              <w:t>71</w:t>
            </w:r>
          </w:p>
        </w:tc>
        <w:tc>
          <w:tcPr>
            <w:tcW w:w="6240" w:type="dxa"/>
            <w:vAlign w:val="bottom"/>
          </w:tcPr>
          <w:p>
            <w:pPr>
              <w:ind w:left="140"/>
              <w:spacing w:after="0"/>
              <w:rPr>
                <w:sz w:val="20"/>
                <w:szCs w:val="20"/>
                <w:color w:val="auto"/>
              </w:rPr>
            </w:pPr>
            <w:r>
              <w:rPr>
                <w:rFonts w:ascii="Arial" w:cs="Arial" w:eastAsia="Arial" w:hAnsi="Arial"/>
                <w:sz w:val="17"/>
                <w:szCs w:val="17"/>
                <w:color w:val="auto"/>
              </w:rPr>
              <w:t>President and Chief Operating Officer</w:t>
            </w:r>
          </w:p>
        </w:tc>
      </w:tr>
      <w:tr>
        <w:trPr>
          <w:trHeight w:val="40"/>
        </w:trPr>
        <w:tc>
          <w:tcPr>
            <w:tcW w:w="1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40" w:type="dxa"/>
            <w:vAlign w:val="bottom"/>
          </w:tcPr>
          <w:p>
            <w:pPr>
              <w:spacing w:after="0"/>
              <w:rPr>
                <w:sz w:val="3"/>
                <w:szCs w:val="3"/>
                <w:color w:val="auto"/>
              </w:rPr>
            </w:pPr>
          </w:p>
        </w:tc>
      </w:tr>
      <w:tr>
        <w:trPr>
          <w:trHeight w:val="277"/>
        </w:trPr>
        <w:tc>
          <w:tcPr>
            <w:tcW w:w="194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Csaba Sverha</w:t>
            </w:r>
          </w:p>
        </w:tc>
        <w:tc>
          <w:tcPr>
            <w:tcW w:w="1000" w:type="dxa"/>
            <w:vAlign w:val="bottom"/>
            <w:tcBorders>
              <w:bottom w:val="single" w:sz="8" w:color="E5E9E3"/>
            </w:tcBorders>
            <w:shd w:val="clear" w:color="auto" w:fill="E5E9E3"/>
          </w:tcPr>
          <w:p>
            <w:pPr>
              <w:jc w:val="center"/>
              <w:ind w:left="315"/>
              <w:spacing w:after="0"/>
              <w:rPr>
                <w:sz w:val="20"/>
                <w:szCs w:val="20"/>
                <w:color w:val="auto"/>
              </w:rPr>
            </w:pPr>
            <w:r>
              <w:rPr>
                <w:rFonts w:ascii="Arial" w:cs="Arial" w:eastAsia="Arial" w:hAnsi="Arial"/>
                <w:sz w:val="17"/>
                <w:szCs w:val="17"/>
                <w:color w:val="auto"/>
              </w:rPr>
              <w:t>45</w:t>
            </w:r>
          </w:p>
        </w:tc>
        <w:tc>
          <w:tcPr>
            <w:tcW w:w="6240" w:type="dxa"/>
            <w:vAlign w:val="bottom"/>
            <w:tcBorders>
              <w:bottom w:val="single" w:sz="8" w:color="E5E9E3"/>
            </w:tcBorders>
            <w:shd w:val="clear" w:color="auto" w:fill="E5E9E3"/>
          </w:tcPr>
          <w:p>
            <w:pPr>
              <w:ind w:left="140"/>
              <w:spacing w:after="0"/>
              <w:rPr>
                <w:sz w:val="20"/>
                <w:szCs w:val="20"/>
                <w:color w:val="auto"/>
              </w:rPr>
            </w:pPr>
            <w:r>
              <w:rPr>
                <w:rFonts w:ascii="Arial" w:cs="Arial" w:eastAsia="Arial" w:hAnsi="Arial"/>
                <w:sz w:val="17"/>
                <w:szCs w:val="17"/>
                <w:color w:val="auto"/>
              </w:rPr>
              <w:t>Executive Vice President, Chief Financial Officer</w:t>
            </w:r>
          </w:p>
        </w:tc>
      </w:tr>
      <w:tr>
        <w:trPr>
          <w:trHeight w:val="257"/>
        </w:trPr>
        <w:tc>
          <w:tcPr>
            <w:tcW w:w="1940" w:type="dxa"/>
            <w:vAlign w:val="bottom"/>
          </w:tcPr>
          <w:p>
            <w:pPr>
              <w:ind w:left="80"/>
              <w:spacing w:after="0"/>
              <w:rPr>
                <w:sz w:val="20"/>
                <w:szCs w:val="20"/>
                <w:color w:val="auto"/>
              </w:rPr>
            </w:pPr>
            <w:r>
              <w:rPr>
                <w:rFonts w:ascii="Arial" w:cs="Arial" w:eastAsia="Arial" w:hAnsi="Arial"/>
                <w:sz w:val="17"/>
                <w:szCs w:val="17"/>
                <w:color w:val="auto"/>
              </w:rPr>
              <w:t>Edward T. Archer</w:t>
            </w:r>
          </w:p>
        </w:tc>
        <w:tc>
          <w:tcPr>
            <w:tcW w:w="1000" w:type="dxa"/>
            <w:vAlign w:val="bottom"/>
          </w:tcPr>
          <w:p>
            <w:pPr>
              <w:jc w:val="center"/>
              <w:ind w:left="315"/>
              <w:spacing w:after="0"/>
              <w:rPr>
                <w:sz w:val="20"/>
                <w:szCs w:val="20"/>
                <w:color w:val="auto"/>
              </w:rPr>
            </w:pPr>
            <w:r>
              <w:rPr>
                <w:rFonts w:ascii="Arial" w:cs="Arial" w:eastAsia="Arial" w:hAnsi="Arial"/>
                <w:sz w:val="17"/>
                <w:szCs w:val="17"/>
                <w:color w:val="auto"/>
              </w:rPr>
              <w:t>61</w:t>
            </w:r>
          </w:p>
        </w:tc>
        <w:tc>
          <w:tcPr>
            <w:tcW w:w="6240" w:type="dxa"/>
            <w:vAlign w:val="bottom"/>
          </w:tcPr>
          <w:p>
            <w:pPr>
              <w:ind w:left="140"/>
              <w:spacing w:after="0"/>
              <w:rPr>
                <w:sz w:val="20"/>
                <w:szCs w:val="20"/>
                <w:color w:val="auto"/>
              </w:rPr>
            </w:pPr>
            <w:r>
              <w:rPr>
                <w:rFonts w:ascii="Arial" w:cs="Arial" w:eastAsia="Arial" w:hAnsi="Arial"/>
                <w:sz w:val="17"/>
                <w:szCs w:val="17"/>
                <w:color w:val="auto"/>
              </w:rPr>
              <w:t>Executive Vice President, Sales &amp; Marketing</w:t>
            </w:r>
          </w:p>
        </w:tc>
      </w:tr>
      <w:tr>
        <w:trPr>
          <w:trHeight w:val="40"/>
        </w:trPr>
        <w:tc>
          <w:tcPr>
            <w:tcW w:w="1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40" w:type="dxa"/>
            <w:vAlign w:val="bottom"/>
          </w:tcPr>
          <w:p>
            <w:pPr>
              <w:spacing w:after="0"/>
              <w:rPr>
                <w:sz w:val="3"/>
                <w:szCs w:val="3"/>
                <w:color w:val="auto"/>
              </w:rPr>
            </w:pPr>
          </w:p>
        </w:tc>
      </w:tr>
      <w:tr>
        <w:trPr>
          <w:trHeight w:val="95"/>
        </w:trPr>
        <w:tc>
          <w:tcPr>
            <w:tcW w:w="1940" w:type="dxa"/>
            <w:vAlign w:val="bottom"/>
            <w:shd w:val="clear" w:color="auto" w:fill="819F7C"/>
          </w:tcPr>
          <w:p>
            <w:pPr>
              <w:spacing w:after="0"/>
              <w:rPr>
                <w:sz w:val="8"/>
                <w:szCs w:val="8"/>
                <w:color w:val="auto"/>
              </w:rPr>
            </w:pPr>
          </w:p>
        </w:tc>
        <w:tc>
          <w:tcPr>
            <w:tcW w:w="1000" w:type="dxa"/>
            <w:vAlign w:val="bottom"/>
            <w:shd w:val="clear" w:color="auto" w:fill="819F7C"/>
          </w:tcPr>
          <w:p>
            <w:pPr>
              <w:spacing w:after="0"/>
              <w:rPr>
                <w:sz w:val="8"/>
                <w:szCs w:val="8"/>
                <w:color w:val="auto"/>
              </w:rPr>
            </w:pPr>
          </w:p>
        </w:tc>
        <w:tc>
          <w:tcPr>
            <w:tcW w:w="6240" w:type="dxa"/>
            <w:vAlign w:val="bottom"/>
            <w:shd w:val="clear" w:color="auto" w:fill="819F7C"/>
          </w:tcPr>
          <w:p>
            <w:pPr>
              <w:spacing w:after="0"/>
              <w:rPr>
                <w:sz w:val="8"/>
                <w:szCs w:val="8"/>
                <w:color w:val="auto"/>
              </w:rPr>
            </w:pPr>
          </w:p>
        </w:tc>
      </w:tr>
    </w:tbl>
    <w:p>
      <w:pPr>
        <w:spacing w:after="0" w:line="103" w:lineRule="exact"/>
        <w:rPr>
          <w:sz w:val="20"/>
          <w:szCs w:val="20"/>
          <w:color w:val="auto"/>
        </w:rPr>
      </w:pPr>
    </w:p>
    <w:p>
      <w:pPr>
        <w:sectPr>
          <w:pgSz w:w="11900" w:h="16838" w:orient="portrait"/>
          <w:cols w:equalWidth="0" w:num="1">
            <w:col w:w="9180"/>
          </w:cols>
          <w:pgMar w:left="1360" w:top="114" w:right="1359" w:bottom="1440" w:gutter="0" w:footer="0" w:header="0"/>
        </w:sectPr>
      </w:pPr>
    </w:p>
    <w:p>
      <w:pPr>
        <w:jc w:val="both"/>
        <w:spacing w:after="0" w:line="253" w:lineRule="auto"/>
        <w:rPr>
          <w:sz w:val="20"/>
          <w:szCs w:val="20"/>
          <w:color w:val="auto"/>
        </w:rPr>
      </w:pPr>
      <w:r>
        <w:rPr>
          <w:rFonts w:ascii="Arial" w:cs="Arial" w:eastAsia="Arial" w:hAnsi="Arial"/>
          <w:sz w:val="18"/>
          <w:szCs w:val="18"/>
          <w:b w:val="1"/>
          <w:bCs w:val="1"/>
          <w:color w:val="auto"/>
        </w:rPr>
        <w:t xml:space="preserve">Seamus Grady. </w:t>
      </w:r>
      <w:r>
        <w:rPr>
          <w:rFonts w:ascii="Arial" w:cs="Arial" w:eastAsia="Arial" w:hAnsi="Arial"/>
          <w:sz w:val="18"/>
          <w:szCs w:val="18"/>
          <w:color w:val="auto"/>
        </w:rPr>
        <w:t>For Mr. Grady’s biography, please see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Proposal One—Election of Directors—Biographical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above.</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Dr. Harpal Gill </w:t>
      </w:r>
      <w:r>
        <w:rPr>
          <w:rFonts w:ascii="Arial" w:cs="Arial" w:eastAsia="Arial" w:hAnsi="Arial"/>
          <w:sz w:val="18"/>
          <w:szCs w:val="18"/>
          <w:color w:val="auto"/>
        </w:rPr>
        <w:t>has served as our president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2011, and as our chief operating officer since March 2009. Previously, Dr. Gill was our senior vice president, operations from May 2005 to March 2009. He also has served as executive vice president, operations of Fabrinet Co., Ltd., our subsidiary in Thailand, since July 2007. From July 2003 to January 2005, Dr. Gill served as vice president of engineering and then senior vice president of engineering for Maxtor Corporation, a disk drive manufacturer. From January 1999 to July 2003, Dr. Gill served as the vice president of engineering for Read Rite Corporation, a supplier of magnetic recording heads for data storage devices. From June 1996 to October 1998, Dr. Gill served as the managing director of JTS Corp., a disk drive manufacturer. Dr. Gill also has held senior management positions with Seagate Technology and Stanton Automation. Dr. Gill earned a bachelor of science degree in mechanical engineering from Brunel University and a doctor of philosophy degree in engineering from the University of Bradford.</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Csaba Sverha </w:t>
      </w:r>
      <w:r>
        <w:rPr>
          <w:rFonts w:ascii="Arial" w:cs="Arial" w:eastAsia="Arial" w:hAnsi="Arial"/>
          <w:sz w:val="18"/>
          <w:szCs w:val="18"/>
          <w:color w:val="auto"/>
        </w:rPr>
        <w:t>has served as our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chief financial officer since February 2020. Previously, he was our vice president of operations finance from March 2018 to February 2020. From 2005 to March 2018, Mr. Sverha held various finance roles of increasing responsibility at Sanmina Corporation, an</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electronics manufacturing services company. During his thirteen-year tenure at Sanmina, he assumed site level as well as regional and global finance roles, most recently serving as vice president finance &amp; controller, Mechanical Systems Division, from December 2017 to March 2018. Prior to that, Mr. Sverha served as controller with Benetton Hungary (United Colors of Benetton). Prior to joining Benetton, Mr. Sverha held junior finance analyst and controller positions with Flex in Hungary. Mr. Sverha holds a Master’s Degree in Agricultural Economics and Management from the Szent Istvan University, Godollo Hungary (SZIU).</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Edward T. Archer </w:t>
      </w:r>
      <w:r>
        <w:rPr>
          <w:rFonts w:ascii="Arial" w:cs="Arial" w:eastAsia="Arial" w:hAnsi="Arial"/>
          <w:sz w:val="18"/>
          <w:szCs w:val="18"/>
          <w:color w:val="auto"/>
        </w:rPr>
        <w:t>has served as our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sales &amp; marketing since January 2019. Prior to joining Fabrinet, Mr. Archer was the senior vice president of sales for the Integrated Manufacturing Services Division of Sanmina Corporation from October 2014 to December 2018. He is a thirty-year veteran of the electronics industry, with broad sales and marketing experience in technical services, products and electronic manufacturing services. He began his career in sales leadership roles at Future Electronics, Wyle Electronics and Arrow Electronics, followed by nine years at Altera Corporation (now Intel) as its regional sales director for both FPGA and ASIC products. Mr. Archer earned a bachelor of science degree in industrial technology (technical marketing) from California Polytechnic State University.</w:t>
      </w:r>
    </w:p>
    <w:p>
      <w:pPr>
        <w:spacing w:after="0" w:line="719" w:lineRule="exact"/>
        <w:rPr>
          <w:sz w:val="20"/>
          <w:szCs w:val="20"/>
          <w:color w:val="auto"/>
        </w:rPr>
      </w:pPr>
    </w:p>
    <w:p>
      <w:pPr>
        <w:sectPr>
          <w:pgSz w:w="11900" w:h="16838" w:orient="portrait"/>
          <w:cols w:equalWidth="0" w:num="2">
            <w:col w:w="4420" w:space="320"/>
            <w:col w:w="4440"/>
          </w:cols>
          <w:pgMar w:left="1360" w:top="114" w:right="1359" w:bottom="1440" w:gutter="0" w:footer="0" w:header="0"/>
          <w:type w:val="continuous"/>
        </w:sectPr>
      </w:pPr>
    </w:p>
    <w:p>
      <w:pPr>
        <w:spacing w:after="0" w:line="88" w:lineRule="exact"/>
        <w:rPr>
          <w:sz w:val="20"/>
          <w:szCs w:val="20"/>
          <w:color w:val="auto"/>
        </w:rPr>
      </w:pPr>
    </w:p>
    <w:p>
      <w:pPr>
        <w:spacing w:after="0"/>
        <w:tabs>
          <w:tab w:leader="none" w:pos="6669" w:val="left"/>
        </w:tabs>
        <w:rPr>
          <w:sz w:val="20"/>
          <w:szCs w:val="20"/>
          <w:color w:val="auto"/>
        </w:rPr>
      </w:pPr>
      <w:r>
        <w:rPr>
          <w:rFonts w:ascii="Arial" w:cs="Arial" w:eastAsia="Arial" w:hAnsi="Arial"/>
          <w:sz w:val="12"/>
          <w:szCs w:val="12"/>
          <w:color w:val="auto"/>
        </w:rPr>
        <w:t>34</w:t>
      </w:r>
      <w:r>
        <w:rPr>
          <w:sz w:val="20"/>
          <w:szCs w:val="20"/>
          <w:color w:val="auto"/>
        </w:rPr>
        <w:tab/>
      </w:r>
      <w:r>
        <w:rPr>
          <w:sz w:val="1"/>
          <w:szCs w:val="1"/>
          <w:color w:val="auto"/>
        </w:rPr>
        <w:drawing>
          <wp:inline distT="0" distB="0" distL="0" distR="0">
            <wp:extent cx="342900" cy="7683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149860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114" w:right="1359" w:bottom="1440" w:gutter="0" w:footer="0" w:header="0"/>
          <w:type w:val="continuous"/>
        </w:sectPr>
      </w:pPr>
    </w:p>
    <w:bookmarkStart w:id="40" w:name="page41"/>
    <w:bookmarkEnd w:id="4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40"/>
          <w:szCs w:val="40"/>
          <w:b w:val="1"/>
          <w:bCs w:val="1"/>
          <w:color w:val="578255"/>
        </w:rPr>
        <w:t>EXECUTIVE COMPENSATION</w:t>
      </w:r>
    </w:p>
    <w:p>
      <w:pPr>
        <w:spacing w:after="0" w:line="346"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This section contains a discussion of the material elements of compensation awarded to, earned by or paid to our principal executive officer, principal financial officer, and the other individuals included in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beginning on page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color w:val="auto"/>
        </w:rPr>
        <w:t>. We refer to these individuals as our “</w:t>
      </w:r>
      <w:r>
        <w:rPr>
          <w:rFonts w:ascii="Arial" w:cs="Arial" w:eastAsia="Arial" w:hAnsi="Arial"/>
          <w:sz w:val="18"/>
          <w:szCs w:val="18"/>
          <w:b w:val="1"/>
          <w:bCs w:val="1"/>
          <w:color w:val="auto"/>
        </w:rPr>
        <w:t>NEOs</w:t>
      </w:r>
      <w:r>
        <w:rPr>
          <w:rFonts w:ascii="Arial" w:cs="Arial" w:eastAsia="Arial" w:hAnsi="Arial"/>
          <w:sz w:val="18"/>
          <w:szCs w:val="18"/>
          <w:color w:val="auto"/>
        </w:rPr>
        <w:t>” or “</w:t>
      </w:r>
      <w:r>
        <w:rPr>
          <w:rFonts w:ascii="Arial" w:cs="Arial" w:eastAsia="Arial" w:hAnsi="Arial"/>
          <w:sz w:val="18"/>
          <w:szCs w:val="18"/>
          <w:b w:val="1"/>
          <w:bCs w:val="1"/>
          <w:color w:val="auto"/>
        </w:rPr>
        <w:t>Named Officers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proxy statement.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fiscal 2024, our Named Officers were:</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331"/>
        </w:trPr>
        <w:tc>
          <w:tcPr>
            <w:tcW w:w="190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7"/>
                <w:szCs w:val="17"/>
                <w:b w:val="1"/>
                <w:bCs w:val="1"/>
                <w:color w:val="FFFFFF"/>
              </w:rPr>
              <w:t>Name</w:t>
            </w:r>
          </w:p>
        </w:tc>
        <w:tc>
          <w:tcPr>
            <w:tcW w:w="7280" w:type="dxa"/>
            <w:vAlign w:val="bottom"/>
            <w:tcBorders>
              <w:bottom w:val="single" w:sz="8" w:color="819F7C"/>
            </w:tcBorders>
            <w:shd w:val="clear" w:color="auto" w:fill="819F7C"/>
          </w:tcPr>
          <w:p>
            <w:pPr>
              <w:ind w:left="3540"/>
              <w:spacing w:after="0"/>
              <w:rPr>
                <w:sz w:val="20"/>
                <w:szCs w:val="20"/>
                <w:color w:val="auto"/>
              </w:rPr>
            </w:pPr>
            <w:r>
              <w:rPr>
                <w:rFonts w:ascii="Arial" w:cs="Arial" w:eastAsia="Arial" w:hAnsi="Arial"/>
                <w:sz w:val="17"/>
                <w:szCs w:val="17"/>
                <w:b w:val="1"/>
                <w:bCs w:val="1"/>
                <w:color w:val="FFFFFF"/>
              </w:rPr>
              <w:t>Position</w:t>
            </w:r>
          </w:p>
        </w:tc>
      </w:tr>
      <w:tr>
        <w:trPr>
          <w:trHeight w:val="277"/>
        </w:trPr>
        <w:tc>
          <w:tcPr>
            <w:tcW w:w="19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Seamus Grady</w:t>
            </w:r>
          </w:p>
        </w:tc>
        <w:tc>
          <w:tcPr>
            <w:tcW w:w="7280" w:type="dxa"/>
            <w:vAlign w:val="bottom"/>
            <w:tcBorders>
              <w:bottom w:val="single" w:sz="8" w:color="E5E9E3"/>
            </w:tcBorders>
            <w:shd w:val="clear" w:color="auto" w:fill="E5E9E3"/>
          </w:tcPr>
          <w:p>
            <w:pPr>
              <w:ind w:left="520"/>
              <w:spacing w:after="0"/>
              <w:rPr>
                <w:sz w:val="20"/>
                <w:szCs w:val="20"/>
                <w:color w:val="auto"/>
              </w:rPr>
            </w:pPr>
            <w:r>
              <w:rPr>
                <w:rFonts w:ascii="Arial" w:cs="Arial" w:eastAsia="Arial" w:hAnsi="Arial"/>
                <w:sz w:val="17"/>
                <w:szCs w:val="17"/>
                <w:color w:val="auto"/>
              </w:rPr>
              <w:t>Chief Executive Officer (“</w:t>
            </w:r>
            <w:r>
              <w:rPr>
                <w:rFonts w:ascii="Arial" w:cs="Arial" w:eastAsia="Arial" w:hAnsi="Arial"/>
                <w:sz w:val="17"/>
                <w:szCs w:val="17"/>
                <w:b w:val="1"/>
                <w:bCs w:val="1"/>
                <w:color w:val="auto"/>
              </w:rPr>
              <w:t>CEO</w:t>
            </w:r>
            <w:r>
              <w:rPr>
                <w:rFonts w:ascii="Arial" w:cs="Arial" w:eastAsia="Arial" w:hAnsi="Arial"/>
                <w:sz w:val="17"/>
                <w:szCs w:val="17"/>
                <w:color w:val="auto"/>
              </w:rPr>
              <w:t>”)</w:t>
            </w:r>
          </w:p>
        </w:tc>
      </w:tr>
      <w:tr>
        <w:trPr>
          <w:trHeight w:val="267"/>
        </w:trPr>
        <w:tc>
          <w:tcPr>
            <w:tcW w:w="1900" w:type="dxa"/>
            <w:vAlign w:val="bottom"/>
          </w:tcPr>
          <w:p>
            <w:pPr>
              <w:ind w:left="80"/>
              <w:spacing w:after="0"/>
              <w:rPr>
                <w:sz w:val="20"/>
                <w:szCs w:val="20"/>
                <w:color w:val="auto"/>
              </w:rPr>
            </w:pPr>
            <w:r>
              <w:rPr>
                <w:rFonts w:ascii="Arial" w:cs="Arial" w:eastAsia="Arial" w:hAnsi="Arial"/>
                <w:sz w:val="17"/>
                <w:szCs w:val="17"/>
                <w:color w:val="auto"/>
              </w:rPr>
              <w:t>Dr. Harpal Gill</w:t>
            </w:r>
          </w:p>
        </w:tc>
        <w:tc>
          <w:tcPr>
            <w:tcW w:w="7280" w:type="dxa"/>
            <w:vAlign w:val="bottom"/>
          </w:tcPr>
          <w:p>
            <w:pPr>
              <w:ind w:left="520"/>
              <w:spacing w:after="0"/>
              <w:rPr>
                <w:sz w:val="20"/>
                <w:szCs w:val="20"/>
                <w:color w:val="auto"/>
              </w:rPr>
            </w:pPr>
            <w:r>
              <w:rPr>
                <w:rFonts w:ascii="Arial" w:cs="Arial" w:eastAsia="Arial" w:hAnsi="Arial"/>
                <w:sz w:val="17"/>
                <w:szCs w:val="17"/>
                <w:color w:val="auto"/>
              </w:rPr>
              <w:t>President and Chief Operating Officer(“</w:t>
            </w:r>
            <w:r>
              <w:rPr>
                <w:rFonts w:ascii="Arial" w:cs="Arial" w:eastAsia="Arial" w:hAnsi="Arial"/>
                <w:sz w:val="17"/>
                <w:szCs w:val="17"/>
                <w:b w:val="1"/>
                <w:bCs w:val="1"/>
                <w:color w:val="auto"/>
              </w:rPr>
              <w:t>COO</w:t>
            </w:r>
            <w:r>
              <w:rPr>
                <w:rFonts w:ascii="Arial" w:cs="Arial" w:eastAsia="Arial" w:hAnsi="Arial"/>
                <w:sz w:val="17"/>
                <w:szCs w:val="17"/>
                <w:color w:val="auto"/>
              </w:rPr>
              <w:t>”)</w:t>
            </w:r>
          </w:p>
        </w:tc>
      </w:tr>
      <w:tr>
        <w:trPr>
          <w:trHeight w:val="31"/>
        </w:trPr>
        <w:tc>
          <w:tcPr>
            <w:tcW w:w="190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77"/>
        </w:trPr>
        <w:tc>
          <w:tcPr>
            <w:tcW w:w="19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Csaba Sverha</w:t>
            </w:r>
          </w:p>
        </w:tc>
        <w:tc>
          <w:tcPr>
            <w:tcW w:w="7280" w:type="dxa"/>
            <w:vAlign w:val="bottom"/>
            <w:tcBorders>
              <w:bottom w:val="single" w:sz="8" w:color="E5E9E3"/>
            </w:tcBorders>
            <w:shd w:val="clear" w:color="auto" w:fill="E5E9E3"/>
          </w:tcPr>
          <w:p>
            <w:pPr>
              <w:ind w:left="520"/>
              <w:spacing w:after="0"/>
              <w:rPr>
                <w:sz w:val="20"/>
                <w:szCs w:val="20"/>
                <w:color w:val="auto"/>
              </w:rPr>
            </w:pPr>
            <w:r>
              <w:rPr>
                <w:rFonts w:ascii="Arial" w:cs="Arial" w:eastAsia="Arial" w:hAnsi="Arial"/>
                <w:sz w:val="17"/>
                <w:szCs w:val="17"/>
                <w:color w:val="auto"/>
              </w:rPr>
              <w:t>Executive Vice President, Chief Financial Officer (“</w:t>
            </w:r>
            <w:r>
              <w:rPr>
                <w:rFonts w:ascii="Arial" w:cs="Arial" w:eastAsia="Arial" w:hAnsi="Arial"/>
                <w:sz w:val="17"/>
                <w:szCs w:val="17"/>
                <w:b w:val="1"/>
                <w:bCs w:val="1"/>
                <w:color w:val="auto"/>
              </w:rPr>
              <w:t>CFO</w:t>
            </w:r>
            <w:r>
              <w:rPr>
                <w:rFonts w:ascii="Arial" w:cs="Arial" w:eastAsia="Arial" w:hAnsi="Arial"/>
                <w:sz w:val="17"/>
                <w:szCs w:val="17"/>
                <w:color w:val="auto"/>
              </w:rPr>
              <w:t>”)</w:t>
            </w:r>
          </w:p>
        </w:tc>
      </w:tr>
      <w:tr>
        <w:trPr>
          <w:trHeight w:val="257"/>
        </w:trPr>
        <w:tc>
          <w:tcPr>
            <w:tcW w:w="1900" w:type="dxa"/>
            <w:vAlign w:val="bottom"/>
          </w:tcPr>
          <w:p>
            <w:pPr>
              <w:ind w:left="80"/>
              <w:spacing w:after="0"/>
              <w:rPr>
                <w:sz w:val="20"/>
                <w:szCs w:val="20"/>
                <w:color w:val="auto"/>
              </w:rPr>
            </w:pPr>
            <w:r>
              <w:rPr>
                <w:rFonts w:ascii="Arial" w:cs="Arial" w:eastAsia="Arial" w:hAnsi="Arial"/>
                <w:sz w:val="17"/>
                <w:szCs w:val="17"/>
                <w:color w:val="auto"/>
              </w:rPr>
              <w:t>Edward T. Archer</w:t>
            </w:r>
          </w:p>
        </w:tc>
        <w:tc>
          <w:tcPr>
            <w:tcW w:w="7280" w:type="dxa"/>
            <w:vAlign w:val="bottom"/>
          </w:tcPr>
          <w:p>
            <w:pPr>
              <w:ind w:left="520"/>
              <w:spacing w:after="0"/>
              <w:rPr>
                <w:sz w:val="20"/>
                <w:szCs w:val="20"/>
                <w:color w:val="auto"/>
              </w:rPr>
            </w:pPr>
            <w:r>
              <w:rPr>
                <w:rFonts w:ascii="Arial" w:cs="Arial" w:eastAsia="Arial" w:hAnsi="Arial"/>
                <w:sz w:val="17"/>
                <w:szCs w:val="17"/>
                <w:color w:val="auto"/>
              </w:rPr>
              <w:t>Executive Vice President, Sales &amp; Marketing</w:t>
            </w:r>
          </w:p>
        </w:tc>
      </w:tr>
      <w:tr>
        <w:trPr>
          <w:trHeight w:val="41"/>
        </w:trPr>
        <w:tc>
          <w:tcPr>
            <w:tcW w:w="1900" w:type="dxa"/>
            <w:vAlign w:val="bottom"/>
          </w:tcPr>
          <w:p>
            <w:pPr>
              <w:spacing w:after="0"/>
              <w:rPr>
                <w:sz w:val="3"/>
                <w:szCs w:val="3"/>
                <w:color w:val="auto"/>
              </w:rPr>
            </w:pPr>
          </w:p>
        </w:tc>
        <w:tc>
          <w:tcPr>
            <w:tcW w:w="7280" w:type="dxa"/>
            <w:vAlign w:val="bottom"/>
          </w:tcPr>
          <w:p>
            <w:pPr>
              <w:spacing w:after="0"/>
              <w:rPr>
                <w:sz w:val="3"/>
                <w:szCs w:val="3"/>
                <w:color w:val="auto"/>
              </w:rPr>
            </w:pPr>
          </w:p>
        </w:tc>
      </w:tr>
      <w:tr>
        <w:trPr>
          <w:trHeight w:val="94"/>
        </w:trPr>
        <w:tc>
          <w:tcPr>
            <w:tcW w:w="1900" w:type="dxa"/>
            <w:vAlign w:val="bottom"/>
            <w:shd w:val="clear" w:color="auto" w:fill="819F7C"/>
          </w:tcPr>
          <w:p>
            <w:pPr>
              <w:spacing w:after="0"/>
              <w:rPr>
                <w:sz w:val="8"/>
                <w:szCs w:val="8"/>
                <w:color w:val="auto"/>
              </w:rPr>
            </w:pPr>
          </w:p>
        </w:tc>
        <w:tc>
          <w:tcPr>
            <w:tcW w:w="7280" w:type="dxa"/>
            <w:vAlign w:val="bottom"/>
            <w:shd w:val="clear" w:color="auto" w:fill="819F7C"/>
          </w:tcPr>
          <w:p>
            <w:pPr>
              <w:spacing w:after="0"/>
              <w:rPr>
                <w:sz w:val="8"/>
                <w:szCs w:val="8"/>
                <w:color w:val="auto"/>
              </w:rPr>
            </w:pPr>
          </w:p>
        </w:tc>
      </w:tr>
    </w:tbl>
    <w:p>
      <w:pPr>
        <w:spacing w:after="0" w:line="18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Shareholder Engagement Following Recent Say-on-Pay Votes</w:t>
      </w:r>
    </w:p>
    <w:p>
      <w:pPr>
        <w:spacing w:after="0" w:line="108" w:lineRule="exact"/>
        <w:rPr>
          <w:sz w:val="20"/>
          <w:szCs w:val="20"/>
          <w:color w:val="auto"/>
        </w:rPr>
      </w:pPr>
    </w:p>
    <w:p>
      <w:pPr>
        <w:jc w:val="both"/>
        <w:ind w:left="920" w:right="920"/>
        <w:spacing w:after="0" w:line="238" w:lineRule="auto"/>
        <w:rPr>
          <w:sz w:val="20"/>
          <w:szCs w:val="20"/>
          <w:color w:val="auto"/>
        </w:rPr>
      </w:pPr>
      <w:r>
        <w:rPr>
          <w:rFonts w:ascii="Arial" w:cs="Arial" w:eastAsia="Arial" w:hAnsi="Arial"/>
          <w:sz w:val="18"/>
          <w:szCs w:val="18"/>
          <w:color w:val="auto"/>
        </w:rPr>
        <w:t>We are committed to maintaining an active dialogue with our shareholders to understand their priorities and concerns, as we believe that ongoing engagement builds mutual trust and understanding. We have conducted shareholder outreach annually since 2016 and have provided shareholders with an annual say-on-pay advisory vote on the compensation of our Named Officers since 2012. Most recently, in November 2023, we invited our then 25 largest shareholders, representing approximately 75% of our shares outstanding as of October 31, 2023, to provide feedback on our executive compensation and corporate governance practices by participating in conference calls with the Chairs of our Compensation, Audit, and Nominating &amp; Corporate Governance Committees. Following this outreach and prior to our 2023 annual general meeting of shareholders, the Chairs of our Compensation, Audit, and Nominating &amp; Corporate Governance Committees had discussions with those shareholders that responded to the outreach, which investors represented approximately 30% of our shares outstanding as of October 31, 2023, including eight of our 25 then largest shareholders.</w:t>
      </w:r>
    </w:p>
    <w:p>
      <w:pPr>
        <w:spacing w:after="0" w:line="78" w:lineRule="exact"/>
        <w:rPr>
          <w:sz w:val="20"/>
          <w:szCs w:val="20"/>
          <w:color w:val="auto"/>
        </w:rPr>
      </w:pPr>
    </w:p>
    <w:p>
      <w:pPr>
        <w:jc w:val="both"/>
        <w:ind w:left="920" w:right="940"/>
        <w:spacing w:after="0" w:line="247" w:lineRule="auto"/>
        <w:rPr>
          <w:sz w:val="20"/>
          <w:szCs w:val="20"/>
          <w:color w:val="auto"/>
        </w:rPr>
      </w:pPr>
      <w:r>
        <w:rPr>
          <w:rFonts w:ascii="Arial" w:cs="Arial" w:eastAsia="Arial" w:hAnsi="Arial"/>
          <w:sz w:val="18"/>
          <w:szCs w:val="18"/>
          <w:color w:val="auto"/>
        </w:rPr>
        <w:t>We will continue our practice of shareholder outreach on our executive compensation and governance practices by again soliciting the views of institutional shareholders representing in the aggregate more than 75% of our shares outstanding as of October 31, 2024, including our 25 largest shareholders on that date. We will contact these shareholders after the filing of this proxy statement to invite them to a call before the date of the Annual Meeting.</w:t>
      </w:r>
    </w:p>
    <w:p>
      <w:pPr>
        <w:spacing w:after="0" w:line="66"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We are very pleased that our shareholders have expressed their continued support of our compensation practices every year since 2016, with approximately 96%, 83%, 99% and 82% of the votes cast at our 2023, 2022, 2021 and 2020 annual general meetings of shareholders, respectively, being voted in favor of our executive compensation as disclosed in our proxy statements for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156845</wp:posOffset>
            </wp:positionV>
            <wp:extent cx="4826000" cy="17487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2600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  </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35</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Fiscal 2024 Compensation Decisions</w:t>
      </w:r>
    </w:p>
    <w:p>
      <w:pPr>
        <w:spacing w:after="0" w:line="108" w:lineRule="exact"/>
        <w:rPr>
          <w:sz w:val="20"/>
          <w:szCs w:val="20"/>
          <w:color w:val="auto"/>
        </w:rPr>
      </w:pPr>
    </w:p>
    <w:p>
      <w:pPr>
        <w:jc w:val="both"/>
        <w:ind w:left="60" w:right="20"/>
        <w:spacing w:after="0" w:line="247" w:lineRule="auto"/>
        <w:rPr>
          <w:sz w:val="20"/>
          <w:szCs w:val="20"/>
          <w:color w:val="auto"/>
        </w:rPr>
      </w:pPr>
      <w:r>
        <w:rPr>
          <w:rFonts w:ascii="Arial" w:cs="Arial" w:eastAsia="Arial" w:hAnsi="Arial"/>
          <w:sz w:val="18"/>
          <w:szCs w:val="18"/>
          <w:color w:val="auto"/>
        </w:rPr>
        <w:t>In light of the results of our recent say-on-pay votes and the feedback received from shareholders, the Compensation Committee maintained a similar overall design and continued to enhance the link between executive pay and longer-term company performance when it approved in August 2023 our executive compensation program for fiscal 2024, as summarized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324"/>
        </w:trPr>
        <w:tc>
          <w:tcPr>
            <w:tcW w:w="2280" w:type="dxa"/>
            <w:vAlign w:val="bottom"/>
            <w:shd w:val="clear" w:color="auto" w:fill="819F7C"/>
          </w:tcPr>
          <w:p>
            <w:pPr>
              <w:ind w:left="80"/>
              <w:spacing w:after="0"/>
              <w:rPr>
                <w:sz w:val="20"/>
                <w:szCs w:val="20"/>
                <w:color w:val="auto"/>
              </w:rPr>
            </w:pPr>
            <w:r>
              <w:rPr>
                <w:rFonts w:ascii="Arial" w:cs="Arial" w:eastAsia="Arial" w:hAnsi="Arial"/>
                <w:sz w:val="17"/>
                <w:szCs w:val="17"/>
                <w:b w:val="1"/>
                <w:bCs w:val="1"/>
                <w:color w:val="FFFFFF"/>
              </w:rPr>
              <w:t>Compensation Element</w:t>
            </w:r>
          </w:p>
        </w:tc>
        <w:tc>
          <w:tcPr>
            <w:tcW w:w="3500" w:type="dxa"/>
            <w:vAlign w:val="bottom"/>
            <w:shd w:val="clear" w:color="auto" w:fill="819F7C"/>
          </w:tcPr>
          <w:p>
            <w:pPr>
              <w:jc w:val="right"/>
              <w:ind w:right="1294"/>
              <w:spacing w:after="0"/>
              <w:rPr>
                <w:sz w:val="20"/>
                <w:szCs w:val="20"/>
                <w:color w:val="auto"/>
              </w:rPr>
            </w:pPr>
            <w:r>
              <w:rPr>
                <w:rFonts w:ascii="Arial" w:cs="Arial" w:eastAsia="Arial" w:hAnsi="Arial"/>
                <w:sz w:val="17"/>
                <w:szCs w:val="17"/>
                <w:b w:val="1"/>
                <w:bCs w:val="1"/>
                <w:color w:val="FFFFFF"/>
              </w:rPr>
              <w:t>Decision</w:t>
            </w:r>
          </w:p>
        </w:tc>
        <w:tc>
          <w:tcPr>
            <w:tcW w:w="3400" w:type="dxa"/>
            <w:vAlign w:val="bottom"/>
            <w:shd w:val="clear" w:color="auto" w:fill="819F7C"/>
          </w:tcPr>
          <w:p>
            <w:pPr>
              <w:ind w:left="240"/>
              <w:spacing w:after="0"/>
              <w:rPr>
                <w:sz w:val="20"/>
                <w:szCs w:val="20"/>
                <w:color w:val="auto"/>
              </w:rPr>
            </w:pPr>
            <w:r>
              <w:rPr>
                <w:rFonts w:ascii="Arial" w:cs="Arial" w:eastAsia="Arial" w:hAnsi="Arial"/>
                <w:sz w:val="17"/>
                <w:szCs w:val="17"/>
                <w:b w:val="1"/>
                <w:bCs w:val="1"/>
                <w:color w:val="FFFFFF"/>
              </w:rPr>
              <w:t>Weighting of Performance Measures</w:t>
            </w:r>
          </w:p>
        </w:tc>
      </w:tr>
      <w:tr>
        <w:trPr>
          <w:trHeight w:val="217"/>
        </w:trPr>
        <w:tc>
          <w:tcPr>
            <w:tcW w:w="2280" w:type="dxa"/>
            <w:vAlign w:val="bottom"/>
          </w:tcPr>
          <w:p>
            <w:pPr>
              <w:ind w:left="80"/>
              <w:spacing w:after="0"/>
              <w:rPr>
                <w:sz w:val="20"/>
                <w:szCs w:val="20"/>
                <w:color w:val="auto"/>
              </w:rPr>
            </w:pPr>
            <w:r>
              <w:rPr>
                <w:rFonts w:ascii="Arial" w:cs="Arial" w:eastAsia="Arial" w:hAnsi="Arial"/>
                <w:sz w:val="17"/>
                <w:szCs w:val="17"/>
                <w:color w:val="auto"/>
              </w:rPr>
              <w:t>Base salary</w:t>
            </w:r>
          </w:p>
        </w:tc>
        <w:tc>
          <w:tcPr>
            <w:tcW w:w="3500" w:type="dxa"/>
            <w:vAlign w:val="bottom"/>
          </w:tcPr>
          <w:p>
            <w:pPr>
              <w:jc w:val="right"/>
              <w:ind w:right="34"/>
              <w:spacing w:after="0"/>
              <w:rPr>
                <w:sz w:val="20"/>
                <w:szCs w:val="20"/>
                <w:color w:val="auto"/>
              </w:rPr>
            </w:pPr>
            <w:r>
              <w:rPr>
                <w:rFonts w:ascii="Arial" w:cs="Arial" w:eastAsia="Arial" w:hAnsi="Arial"/>
                <w:sz w:val="17"/>
                <w:szCs w:val="17"/>
                <w:color w:val="auto"/>
              </w:rPr>
              <w:t>     CEO’s annual base salary increased</w:t>
            </w:r>
          </w:p>
        </w:tc>
        <w:tc>
          <w:tcPr>
            <w:tcW w:w="3400" w:type="dxa"/>
            <w:vAlign w:val="bottom"/>
          </w:tcPr>
          <w:p>
            <w:pPr>
              <w:ind w:left="100"/>
              <w:spacing w:after="0"/>
              <w:rPr>
                <w:sz w:val="20"/>
                <w:szCs w:val="20"/>
                <w:color w:val="auto"/>
              </w:rPr>
            </w:pPr>
            <w:r>
              <w:rPr>
                <w:rFonts w:ascii="Arial" w:cs="Arial" w:eastAsia="Arial" w:hAnsi="Arial"/>
                <w:sz w:val="17"/>
                <w:szCs w:val="17"/>
                <w:color w:val="auto"/>
              </w:rPr>
              <w:t>N/A</w:t>
            </w:r>
          </w:p>
        </w:tc>
      </w:tr>
      <w:tr>
        <w:trPr>
          <w:trHeight w:val="221"/>
        </w:trPr>
        <w:tc>
          <w:tcPr>
            <w:tcW w:w="2280" w:type="dxa"/>
            <w:vAlign w:val="bottom"/>
          </w:tcPr>
          <w:p>
            <w:pPr>
              <w:spacing w:after="0"/>
              <w:rPr>
                <w:sz w:val="19"/>
                <w:szCs w:val="19"/>
                <w:color w:val="auto"/>
              </w:rPr>
            </w:pPr>
          </w:p>
        </w:tc>
        <w:tc>
          <w:tcPr>
            <w:tcW w:w="3500" w:type="dxa"/>
            <w:vAlign w:val="bottom"/>
          </w:tcPr>
          <w:p>
            <w:pPr>
              <w:jc w:val="right"/>
              <w:ind w:right="34"/>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8.7%</w:t>
            </w:r>
            <w:r>
              <w:rPr>
                <w:rFonts w:ascii="Arial" w:cs="Arial" w:eastAsia="Arial" w:hAnsi="Arial"/>
                <w:sz w:val="17"/>
                <w:szCs w:val="17"/>
                <w:color w:val="auto"/>
              </w:rPr>
              <w:t>, as compared to fiscal 2023</w:t>
            </w:r>
          </w:p>
        </w:tc>
        <w:tc>
          <w:tcPr>
            <w:tcW w:w="3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-277495</wp:posOffset>
            </wp:positionV>
            <wp:extent cx="5829300" cy="8058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0" cy="80581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2480"/>
        <w:spacing w:after="0"/>
        <w:rPr>
          <w:sz w:val="20"/>
          <w:szCs w:val="20"/>
          <w:color w:val="auto"/>
        </w:rPr>
      </w:pPr>
      <w:r>
        <w:rPr>
          <w:sz w:val="1"/>
          <w:szCs w:val="1"/>
          <w:color w:val="auto"/>
        </w:rPr>
        <w:drawing>
          <wp:inline distT="0" distB="0" distL="0" distR="0">
            <wp:extent cx="94615" cy="9461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7"/>
          <w:szCs w:val="17"/>
          <w:color w:val="auto"/>
        </w:rPr>
        <w:t>     Other  NEO  annual  base  salaries</w:t>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 xml:space="preserve">increased  by  between  </w:t>
      </w:r>
      <w:r>
        <w:rPr>
          <w:rFonts w:ascii="Arial" w:cs="Arial" w:eastAsia="Arial" w:hAnsi="Arial"/>
          <w:sz w:val="17"/>
          <w:szCs w:val="17"/>
          <w:b w:val="1"/>
          <w:bCs w:val="1"/>
          <w:color w:val="auto"/>
        </w:rPr>
        <w:t>1.9%  and</w:t>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2.6%</w:t>
      </w:r>
      <w:r>
        <w:rPr>
          <w:rFonts w:ascii="Arial" w:cs="Arial" w:eastAsia="Arial" w:hAnsi="Arial"/>
          <w:sz w:val="17"/>
          <w:szCs w:val="17"/>
          <w:color w:val="auto"/>
        </w:rPr>
        <w:t>, as compared to fiscal 2023</w:t>
      </w:r>
    </w:p>
    <w:p>
      <w:pPr>
        <w:sectPr>
          <w:pgSz w:w="11900" w:h="16838" w:orient="portrait"/>
          <w:cols w:equalWidth="0" w:num="1">
            <w:col w:w="9240"/>
          </w:cols>
          <w:pgMar w:left="1300" w:top="114" w:right="1359" w:bottom="993" w:gutter="0" w:footer="0" w:header="0"/>
        </w:sectPr>
      </w:pPr>
    </w:p>
    <w:p>
      <w:pPr>
        <w:spacing w:after="0" w:line="45"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Arial" w:cs="Arial" w:eastAsia="Arial" w:hAnsi="Arial"/>
                <w:sz w:val="17"/>
                <w:szCs w:val="17"/>
                <w:color w:val="auto"/>
              </w:rPr>
              <w:t>Short-term cash incentive</w:t>
            </w:r>
          </w:p>
        </w:tc>
        <w:tc>
          <w:tcPr>
            <w:tcW w:w="1700" w:type="dxa"/>
            <w:vAlign w:val="bottom"/>
          </w:tcPr>
          <w:p>
            <w:pPr>
              <w:ind w:left="280"/>
              <w:spacing w:after="0"/>
              <w:rPr>
                <w:sz w:val="20"/>
                <w:szCs w:val="20"/>
                <w:color w:val="auto"/>
              </w:rPr>
            </w:pPr>
            <w:r>
              <w:rPr>
                <w:rFonts w:ascii="Arial" w:cs="Arial" w:eastAsia="Arial" w:hAnsi="Arial"/>
                <w:sz w:val="17"/>
                <w:szCs w:val="17"/>
                <w:color w:val="auto"/>
              </w:rPr>
              <w:t>     Target  cash</w:t>
            </w:r>
          </w:p>
        </w:tc>
        <w:tc>
          <w:tcPr>
            <w:tcW w:w="620" w:type="dxa"/>
            <w:vAlign w:val="bottom"/>
          </w:tcPr>
          <w:p>
            <w:pPr>
              <w:ind w:left="20"/>
              <w:spacing w:after="0"/>
              <w:rPr>
                <w:sz w:val="20"/>
                <w:szCs w:val="20"/>
                <w:color w:val="auto"/>
              </w:rPr>
            </w:pPr>
            <w:r>
              <w:rPr>
                <w:rFonts w:ascii="Arial" w:cs="Arial" w:eastAsia="Arial" w:hAnsi="Arial"/>
                <w:sz w:val="17"/>
                <w:szCs w:val="17"/>
                <w:color w:val="auto"/>
              </w:rPr>
              <w:t>bonus</w:t>
            </w:r>
          </w:p>
        </w:tc>
        <w:tc>
          <w:tcPr>
            <w:tcW w:w="1040" w:type="dxa"/>
            <w:vAlign w:val="bottom"/>
          </w:tcPr>
          <w:p>
            <w:pPr>
              <w:jc w:val="right"/>
              <w:spacing w:after="0"/>
              <w:rPr>
                <w:sz w:val="20"/>
                <w:szCs w:val="20"/>
                <w:color w:val="auto"/>
              </w:rPr>
            </w:pPr>
            <w:r>
              <w:rPr>
                <w:rFonts w:ascii="Arial" w:cs="Arial" w:eastAsia="Arial" w:hAnsi="Arial"/>
                <w:sz w:val="17"/>
                <w:szCs w:val="17"/>
                <w:color w:val="auto"/>
              </w:rPr>
              <w:t>opportunities</w:t>
            </w:r>
          </w:p>
        </w:tc>
      </w:tr>
      <w:tr>
        <w:trPr>
          <w:trHeight w:val="203"/>
        </w:trPr>
        <w:tc>
          <w:tcPr>
            <w:tcW w:w="2220" w:type="dxa"/>
            <w:vAlign w:val="bottom"/>
          </w:tcPr>
          <w:p>
            <w:pPr>
              <w:spacing w:after="0"/>
              <w:rPr>
                <w:sz w:val="20"/>
                <w:szCs w:val="20"/>
                <w:color w:val="auto"/>
              </w:rPr>
            </w:pPr>
            <w:r>
              <w:rPr>
                <w:rFonts w:ascii="Arial" w:cs="Arial" w:eastAsia="Arial" w:hAnsi="Arial"/>
                <w:sz w:val="17"/>
                <w:szCs w:val="17"/>
                <w:color w:val="auto"/>
              </w:rPr>
              <w:t>(Fiscal 2024 Bonus Plan)</w:t>
            </w:r>
          </w:p>
        </w:tc>
        <w:tc>
          <w:tcPr>
            <w:tcW w:w="3360" w:type="dxa"/>
            <w:vAlign w:val="bottom"/>
            <w:gridSpan w:val="3"/>
          </w:tcPr>
          <w:p>
            <w:pPr>
              <w:ind w:left="540"/>
              <w:spacing w:after="0"/>
              <w:rPr>
                <w:sz w:val="20"/>
                <w:szCs w:val="20"/>
                <w:color w:val="auto"/>
              </w:rPr>
            </w:pPr>
            <w:r>
              <w:rPr>
                <w:rFonts w:ascii="Arial" w:cs="Arial" w:eastAsia="Arial" w:hAnsi="Arial"/>
                <w:sz w:val="17"/>
                <w:szCs w:val="17"/>
                <w:color w:val="auto"/>
              </w:rPr>
              <w:t>(determined  as  a  percentage  of</w:t>
            </w:r>
          </w:p>
        </w:tc>
      </w:tr>
      <w:tr>
        <w:trPr>
          <w:trHeight w:val="203"/>
        </w:trPr>
        <w:tc>
          <w:tcPr>
            <w:tcW w:w="2220" w:type="dxa"/>
            <w:vAlign w:val="bottom"/>
          </w:tcPr>
          <w:p>
            <w:pPr>
              <w:spacing w:after="0"/>
              <w:rPr>
                <w:sz w:val="17"/>
                <w:szCs w:val="17"/>
                <w:color w:val="auto"/>
              </w:rPr>
            </w:pPr>
          </w:p>
        </w:tc>
        <w:tc>
          <w:tcPr>
            <w:tcW w:w="3360" w:type="dxa"/>
            <w:vAlign w:val="bottom"/>
            <w:gridSpan w:val="3"/>
          </w:tcPr>
          <w:p>
            <w:pPr>
              <w:ind w:left="540"/>
              <w:spacing w:after="0"/>
              <w:rPr>
                <w:sz w:val="20"/>
                <w:szCs w:val="20"/>
                <w:color w:val="auto"/>
              </w:rPr>
            </w:pPr>
            <w:r>
              <w:rPr>
                <w:rFonts w:ascii="Arial" w:cs="Arial" w:eastAsia="Arial" w:hAnsi="Arial"/>
                <w:sz w:val="17"/>
                <w:szCs w:val="17"/>
                <w:color w:val="auto"/>
              </w:rPr>
              <w:t>annual base salary) increased in line</w:t>
            </w:r>
          </w:p>
        </w:tc>
      </w:tr>
      <w:tr>
        <w:trPr>
          <w:trHeight w:val="203"/>
        </w:trPr>
        <w:tc>
          <w:tcPr>
            <w:tcW w:w="2220" w:type="dxa"/>
            <w:vAlign w:val="bottom"/>
          </w:tcPr>
          <w:p>
            <w:pPr>
              <w:spacing w:after="0"/>
              <w:rPr>
                <w:sz w:val="17"/>
                <w:szCs w:val="17"/>
                <w:color w:val="auto"/>
              </w:rPr>
            </w:pPr>
          </w:p>
        </w:tc>
        <w:tc>
          <w:tcPr>
            <w:tcW w:w="3360" w:type="dxa"/>
            <w:vAlign w:val="bottom"/>
            <w:gridSpan w:val="3"/>
          </w:tcPr>
          <w:p>
            <w:pPr>
              <w:ind w:left="540"/>
              <w:spacing w:after="0"/>
              <w:rPr>
                <w:sz w:val="20"/>
                <w:szCs w:val="20"/>
                <w:color w:val="auto"/>
              </w:rPr>
            </w:pPr>
            <w:r>
              <w:rPr>
                <w:rFonts w:ascii="Arial" w:cs="Arial" w:eastAsia="Arial" w:hAnsi="Arial"/>
                <w:sz w:val="17"/>
                <w:szCs w:val="17"/>
                <w:color w:val="auto"/>
              </w:rPr>
              <w:t>with increases to NEO annual base</w:t>
            </w:r>
          </w:p>
        </w:tc>
      </w:tr>
      <w:tr>
        <w:trPr>
          <w:trHeight w:val="203"/>
        </w:trPr>
        <w:tc>
          <w:tcPr>
            <w:tcW w:w="2220" w:type="dxa"/>
            <w:vAlign w:val="bottom"/>
          </w:tcPr>
          <w:p>
            <w:pPr>
              <w:spacing w:after="0"/>
              <w:rPr>
                <w:sz w:val="17"/>
                <w:szCs w:val="17"/>
                <w:color w:val="auto"/>
              </w:rPr>
            </w:pPr>
          </w:p>
        </w:tc>
        <w:tc>
          <w:tcPr>
            <w:tcW w:w="1700" w:type="dxa"/>
            <w:vAlign w:val="bottom"/>
          </w:tcPr>
          <w:p>
            <w:pPr>
              <w:ind w:left="540"/>
              <w:spacing w:after="0"/>
              <w:rPr>
                <w:sz w:val="20"/>
                <w:szCs w:val="20"/>
                <w:color w:val="auto"/>
              </w:rPr>
            </w:pPr>
            <w:r>
              <w:rPr>
                <w:rFonts w:ascii="Arial" w:cs="Arial" w:eastAsia="Arial" w:hAnsi="Arial"/>
                <w:sz w:val="17"/>
                <w:szCs w:val="17"/>
                <w:color w:val="auto"/>
              </w:rPr>
              <w:t>salaries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700" w:type="dxa"/>
            <w:vAlign w:val="bottom"/>
          </w:tcPr>
          <w:p>
            <w:pPr>
              <w:ind w:left="400"/>
              <w:spacing w:after="0"/>
              <w:rPr>
                <w:sz w:val="20"/>
                <w:szCs w:val="20"/>
                <w:color w:val="auto"/>
              </w:rPr>
            </w:pPr>
            <w:r>
              <w:rPr>
                <w:rFonts w:ascii="Arial" w:cs="Arial" w:eastAsia="Arial" w:hAnsi="Arial"/>
                <w:sz w:val="17"/>
                <w:szCs w:val="17"/>
                <w:color w:val="auto"/>
              </w:rPr>
              <w:t> </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360" w:type="dxa"/>
            <w:vAlign w:val="bottom"/>
            <w:gridSpan w:val="3"/>
          </w:tcPr>
          <w:p>
            <w:pPr>
              <w:jc w:val="right"/>
              <w:spacing w:after="0"/>
              <w:rPr>
                <w:sz w:val="20"/>
                <w:szCs w:val="20"/>
                <w:color w:val="auto"/>
              </w:rPr>
            </w:pPr>
            <w:r>
              <w:rPr>
                <w:rFonts w:ascii="Arial" w:cs="Arial" w:eastAsia="Arial" w:hAnsi="Arial"/>
                <w:sz w:val="17"/>
                <w:szCs w:val="17"/>
                <w:color w:val="auto"/>
              </w:rPr>
              <w:t>     Maximum cash bonus opportunity for</w:t>
            </w:r>
          </w:p>
        </w:tc>
      </w:tr>
      <w:tr>
        <w:trPr>
          <w:trHeight w:val="203"/>
        </w:trPr>
        <w:tc>
          <w:tcPr>
            <w:tcW w:w="2220" w:type="dxa"/>
            <w:vAlign w:val="bottom"/>
          </w:tcPr>
          <w:p>
            <w:pPr>
              <w:spacing w:after="0"/>
              <w:rPr>
                <w:sz w:val="17"/>
                <w:szCs w:val="17"/>
                <w:color w:val="auto"/>
              </w:rPr>
            </w:pPr>
          </w:p>
        </w:tc>
        <w:tc>
          <w:tcPr>
            <w:tcW w:w="1700" w:type="dxa"/>
            <w:vAlign w:val="bottom"/>
          </w:tcPr>
          <w:p>
            <w:pPr>
              <w:ind w:left="540"/>
              <w:spacing w:after="0"/>
              <w:rPr>
                <w:sz w:val="20"/>
                <w:szCs w:val="20"/>
                <w:color w:val="auto"/>
              </w:rPr>
            </w:pPr>
            <w:r>
              <w:rPr>
                <w:rFonts w:ascii="Arial" w:cs="Arial" w:eastAsia="Arial" w:hAnsi="Arial"/>
                <w:sz w:val="17"/>
                <w:szCs w:val="17"/>
                <w:color w:val="auto"/>
              </w:rPr>
              <w:t>exceeding  the</w:t>
            </w:r>
          </w:p>
        </w:tc>
        <w:tc>
          <w:tcPr>
            <w:tcW w:w="620" w:type="dxa"/>
            <w:vAlign w:val="bottom"/>
          </w:tcPr>
          <w:p>
            <w:pPr>
              <w:ind w:left="120"/>
              <w:spacing w:after="0"/>
              <w:rPr>
                <w:sz w:val="20"/>
                <w:szCs w:val="20"/>
                <w:color w:val="auto"/>
              </w:rPr>
            </w:pPr>
            <w:r>
              <w:rPr>
                <w:rFonts w:ascii="Arial" w:cs="Arial" w:eastAsia="Arial" w:hAnsi="Arial"/>
                <w:sz w:val="17"/>
                <w:szCs w:val="17"/>
                <w:color w:val="auto"/>
              </w:rPr>
              <w:t>target</w:t>
            </w:r>
          </w:p>
        </w:tc>
        <w:tc>
          <w:tcPr>
            <w:tcW w:w="1040" w:type="dxa"/>
            <w:vAlign w:val="bottom"/>
          </w:tcPr>
          <w:p>
            <w:pPr>
              <w:jc w:val="right"/>
              <w:spacing w:after="0"/>
              <w:rPr>
                <w:sz w:val="20"/>
                <w:szCs w:val="20"/>
                <w:color w:val="auto"/>
              </w:rPr>
            </w:pPr>
            <w:r>
              <w:rPr>
                <w:rFonts w:ascii="Arial" w:cs="Arial" w:eastAsia="Arial" w:hAnsi="Arial"/>
                <w:sz w:val="17"/>
                <w:szCs w:val="17"/>
                <w:color w:val="auto"/>
              </w:rPr>
              <w:t>performance</w:t>
            </w:r>
          </w:p>
        </w:tc>
      </w:tr>
      <w:tr>
        <w:trPr>
          <w:trHeight w:val="203"/>
        </w:trPr>
        <w:tc>
          <w:tcPr>
            <w:tcW w:w="2220" w:type="dxa"/>
            <w:vAlign w:val="bottom"/>
          </w:tcPr>
          <w:p>
            <w:pPr>
              <w:spacing w:after="0"/>
              <w:rPr>
                <w:sz w:val="17"/>
                <w:szCs w:val="17"/>
                <w:color w:val="auto"/>
              </w:rPr>
            </w:pPr>
          </w:p>
        </w:tc>
        <w:tc>
          <w:tcPr>
            <w:tcW w:w="3360" w:type="dxa"/>
            <w:vAlign w:val="bottom"/>
            <w:gridSpan w:val="3"/>
          </w:tcPr>
          <w:p>
            <w:pPr>
              <w:ind w:left="540"/>
              <w:spacing w:after="0"/>
              <w:rPr>
                <w:sz w:val="20"/>
                <w:szCs w:val="20"/>
                <w:color w:val="auto"/>
              </w:rPr>
            </w:pPr>
            <w:r>
              <w:rPr>
                <w:rFonts w:ascii="Arial" w:cs="Arial" w:eastAsia="Arial" w:hAnsi="Arial"/>
                <w:sz w:val="17"/>
                <w:szCs w:val="17"/>
                <w:color w:val="auto"/>
              </w:rPr>
              <w:t>criteria remained at 120% of each</w:t>
            </w:r>
          </w:p>
        </w:tc>
      </w:tr>
      <w:tr>
        <w:trPr>
          <w:trHeight w:val="226"/>
        </w:trPr>
        <w:tc>
          <w:tcPr>
            <w:tcW w:w="2220" w:type="dxa"/>
            <w:vAlign w:val="bottom"/>
          </w:tcPr>
          <w:p>
            <w:pPr>
              <w:spacing w:after="0"/>
              <w:rPr>
                <w:sz w:val="19"/>
                <w:szCs w:val="19"/>
                <w:color w:val="auto"/>
              </w:rPr>
            </w:pPr>
          </w:p>
        </w:tc>
        <w:tc>
          <w:tcPr>
            <w:tcW w:w="3360" w:type="dxa"/>
            <w:vAlign w:val="bottom"/>
            <w:gridSpan w:val="3"/>
          </w:tcPr>
          <w:p>
            <w:pPr>
              <w:ind w:left="540"/>
              <w:spacing w:after="0"/>
              <w:rPr>
                <w:sz w:val="20"/>
                <w:szCs w:val="20"/>
                <w:color w:val="auto"/>
              </w:rPr>
            </w:pPr>
            <w:r>
              <w:rPr>
                <w:rFonts w:ascii="Arial" w:cs="Arial" w:eastAsia="Arial" w:hAnsi="Arial"/>
                <w:sz w:val="17"/>
                <w:szCs w:val="17"/>
                <w:color w:val="auto"/>
              </w:rPr>
              <w:t>NEO’s target bonus opportunity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-1285240</wp:posOffset>
            </wp:positionV>
            <wp:extent cx="94615" cy="93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-513715</wp:posOffset>
            </wp:positionV>
            <wp:extent cx="94615" cy="93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400" w:right="80" w:hanging="407"/>
        <w:spacing w:after="0"/>
        <w:rPr>
          <w:sz w:val="20"/>
          <w:szCs w:val="20"/>
          <w:color w:val="auto"/>
        </w:rPr>
      </w:pPr>
      <w:r>
        <w:rPr>
          <w:sz w:val="1"/>
          <w:szCs w:val="1"/>
          <w:color w:val="auto"/>
        </w:rPr>
        <w:drawing>
          <wp:inline distT="0" distB="0" distL="0" distR="0">
            <wp:extent cx="93980" cy="939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auto"/>
        </w:rPr>
        <w:t>    Bonuses were payable after the end of fiscal 2024 as follows:</w:t>
      </w:r>
    </w:p>
    <w:p>
      <w:pPr>
        <w:ind w:left="2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400" w:right="60" w:hanging="400"/>
        <w:spacing w:after="0" w:line="264" w:lineRule="auto"/>
        <w:tabs>
          <w:tab w:leader="none" w:pos="1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578255"/>
        </w:rPr>
        <w:t>•</w:t>
      </w:r>
      <w:r>
        <w:rPr>
          <w:rFonts w:ascii="Arial" w:cs="Arial" w:eastAsia="Arial" w:hAnsi="Arial"/>
          <w:sz w:val="16"/>
          <w:szCs w:val="16"/>
          <w:color w:val="auto"/>
        </w:rPr>
        <w:t xml:space="preserve">  50% based on achievement of a fiscal 2024 revenue metric</w:t>
      </w:r>
    </w:p>
    <w:p>
      <w:pPr>
        <w:ind w:left="440"/>
        <w:spacing w:after="0"/>
        <w:rPr>
          <w:rFonts w:ascii="Arial" w:cs="Arial" w:eastAsia="Arial" w:hAnsi="Arial"/>
          <w:sz w:val="16"/>
          <w:szCs w:val="16"/>
          <w:color w:val="auto"/>
        </w:rPr>
      </w:pPr>
      <w:r>
        <w:rPr>
          <w:rFonts w:ascii="Arial" w:cs="Arial" w:eastAsia="Arial" w:hAnsi="Arial"/>
          <w:sz w:val="17"/>
          <w:szCs w:val="17"/>
          <w:color w:val="auto"/>
        </w:rPr>
        <w:t> </w:t>
      </w:r>
    </w:p>
    <w:p>
      <w:pPr>
        <w:spacing w:after="0" w:line="7" w:lineRule="exact"/>
        <w:rPr>
          <w:rFonts w:ascii="Arial" w:cs="Arial" w:eastAsia="Arial" w:hAnsi="Arial"/>
          <w:sz w:val="16"/>
          <w:szCs w:val="16"/>
          <w:color w:val="auto"/>
        </w:rPr>
      </w:pPr>
    </w:p>
    <w:p>
      <w:pPr>
        <w:ind w:left="400" w:right="60" w:hanging="400"/>
        <w:spacing w:after="0" w:line="264" w:lineRule="auto"/>
        <w:tabs>
          <w:tab w:leader="none" w:pos="1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578255"/>
        </w:rPr>
        <w:t>•</w:t>
      </w:r>
      <w:r>
        <w:rPr>
          <w:rFonts w:ascii="Arial" w:cs="Arial" w:eastAsia="Arial" w:hAnsi="Arial"/>
          <w:sz w:val="16"/>
          <w:szCs w:val="16"/>
          <w:color w:val="auto"/>
        </w:rPr>
        <w:t xml:space="preserve">  50% based on achievement of a fiscal 2024 non-GAAP operating margin metric</w:t>
      </w:r>
    </w:p>
    <w:p>
      <w:pPr>
        <w:ind w:left="440"/>
        <w:spacing w:after="0"/>
        <w:rPr>
          <w:rFonts w:ascii="Arial" w:cs="Arial" w:eastAsia="Arial" w:hAnsi="Arial"/>
          <w:sz w:val="16"/>
          <w:szCs w:val="16"/>
          <w:color w:val="auto"/>
        </w:rPr>
      </w:pPr>
      <w:r>
        <w:rPr>
          <w:rFonts w:ascii="Arial" w:cs="Arial" w:eastAsia="Arial" w:hAnsi="Arial"/>
          <w:sz w:val="17"/>
          <w:szCs w:val="17"/>
          <w:color w:val="auto"/>
        </w:rPr>
        <w:t> </w:t>
      </w:r>
    </w:p>
    <w:p>
      <w:pPr>
        <w:spacing w:after="0" w:line="7" w:lineRule="exact"/>
        <w:rPr>
          <w:sz w:val="20"/>
          <w:szCs w:val="20"/>
          <w:color w:val="auto"/>
        </w:rPr>
      </w:pPr>
    </w:p>
    <w:p>
      <w:pPr>
        <w:jc w:val="both"/>
        <w:ind w:left="400" w:right="60" w:hanging="407"/>
        <w:spacing w:after="0"/>
        <w:rPr>
          <w:sz w:val="20"/>
          <w:szCs w:val="20"/>
          <w:color w:val="auto"/>
        </w:rPr>
      </w:pPr>
      <w:r>
        <w:rPr>
          <w:sz w:val="1"/>
          <w:szCs w:val="1"/>
          <w:color w:val="auto"/>
        </w:rPr>
        <w:drawing>
          <wp:inline distT="0" distB="0" distL="0" distR="0">
            <wp:extent cx="93980" cy="9398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auto"/>
        </w:rPr>
        <w:t>    Minimum performance threshold for each metric was 90% of the target for such metric</w:t>
      </w:r>
    </w:p>
    <w:p>
      <w:pPr>
        <w:ind w:left="2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jc w:val="both"/>
        <w:ind w:left="400" w:right="60" w:hanging="407"/>
        <w:spacing w:after="0" w:line="248" w:lineRule="auto"/>
        <w:rPr>
          <w:sz w:val="20"/>
          <w:szCs w:val="20"/>
          <w:color w:val="auto"/>
        </w:rPr>
      </w:pPr>
      <w:r>
        <w:rPr>
          <w:sz w:val="1"/>
          <w:szCs w:val="1"/>
          <w:color w:val="auto"/>
        </w:rPr>
        <w:drawing>
          <wp:inline distT="0" distB="0" distL="0" distR="0">
            <wp:extent cx="93980" cy="9461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7"/>
          <w:szCs w:val="17"/>
          <w:color w:val="auto"/>
        </w:rPr>
        <w:t>    Maximum</w:t>
      </w:r>
      <w:r>
        <w:rPr>
          <w:sz w:val="20"/>
          <w:szCs w:val="20"/>
          <w:color w:val="auto"/>
        </w:rPr>
        <w:t xml:space="preserve"> </w:t>
      </w:r>
      <w:r>
        <w:rPr>
          <w:rFonts w:ascii="Arial" w:cs="Arial" w:eastAsia="Arial" w:hAnsi="Arial"/>
          <w:sz w:val="17"/>
          <w:szCs w:val="17"/>
          <w:color w:val="auto"/>
        </w:rPr>
        <w:t>bonus opportunity was 120% of target bonus opportunity</w:t>
      </w:r>
    </w:p>
    <w:p>
      <w:pPr>
        <w:spacing w:after="0" w:line="1" w:lineRule="exact"/>
        <w:rPr>
          <w:sz w:val="20"/>
          <w:szCs w:val="20"/>
          <w:color w:val="auto"/>
        </w:rPr>
      </w:pPr>
    </w:p>
    <w:p>
      <w:pPr>
        <w:sectPr>
          <w:pgSz w:w="11900" w:h="16838" w:orient="portrait"/>
          <w:cols w:equalWidth="0" w:num="2">
            <w:col w:w="5720" w:space="220"/>
            <w:col w:w="3300"/>
          </w:cols>
          <w:pgMar w:left="1300" w:top="114" w:right="1359" w:bottom="993" w:gutter="0" w:footer="0" w:header="0"/>
          <w:type w:val="continuous"/>
        </w:sectPr>
      </w:pPr>
    </w:p>
    <w:p>
      <w:pPr>
        <w:ind w:left="620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5940"/>
        <w:spacing w:after="0"/>
        <w:rPr>
          <w:sz w:val="20"/>
          <w:szCs w:val="20"/>
          <w:color w:val="auto"/>
        </w:rPr>
      </w:pPr>
      <w:r>
        <w:rPr>
          <w:sz w:val="1"/>
          <w:szCs w:val="1"/>
          <w:color w:val="auto"/>
        </w:rPr>
        <w:drawing>
          <wp:inline distT="0" distB="0" distL="0" distR="0">
            <wp:extent cx="93980" cy="9461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7"/>
          <w:szCs w:val="17"/>
          <w:color w:val="auto"/>
        </w:rPr>
        <w:t>     Achievement of a metric at a level</w:t>
      </w:r>
    </w:p>
    <w:p>
      <w:pPr>
        <w:spacing w:after="0" w:line="7" w:lineRule="exact"/>
        <w:rPr>
          <w:sz w:val="20"/>
          <w:szCs w:val="20"/>
          <w:color w:val="auto"/>
        </w:rPr>
      </w:pPr>
    </w:p>
    <w:p>
      <w:pPr>
        <w:ind w:left="6340"/>
        <w:spacing w:after="0"/>
        <w:tabs>
          <w:tab w:leader="none" w:pos="7120" w:val="left"/>
          <w:tab w:leader="none" w:pos="8040" w:val="left"/>
          <w:tab w:leader="none" w:pos="8620" w:val="left"/>
          <w:tab w:leader="none" w:pos="8920" w:val="left"/>
        </w:tabs>
        <w:rPr>
          <w:sz w:val="20"/>
          <w:szCs w:val="20"/>
          <w:color w:val="auto"/>
        </w:rPr>
      </w:pPr>
      <w:r>
        <w:rPr>
          <w:rFonts w:ascii="Arial" w:cs="Arial" w:eastAsia="Arial" w:hAnsi="Arial"/>
          <w:sz w:val="17"/>
          <w:szCs w:val="17"/>
          <w:color w:val="auto"/>
        </w:rPr>
        <w:t>between</w:t>
        <w:tab/>
        <w:t>90%  and</w:t>
        <w:tab/>
        <w:t>100%</w:t>
        <w:tab/>
        <w:t>of</w:t>
        <w:tab/>
        <w:t>the</w:t>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applicable target metric would result</w:t>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in a payout scaled linearly from 20%</w:t>
      </w:r>
    </w:p>
    <w:p>
      <w:pPr>
        <w:spacing w:after="0" w:line="7" w:lineRule="exact"/>
        <w:rPr>
          <w:sz w:val="20"/>
          <w:szCs w:val="20"/>
          <w:color w:val="auto"/>
        </w:rPr>
      </w:pPr>
    </w:p>
    <w:p>
      <w:pPr>
        <w:ind w:left="6340"/>
        <w:spacing w:after="0"/>
        <w:tabs>
          <w:tab w:leader="none" w:pos="6660" w:val="left"/>
          <w:tab w:leader="none" w:pos="7300" w:val="left"/>
          <w:tab w:leader="none" w:pos="7620" w:val="left"/>
          <w:tab w:leader="none" w:pos="8060" w:val="left"/>
          <w:tab w:leader="none" w:pos="8680" w:val="left"/>
        </w:tabs>
        <w:rPr>
          <w:sz w:val="20"/>
          <w:szCs w:val="20"/>
          <w:color w:val="auto"/>
        </w:rPr>
      </w:pPr>
      <w:r>
        <w:rPr>
          <w:rFonts w:ascii="Arial" w:cs="Arial" w:eastAsia="Arial" w:hAnsi="Arial"/>
          <w:sz w:val="17"/>
          <w:szCs w:val="17"/>
          <w:color w:val="auto"/>
        </w:rPr>
        <w:t>to</w:t>
        <w:tab/>
        <w:t>100%</w:t>
        <w:tab/>
        <w:t>of</w:t>
        <w:tab/>
        <w:t>the</w:t>
        <w:tab/>
        <w:t>target</w:t>
        <w:tab/>
        <w:t>bonus</w:t>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opportunity</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 </w:t>
      </w:r>
    </w:p>
    <w:p>
      <w:pPr>
        <w:sectPr>
          <w:pgSz w:w="11900" w:h="16838" w:orient="portrait"/>
          <w:cols w:equalWidth="0" w:num="1">
            <w:col w:w="9240"/>
          </w:cols>
          <w:pgMar w:left="1300" w:top="114" w:right="1359" w:bottom="9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
        <w:spacing w:after="0"/>
        <w:tabs>
          <w:tab w:leader="none" w:pos="3460" w:val="left"/>
          <w:tab w:leader="none" w:pos="4000" w:val="left"/>
          <w:tab w:leader="none" w:pos="5040" w:val="left"/>
        </w:tabs>
        <w:rPr>
          <w:sz w:val="20"/>
          <w:szCs w:val="20"/>
          <w:color w:val="auto"/>
        </w:rPr>
      </w:pPr>
      <w:r>
        <w:rPr>
          <w:rFonts w:ascii="Arial" w:cs="Arial" w:eastAsia="Arial" w:hAnsi="Arial"/>
          <w:sz w:val="17"/>
          <w:szCs w:val="17"/>
          <w:color w:val="auto"/>
        </w:rPr>
        <w:t xml:space="preserve">Long-term equity incentive    </w:t>
      </w:r>
      <w:r>
        <w:rPr>
          <w:sz w:val="1"/>
          <w:szCs w:val="1"/>
          <w:color w:val="auto"/>
        </w:rPr>
        <w:drawing>
          <wp:inline distT="0" distB="0" distL="0" distR="0">
            <wp:extent cx="94615" cy="9398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7"/>
          <w:szCs w:val="17"/>
          <w:color w:val="auto"/>
        </w:rPr>
        <w:t>     PSUs</w:t>
        <w:tab/>
        <w:t>have</w:t>
        <w:tab/>
        <w:t>challenging</w:t>
        <w:tab/>
        <w:t>two-year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-133985</wp:posOffset>
            </wp:positionV>
            <wp:extent cx="5829300" cy="23660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0" cy="236601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2880" w:val="left"/>
          <w:tab w:leader="none" w:pos="4060" w:val="left"/>
          <w:tab w:leader="none" w:pos="5420" w:val="left"/>
        </w:tabs>
        <w:rPr>
          <w:sz w:val="20"/>
          <w:szCs w:val="20"/>
          <w:color w:val="auto"/>
        </w:rPr>
      </w:pPr>
      <w:r>
        <w:rPr>
          <w:rFonts w:ascii="Arial" w:cs="Arial" w:eastAsia="Arial" w:hAnsi="Arial"/>
          <w:sz w:val="17"/>
          <w:szCs w:val="17"/>
          <w:color w:val="auto"/>
        </w:rPr>
        <w:t>(PSUs and RSUs)</w:t>
      </w:r>
      <w:r>
        <w:rPr>
          <w:sz w:val="20"/>
          <w:szCs w:val="20"/>
          <w:color w:val="auto"/>
        </w:rPr>
        <w:tab/>
      </w:r>
      <w:r>
        <w:rPr>
          <w:rFonts w:ascii="Arial" w:cs="Arial" w:eastAsia="Arial" w:hAnsi="Arial"/>
          <w:sz w:val="17"/>
          <w:szCs w:val="17"/>
          <w:color w:val="auto"/>
        </w:rPr>
        <w:t>cumulative</w:t>
      </w:r>
      <w:r>
        <w:rPr>
          <w:sz w:val="20"/>
          <w:szCs w:val="20"/>
          <w:color w:val="auto"/>
        </w:rPr>
        <w:tab/>
      </w:r>
      <w:r>
        <w:rPr>
          <w:rFonts w:ascii="Arial" w:cs="Arial" w:eastAsia="Arial" w:hAnsi="Arial"/>
          <w:sz w:val="17"/>
          <w:szCs w:val="17"/>
          <w:color w:val="auto"/>
        </w:rPr>
        <w:t>performance</w:t>
      </w:r>
      <w:r>
        <w:rPr>
          <w:sz w:val="20"/>
          <w:szCs w:val="20"/>
          <w:color w:val="auto"/>
        </w:rPr>
        <w:tab/>
      </w:r>
      <w:r>
        <w:rPr>
          <w:rFonts w:ascii="Arial" w:cs="Arial" w:eastAsia="Arial" w:hAnsi="Arial"/>
          <w:sz w:val="16"/>
          <w:szCs w:val="16"/>
          <w:color w:val="auto"/>
        </w:rPr>
        <w:t>and</w:t>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“stretch” performance goals</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2480"/>
        <w:spacing w:after="0"/>
        <w:rPr>
          <w:sz w:val="20"/>
          <w:szCs w:val="20"/>
          <w:color w:val="auto"/>
        </w:rPr>
      </w:pPr>
      <w:r>
        <w:rPr>
          <w:sz w:val="1"/>
          <w:szCs w:val="1"/>
          <w:color w:val="auto"/>
        </w:rPr>
        <w:drawing>
          <wp:inline distT="0" distB="0" distL="0" distR="0">
            <wp:extent cx="94615" cy="9461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6"/>
          <w:szCs w:val="16"/>
          <w:color w:val="auto"/>
        </w:rPr>
        <w:t>     RSUs vest annually over three years</w:t>
      </w:r>
    </w:p>
    <w:p>
      <w:pPr>
        <w:spacing w:after="0" w:line="19" w:lineRule="exact"/>
        <w:rPr>
          <w:sz w:val="20"/>
          <w:szCs w:val="20"/>
          <w:color w:val="auto"/>
        </w:rPr>
      </w:pPr>
    </w:p>
    <w:p>
      <w:pPr>
        <w:ind w:left="27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2900" w:hanging="407"/>
        <w:spacing w:after="0"/>
        <w:rPr>
          <w:sz w:val="20"/>
          <w:szCs w:val="20"/>
          <w:color w:val="auto"/>
        </w:rPr>
      </w:pPr>
      <w:r>
        <w:rPr>
          <w:sz w:val="1"/>
          <w:szCs w:val="1"/>
          <w:color w:val="auto"/>
        </w:rPr>
        <w:drawing>
          <wp:inline distT="0" distB="0" distL="0" distR="0">
            <wp:extent cx="94615" cy="946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7"/>
          <w:szCs w:val="17"/>
          <w:color w:val="auto"/>
        </w:rPr>
        <w:t>    Equity grants for all NEOs weighted heavily toward performance:</w:t>
      </w:r>
    </w:p>
    <w:p>
      <w:pPr>
        <w:ind w:left="2900"/>
        <w:spacing w:after="0"/>
        <w:rPr>
          <w:sz w:val="20"/>
          <w:szCs w:val="20"/>
          <w:color w:val="auto"/>
        </w:rPr>
      </w:pPr>
      <w:r>
        <w:rPr>
          <w:rFonts w:ascii="Arial" w:cs="Arial" w:eastAsia="Arial" w:hAnsi="Arial"/>
          <w:sz w:val="17"/>
          <w:szCs w:val="17"/>
          <w:b w:val="1"/>
          <w:bCs w:val="1"/>
          <w:color w:val="auto"/>
        </w:rPr>
        <w:t xml:space="preserve">67% PSUs </w:t>
      </w:r>
      <w:r>
        <w:rPr>
          <w:rFonts w:ascii="Arial" w:cs="Arial" w:eastAsia="Arial" w:hAnsi="Arial"/>
          <w:sz w:val="17"/>
          <w:szCs w:val="17"/>
          <w:color w:val="auto"/>
        </w:rPr>
        <w:t>and</w:t>
      </w:r>
      <w:r>
        <w:rPr>
          <w:rFonts w:ascii="Arial" w:cs="Arial" w:eastAsia="Arial" w:hAnsi="Arial"/>
          <w:sz w:val="17"/>
          <w:szCs w:val="17"/>
          <w:b w:val="1"/>
          <w:bCs w:val="1"/>
          <w:color w:val="auto"/>
        </w:rPr>
        <w:t xml:space="preserve"> 33%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1192530</wp:posOffset>
            </wp:positionV>
            <wp:extent cx="582930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00" w:right="60" w:hanging="407"/>
        <w:spacing w:after="0"/>
        <w:rPr>
          <w:sz w:val="20"/>
          <w:szCs w:val="20"/>
          <w:color w:val="auto"/>
        </w:rPr>
      </w:pPr>
      <w:r>
        <w:rPr>
          <w:sz w:val="1"/>
          <w:szCs w:val="1"/>
          <w:color w:val="auto"/>
        </w:rPr>
        <w:drawing>
          <wp:inline distT="0" distB="0" distL="0" distR="0">
            <wp:extent cx="93980" cy="9461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7"/>
          <w:szCs w:val="17"/>
          <w:color w:val="auto"/>
        </w:rPr>
        <w:t>    Achievement of a metric at a level between 100% and 105% of the applicable target metric would result in a payout scaled linearly from 100% to 120% of the target bonus opportunity</w:t>
      </w:r>
    </w:p>
    <w:p>
      <w:pPr>
        <w:ind w:left="2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400" w:right="880" w:hanging="407"/>
        <w:spacing w:after="0"/>
        <w:rPr>
          <w:sz w:val="20"/>
          <w:szCs w:val="20"/>
          <w:color w:val="auto"/>
        </w:rPr>
      </w:pPr>
      <w:r>
        <w:rPr>
          <w:sz w:val="1"/>
          <w:szCs w:val="1"/>
          <w:color w:val="auto"/>
        </w:rPr>
        <w:drawing>
          <wp:inline distT="0" distB="0" distL="0" distR="0">
            <wp:extent cx="93980" cy="9461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7"/>
          <w:szCs w:val="17"/>
          <w:color w:val="auto"/>
        </w:rPr>
        <w:t>    No individual performance component</w:t>
      </w:r>
    </w:p>
    <w:p>
      <w:pPr>
        <w:spacing w:after="0" w:line="30" w:lineRule="exact"/>
        <w:rPr>
          <w:sz w:val="20"/>
          <w:szCs w:val="20"/>
          <w:color w:val="auto"/>
        </w:rPr>
      </w:pPr>
    </w:p>
    <w:p>
      <w:pPr>
        <w:jc w:val="both"/>
        <w:ind w:left="400" w:right="60" w:hanging="407"/>
        <w:spacing w:after="0"/>
        <w:rPr>
          <w:sz w:val="20"/>
          <w:szCs w:val="20"/>
          <w:color w:val="auto"/>
        </w:rPr>
      </w:pPr>
      <w:r>
        <w:rPr>
          <w:sz w:val="1"/>
          <w:szCs w:val="1"/>
          <w:color w:val="auto"/>
        </w:rPr>
        <w:drawing>
          <wp:inline distT="0" distB="0" distL="0" distR="0">
            <wp:extent cx="93980" cy="9398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auto"/>
        </w:rPr>
        <w:t>    The number of PSUs earned and eligible to vest will be determined after a two-year performance period as follows:</w:t>
      </w:r>
    </w:p>
    <w:p>
      <w:pPr>
        <w:ind w:left="260"/>
        <w:spacing w:after="0"/>
        <w:rPr>
          <w:sz w:val="20"/>
          <w:szCs w:val="20"/>
          <w:color w:val="auto"/>
        </w:rPr>
      </w:pPr>
      <w:r>
        <w:rPr>
          <w:rFonts w:ascii="Arial" w:cs="Arial" w:eastAsia="Arial" w:hAnsi="Arial"/>
          <w:sz w:val="17"/>
          <w:szCs w:val="17"/>
          <w:color w:val="auto"/>
        </w:rPr>
        <w:t> </w:t>
      </w:r>
    </w:p>
    <w:p>
      <w:pPr>
        <w:spacing w:after="0" w:line="7" w:lineRule="exact"/>
        <w:rPr>
          <w:sz w:val="20"/>
          <w:szCs w:val="20"/>
          <w:color w:val="auto"/>
        </w:rPr>
      </w:pPr>
    </w:p>
    <w:p>
      <w:pPr>
        <w:ind w:left="400" w:right="60" w:hanging="400"/>
        <w:spacing w:after="0" w:line="264" w:lineRule="auto"/>
        <w:tabs>
          <w:tab w:leader="none" w:pos="1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578255"/>
        </w:rPr>
        <w:t>•</w:t>
      </w:r>
      <w:r>
        <w:rPr>
          <w:rFonts w:ascii="Arial" w:cs="Arial" w:eastAsia="Arial" w:hAnsi="Arial"/>
          <w:sz w:val="16"/>
          <w:szCs w:val="16"/>
          <w:color w:val="auto"/>
        </w:rPr>
        <w:t xml:space="preserve">  50% based on achievement of cumulative fiscal 2024 and fiscal 2025 revenue goals</w:t>
      </w:r>
    </w:p>
    <w:p>
      <w:pPr>
        <w:ind w:left="440"/>
        <w:spacing w:after="0"/>
        <w:rPr>
          <w:rFonts w:ascii="Arial" w:cs="Arial" w:eastAsia="Arial" w:hAnsi="Arial"/>
          <w:sz w:val="16"/>
          <w:szCs w:val="16"/>
          <w:color w:val="auto"/>
        </w:rPr>
      </w:pPr>
      <w:r>
        <w:rPr>
          <w:rFonts w:ascii="Arial" w:cs="Arial" w:eastAsia="Arial" w:hAnsi="Arial"/>
          <w:sz w:val="17"/>
          <w:szCs w:val="17"/>
          <w:color w:val="auto"/>
        </w:rPr>
        <w:t> </w:t>
      </w:r>
    </w:p>
    <w:p>
      <w:pPr>
        <w:spacing w:after="0" w:line="7" w:lineRule="exact"/>
        <w:rPr>
          <w:rFonts w:ascii="Arial" w:cs="Arial" w:eastAsia="Arial" w:hAnsi="Arial"/>
          <w:sz w:val="16"/>
          <w:szCs w:val="16"/>
          <w:color w:val="auto"/>
        </w:rPr>
      </w:pPr>
    </w:p>
    <w:p>
      <w:pPr>
        <w:ind w:left="400" w:right="60" w:hanging="400"/>
        <w:spacing w:after="0" w:line="276" w:lineRule="auto"/>
        <w:tabs>
          <w:tab w:leader="none" w:pos="1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color w:val="578255"/>
        </w:rPr>
        <w:t>•</w:t>
      </w:r>
      <w:r>
        <w:rPr>
          <w:rFonts w:ascii="Arial" w:cs="Arial" w:eastAsia="Arial" w:hAnsi="Arial"/>
          <w:sz w:val="16"/>
          <w:szCs w:val="16"/>
          <w:color w:val="auto"/>
        </w:rPr>
        <w:t xml:space="preserve">  50% based on achievement of cumulative fiscal 2024 and fiscal 2025 non-GAAP operating margin goals</w:t>
      </w:r>
    </w:p>
    <w:p>
      <w:pPr>
        <w:spacing w:after="0" w:line="17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7"/>
          <w:szCs w:val="17"/>
          <w:color w:val="auto"/>
        </w:rPr>
        <w:t> </w:t>
      </w:r>
    </w:p>
    <w:p>
      <w:pPr>
        <w:spacing w:after="0" w:line="7" w:lineRule="exact"/>
        <w:rPr>
          <w:sz w:val="20"/>
          <w:szCs w:val="20"/>
          <w:color w:val="auto"/>
        </w:rPr>
      </w:pPr>
    </w:p>
    <w:p>
      <w:pPr>
        <w:jc w:val="both"/>
        <w:ind w:left="400" w:right="60" w:hanging="407"/>
        <w:spacing w:after="0"/>
        <w:rPr>
          <w:sz w:val="20"/>
          <w:szCs w:val="20"/>
          <w:color w:val="auto"/>
        </w:rPr>
      </w:pPr>
      <w:r>
        <w:rPr>
          <w:sz w:val="1"/>
          <w:szCs w:val="1"/>
          <w:color w:val="auto"/>
        </w:rPr>
        <w:drawing>
          <wp:inline distT="0" distB="0" distL="0" distR="0">
            <wp:extent cx="93980" cy="9461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94615"/>
                    </a:xfrm>
                    <a:prstGeom prst="rect">
                      <a:avLst/>
                    </a:prstGeom>
                    <a:noFill/>
                    <a:ln>
                      <a:noFill/>
                    </a:ln>
                  </pic:spPr>
                </pic:pic>
              </a:graphicData>
            </a:graphic>
          </wp:inline>
        </w:drawing>
      </w:r>
      <w:r>
        <w:rPr>
          <w:rFonts w:ascii="Arial" w:cs="Arial" w:eastAsia="Arial" w:hAnsi="Arial"/>
          <w:sz w:val="17"/>
          <w:szCs w:val="17"/>
          <w:color w:val="auto"/>
        </w:rPr>
        <w:t>    Any earned PSUs will vest in full on the date the Compensation Committee certifies achievement of the performance criteria</w:t>
      </w:r>
    </w:p>
    <w:p>
      <w:pPr>
        <w:spacing w:after="0" w:line="200" w:lineRule="exact"/>
        <w:rPr>
          <w:sz w:val="20"/>
          <w:szCs w:val="20"/>
          <w:color w:val="auto"/>
        </w:rPr>
      </w:pPr>
    </w:p>
    <w:p>
      <w:pPr>
        <w:sectPr>
          <w:pgSz w:w="11900" w:h="16838" w:orient="portrait"/>
          <w:cols w:equalWidth="0" w:num="2">
            <w:col w:w="5720" w:space="220"/>
            <w:col w:w="3300"/>
          </w:cols>
          <w:pgMar w:left="1300" w:top="114" w:right="1359" w:bottom="993" w:gutter="0" w:footer="0" w:header="0"/>
          <w:type w:val="continuous"/>
        </w:sectPr>
      </w:pPr>
    </w:p>
    <w:p>
      <w:pPr>
        <w:spacing w:after="0" w:line="241"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36</w:t>
      </w:r>
      <w:r>
        <w:rPr>
          <w:sz w:val="20"/>
          <w:szCs w:val="20"/>
          <w:color w:val="auto"/>
        </w:rPr>
        <w:tab/>
      </w:r>
      <w:r>
        <w:rPr>
          <w:sz w:val="1"/>
          <w:szCs w:val="1"/>
          <w:color w:val="auto"/>
        </w:rPr>
        <w:drawing>
          <wp:inline distT="0" distB="0" distL="0" distR="0">
            <wp:extent cx="342900" cy="7683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993" w:gutter="0" w:footer="0" w:header="0"/>
          <w:type w:val="continuous"/>
        </w:sectPr>
      </w:pPr>
    </w:p>
    <w:bookmarkStart w:id="42" w:name="page43"/>
    <w:bookmarkEnd w:id="42"/>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Positive Compensation Practices</w:t>
      </w:r>
    </w:p>
    <w:p>
      <w:pPr>
        <w:spacing w:after="0" w:line="121" w:lineRule="exact"/>
        <w:rPr>
          <w:sz w:val="20"/>
          <w:szCs w:val="20"/>
          <w:color w:val="auto"/>
        </w:rPr>
      </w:pPr>
    </w:p>
    <w:p>
      <w:pPr>
        <w:jc w:val="both"/>
        <w:ind w:left="920"/>
        <w:spacing w:after="0" w:line="247" w:lineRule="auto"/>
        <w:rPr>
          <w:sz w:val="20"/>
          <w:szCs w:val="20"/>
          <w:color w:val="auto"/>
        </w:rPr>
      </w:pPr>
      <w:r>
        <w:rPr>
          <w:rFonts w:ascii="Arial" w:cs="Arial" w:eastAsia="Arial" w:hAnsi="Arial"/>
          <w:sz w:val="18"/>
          <w:szCs w:val="18"/>
          <w:color w:val="auto"/>
        </w:rPr>
        <w:t>We monitor trends and developments in compensation practices to enhance the effectiveness of our compensation philosophy and have adopted the following:</w:t>
      </w:r>
    </w:p>
    <w:p>
      <w:pPr>
        <w:spacing w:after="0" w:line="66" w:lineRule="exact"/>
        <w:rPr>
          <w:sz w:val="20"/>
          <w:szCs w:val="20"/>
          <w:color w:val="auto"/>
        </w:rPr>
      </w:pPr>
    </w:p>
    <w:p>
      <w:pPr>
        <w:ind w:left="1080" w:right="20" w:hanging="166"/>
        <w:spacing w:after="0" w:line="271" w:lineRule="auto"/>
        <w:tabs>
          <w:tab w:leader="none" w:pos="1080" w:val="left"/>
        </w:tabs>
        <w:numPr>
          <w:ilvl w:val="0"/>
          <w:numId w:val="66"/>
        </w:numPr>
        <w:rPr>
          <w:rFonts w:ascii="Arial" w:cs="Arial" w:eastAsia="Arial" w:hAnsi="Arial"/>
          <w:sz w:val="18"/>
          <w:szCs w:val="18"/>
          <w:color w:val="578255"/>
        </w:rPr>
      </w:pPr>
      <w:r>
        <w:rPr>
          <w:rFonts w:ascii="Arial" w:cs="Arial" w:eastAsia="Arial" w:hAnsi="Arial"/>
          <w:sz w:val="18"/>
          <w:szCs w:val="18"/>
          <w:color w:val="auto"/>
        </w:rPr>
        <w:t>our executive officers’ cash and equity incentive compensation is subject to a claw back;</w:t>
      </w:r>
    </w:p>
    <w:p>
      <w:pPr>
        <w:spacing w:after="0" w:line="45" w:lineRule="exact"/>
        <w:rPr>
          <w:rFonts w:ascii="Arial" w:cs="Arial" w:eastAsia="Arial" w:hAnsi="Arial"/>
          <w:sz w:val="18"/>
          <w:szCs w:val="18"/>
          <w:color w:val="578255"/>
        </w:rPr>
      </w:pPr>
    </w:p>
    <w:p>
      <w:pPr>
        <w:jc w:val="both"/>
        <w:ind w:left="1080" w:hanging="166"/>
        <w:spacing w:after="0" w:line="247" w:lineRule="auto"/>
        <w:tabs>
          <w:tab w:leader="none" w:pos="1080" w:val="left"/>
        </w:tabs>
        <w:numPr>
          <w:ilvl w:val="0"/>
          <w:numId w:val="66"/>
        </w:numPr>
        <w:rPr>
          <w:rFonts w:ascii="Arial" w:cs="Arial" w:eastAsia="Arial" w:hAnsi="Arial"/>
          <w:sz w:val="18"/>
          <w:szCs w:val="18"/>
          <w:color w:val="578255"/>
        </w:rPr>
      </w:pPr>
      <w:r>
        <w:rPr>
          <w:rFonts w:ascii="Arial" w:cs="Arial" w:eastAsia="Arial" w:hAnsi="Arial"/>
          <w:sz w:val="18"/>
          <w:szCs w:val="18"/>
          <w:color w:val="auto"/>
        </w:rPr>
        <w:t>we have a practice of granting long-term equity to our executive officers that is based, in part, on Fabrinet achieving financial performance goals over a two-year performance period;</w:t>
      </w:r>
    </w:p>
    <w:p>
      <w:pPr>
        <w:spacing w:after="0" w:line="65" w:lineRule="exact"/>
        <w:rPr>
          <w:rFonts w:ascii="Arial" w:cs="Arial" w:eastAsia="Arial" w:hAnsi="Arial"/>
          <w:sz w:val="18"/>
          <w:szCs w:val="18"/>
          <w:color w:val="578255"/>
        </w:rPr>
      </w:pPr>
    </w:p>
    <w:p>
      <w:pPr>
        <w:ind w:left="1080" w:hanging="166"/>
        <w:spacing w:after="0" w:line="271" w:lineRule="auto"/>
        <w:tabs>
          <w:tab w:leader="none" w:pos="1080" w:val="left"/>
        </w:tabs>
        <w:numPr>
          <w:ilvl w:val="0"/>
          <w:numId w:val="66"/>
        </w:numPr>
        <w:rPr>
          <w:rFonts w:ascii="Arial" w:cs="Arial" w:eastAsia="Arial" w:hAnsi="Arial"/>
          <w:sz w:val="18"/>
          <w:szCs w:val="18"/>
          <w:color w:val="578255"/>
        </w:rPr>
      </w:pPr>
      <w:r>
        <w:rPr>
          <w:rFonts w:ascii="Arial" w:cs="Arial" w:eastAsia="Arial" w:hAnsi="Arial"/>
          <w:sz w:val="18"/>
          <w:szCs w:val="18"/>
          <w:color w:val="auto"/>
        </w:rPr>
        <w:t>we maintain share ownership guidelines for our executive officers and directors;</w:t>
      </w:r>
    </w:p>
    <w:p>
      <w:pPr>
        <w:spacing w:after="0" w:line="45" w:lineRule="exact"/>
        <w:rPr>
          <w:rFonts w:ascii="Arial" w:cs="Arial" w:eastAsia="Arial" w:hAnsi="Arial"/>
          <w:sz w:val="18"/>
          <w:szCs w:val="18"/>
          <w:color w:val="578255"/>
        </w:rPr>
      </w:pPr>
    </w:p>
    <w:p>
      <w:pPr>
        <w:jc w:val="both"/>
        <w:ind w:left="1080" w:hanging="166"/>
        <w:spacing w:after="0" w:line="247" w:lineRule="auto"/>
        <w:tabs>
          <w:tab w:leader="none" w:pos="1080" w:val="left"/>
        </w:tabs>
        <w:numPr>
          <w:ilvl w:val="0"/>
          <w:numId w:val="66"/>
        </w:numPr>
        <w:rPr>
          <w:rFonts w:ascii="Arial" w:cs="Arial" w:eastAsia="Arial" w:hAnsi="Arial"/>
          <w:sz w:val="18"/>
          <w:szCs w:val="18"/>
          <w:color w:val="578255"/>
        </w:rPr>
      </w:pPr>
      <w:r>
        <w:rPr>
          <w:rFonts w:ascii="Arial" w:cs="Arial" w:eastAsia="Arial" w:hAnsi="Arial"/>
          <w:sz w:val="18"/>
          <w:szCs w:val="18"/>
          <w:color w:val="auto"/>
        </w:rPr>
        <w:t>our employees (including our executive officers) and directors are prohibited from margining, short-selling or pledging our securities, or trading in derivative securities;</w:t>
      </w:r>
    </w:p>
    <w:p>
      <w:pPr>
        <w:spacing w:after="0" w:line="65" w:lineRule="exact"/>
        <w:rPr>
          <w:rFonts w:ascii="Arial" w:cs="Arial" w:eastAsia="Arial" w:hAnsi="Arial"/>
          <w:sz w:val="18"/>
          <w:szCs w:val="18"/>
          <w:color w:val="578255"/>
        </w:rPr>
      </w:pPr>
    </w:p>
    <w:p>
      <w:pPr>
        <w:ind w:left="1080" w:right="20" w:hanging="166"/>
        <w:spacing w:after="0" w:line="271" w:lineRule="auto"/>
        <w:tabs>
          <w:tab w:leader="none" w:pos="1080" w:val="left"/>
        </w:tabs>
        <w:numPr>
          <w:ilvl w:val="0"/>
          <w:numId w:val="66"/>
        </w:numPr>
        <w:rPr>
          <w:rFonts w:ascii="Arial" w:cs="Arial" w:eastAsia="Arial" w:hAnsi="Arial"/>
          <w:sz w:val="18"/>
          <w:szCs w:val="18"/>
          <w:color w:val="578255"/>
        </w:rPr>
      </w:pPr>
      <w:r>
        <w:rPr>
          <w:rFonts w:ascii="Arial" w:cs="Arial" w:eastAsia="Arial" w:hAnsi="Arial"/>
          <w:sz w:val="18"/>
          <w:szCs w:val="18"/>
          <w:color w:val="auto"/>
        </w:rPr>
        <w:t>we hold an annual shareholder advisory vote on executive compensation; and</w:t>
      </w:r>
    </w:p>
    <w:p>
      <w:pPr>
        <w:spacing w:after="0" w:line="45" w:lineRule="exact"/>
        <w:rPr>
          <w:rFonts w:ascii="Arial" w:cs="Arial" w:eastAsia="Arial" w:hAnsi="Arial"/>
          <w:sz w:val="18"/>
          <w:szCs w:val="18"/>
          <w:color w:val="578255"/>
        </w:rPr>
      </w:pPr>
    </w:p>
    <w:p>
      <w:pPr>
        <w:ind w:left="1080" w:hanging="166"/>
        <w:spacing w:after="0" w:line="255" w:lineRule="auto"/>
        <w:tabs>
          <w:tab w:leader="none" w:pos="1080" w:val="left"/>
        </w:tabs>
        <w:numPr>
          <w:ilvl w:val="0"/>
          <w:numId w:val="66"/>
        </w:numPr>
        <w:rPr>
          <w:rFonts w:ascii="Arial" w:cs="Arial" w:eastAsia="Arial" w:hAnsi="Arial"/>
          <w:sz w:val="18"/>
          <w:szCs w:val="18"/>
          <w:color w:val="578255"/>
        </w:rPr>
      </w:pPr>
      <w:r>
        <w:rPr>
          <w:rFonts w:ascii="Arial" w:cs="Arial" w:eastAsia="Arial" w:hAnsi="Arial"/>
          <w:sz w:val="18"/>
          <w:szCs w:val="18"/>
          <w:color w:val="auto"/>
        </w:rPr>
        <w:t>our 2020 Equity Incentive Plan (the “</w:t>
      </w:r>
      <w:r>
        <w:rPr>
          <w:rFonts w:ascii="Arial" w:cs="Arial" w:eastAsia="Arial" w:hAnsi="Arial"/>
          <w:sz w:val="18"/>
          <w:szCs w:val="18"/>
          <w:b w:val="1"/>
          <w:bCs w:val="1"/>
          <w:color w:val="auto"/>
        </w:rPr>
        <w:t>2020 Plan</w:t>
      </w:r>
      <w:r>
        <w:rPr>
          <w:rFonts w:ascii="Arial" w:cs="Arial" w:eastAsia="Arial" w:hAnsi="Arial"/>
          <w:sz w:val="18"/>
          <w:szCs w:val="18"/>
          <w:color w:val="auto"/>
        </w:rPr>
        <w:t>”) contains the following features:</w:t>
      </w:r>
    </w:p>
    <w:p>
      <w:pPr>
        <w:spacing w:after="0" w:line="73" w:lineRule="exact"/>
        <w:rPr>
          <w:rFonts w:ascii="Arial" w:cs="Arial" w:eastAsia="Arial" w:hAnsi="Arial"/>
          <w:sz w:val="18"/>
          <w:szCs w:val="18"/>
          <w:color w:val="578255"/>
        </w:rPr>
      </w:pPr>
    </w:p>
    <w:p>
      <w:pPr>
        <w:jc w:val="both"/>
        <w:ind w:left="1260" w:hanging="166"/>
        <w:spacing w:after="0" w:line="182" w:lineRule="auto"/>
        <w:tabs>
          <w:tab w:leader="none" w:pos="1260" w:val="left"/>
        </w:tabs>
        <w:numPr>
          <w:ilvl w:val="1"/>
          <w:numId w:val="66"/>
        </w:numPr>
        <w:rPr>
          <w:rFonts w:ascii="Arial" w:cs="Arial" w:eastAsia="Arial" w:hAnsi="Arial"/>
          <w:sz w:val="43"/>
          <w:szCs w:val="43"/>
          <w:color w:val="578255"/>
          <w:vertAlign w:val="subscript"/>
        </w:rPr>
      </w:pPr>
      <w:r>
        <w:rPr>
          <w:rFonts w:ascii="Arial" w:cs="Arial" w:eastAsia="Arial" w:hAnsi="Arial"/>
          <w:sz w:val="18"/>
          <w:szCs w:val="18"/>
          <w:color w:val="auto"/>
        </w:rPr>
        <w:t>we are prohibited from instituting any program to reprice or exchange equity awards for awards with a lower exercise price without shareholder approval;</w:t>
      </w:r>
    </w:p>
    <w:p>
      <w:pPr>
        <w:spacing w:after="0" w:line="72" w:lineRule="exact"/>
        <w:rPr>
          <w:rFonts w:ascii="Arial" w:cs="Arial" w:eastAsia="Arial" w:hAnsi="Arial"/>
          <w:sz w:val="43"/>
          <w:szCs w:val="43"/>
          <w:color w:val="578255"/>
          <w:vertAlign w:val="subscript"/>
        </w:rPr>
      </w:pPr>
    </w:p>
    <w:p>
      <w:pPr>
        <w:jc w:val="both"/>
        <w:ind w:left="1260" w:hanging="166"/>
        <w:spacing w:after="0" w:line="231" w:lineRule="auto"/>
        <w:tabs>
          <w:tab w:leader="none" w:pos="1260" w:val="left"/>
        </w:tabs>
        <w:numPr>
          <w:ilvl w:val="1"/>
          <w:numId w:val="66"/>
        </w:numPr>
        <w:rPr>
          <w:rFonts w:ascii="Arial" w:cs="Arial" w:eastAsia="Arial" w:hAnsi="Arial"/>
          <w:sz w:val="41"/>
          <w:szCs w:val="41"/>
          <w:color w:val="578255"/>
          <w:vertAlign w:val="subscript"/>
        </w:rPr>
      </w:pPr>
      <w:r>
        <w:rPr>
          <w:rFonts w:ascii="Arial" w:cs="Arial" w:eastAsia="Arial" w:hAnsi="Arial"/>
          <w:sz w:val="17"/>
          <w:szCs w:val="17"/>
          <w:color w:val="auto"/>
        </w:rPr>
        <w:t>we are prohibited from “recycling” shares, which means that any shares subject to a grant are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74" w:right="940"/>
        <w:spacing w:after="0" w:line="248" w:lineRule="auto"/>
        <w:rPr>
          <w:sz w:val="20"/>
          <w:szCs w:val="20"/>
          <w:color w:val="auto"/>
        </w:rPr>
      </w:pPr>
      <w:r>
        <w:rPr>
          <w:rFonts w:ascii="Arial" w:cs="Arial" w:eastAsia="Arial" w:hAnsi="Arial"/>
          <w:sz w:val="18"/>
          <w:szCs w:val="18"/>
          <w:color w:val="auto"/>
        </w:rPr>
        <w:t>against the share limit in the plan and may not subsequently be re-granted, even if the shares are forfeited, expired or exchanged;</w:t>
      </w:r>
    </w:p>
    <w:p>
      <w:pPr>
        <w:spacing w:after="0" w:line="74" w:lineRule="exact"/>
        <w:rPr>
          <w:sz w:val="20"/>
          <w:szCs w:val="20"/>
          <w:color w:val="auto"/>
        </w:rPr>
      </w:pPr>
    </w:p>
    <w:p>
      <w:pPr>
        <w:jc w:val="both"/>
        <w:ind w:left="174" w:right="940" w:hanging="174"/>
        <w:spacing w:after="0" w:line="182" w:lineRule="auto"/>
        <w:tabs>
          <w:tab w:leader="none" w:pos="174" w:val="left"/>
        </w:tabs>
        <w:numPr>
          <w:ilvl w:val="0"/>
          <w:numId w:val="67"/>
        </w:numPr>
        <w:rPr>
          <w:rFonts w:ascii="Arial" w:cs="Arial" w:eastAsia="Arial" w:hAnsi="Arial"/>
          <w:sz w:val="43"/>
          <w:szCs w:val="43"/>
          <w:color w:val="578255"/>
          <w:vertAlign w:val="subscript"/>
        </w:rPr>
      </w:pPr>
      <w:r>
        <w:rPr>
          <w:rFonts w:ascii="Arial" w:cs="Arial" w:eastAsia="Arial" w:hAnsi="Arial"/>
          <w:sz w:val="18"/>
          <w:szCs w:val="18"/>
          <w:color w:val="auto"/>
        </w:rPr>
        <w:t>all awards under the plan are subject to the participant’s continued employment or other service with us and vest over a four-year period, unless otherwise set forth in the award agreement;</w:t>
      </w:r>
    </w:p>
    <w:p>
      <w:pPr>
        <w:spacing w:after="0" w:line="72" w:lineRule="exact"/>
        <w:rPr>
          <w:rFonts w:ascii="Arial" w:cs="Arial" w:eastAsia="Arial" w:hAnsi="Arial"/>
          <w:sz w:val="43"/>
          <w:szCs w:val="43"/>
          <w:color w:val="578255"/>
          <w:vertAlign w:val="subscript"/>
        </w:rPr>
      </w:pPr>
    </w:p>
    <w:p>
      <w:pPr>
        <w:jc w:val="both"/>
        <w:ind w:left="174" w:right="940" w:hanging="174"/>
        <w:spacing w:after="0" w:line="231" w:lineRule="auto"/>
        <w:tabs>
          <w:tab w:leader="none" w:pos="174" w:val="left"/>
        </w:tabs>
        <w:numPr>
          <w:ilvl w:val="0"/>
          <w:numId w:val="67"/>
        </w:numPr>
        <w:rPr>
          <w:rFonts w:ascii="Arial" w:cs="Arial" w:eastAsia="Arial" w:hAnsi="Arial"/>
          <w:sz w:val="41"/>
          <w:szCs w:val="41"/>
          <w:color w:val="578255"/>
          <w:vertAlign w:val="subscript"/>
        </w:rPr>
      </w:pPr>
      <w:r>
        <w:rPr>
          <w:rFonts w:ascii="Arial" w:cs="Arial" w:eastAsia="Arial" w:hAnsi="Arial"/>
          <w:sz w:val="17"/>
          <w:szCs w:val="17"/>
          <w:color w:val="auto"/>
        </w:rPr>
        <w:t>we are prohibited from paying dividends with respect to an award prior to the vesting of such award;</w:t>
      </w:r>
    </w:p>
    <w:p>
      <w:pPr>
        <w:spacing w:after="0" w:line="73" w:lineRule="exact"/>
        <w:rPr>
          <w:rFonts w:ascii="Arial" w:cs="Arial" w:eastAsia="Arial" w:hAnsi="Arial"/>
          <w:sz w:val="41"/>
          <w:szCs w:val="41"/>
          <w:color w:val="578255"/>
          <w:vertAlign w:val="subscript"/>
        </w:rPr>
      </w:pPr>
    </w:p>
    <w:p>
      <w:pPr>
        <w:jc w:val="both"/>
        <w:ind w:left="174" w:right="940" w:hanging="174"/>
        <w:spacing w:after="0" w:line="204" w:lineRule="auto"/>
        <w:tabs>
          <w:tab w:leader="none" w:pos="174" w:val="left"/>
        </w:tabs>
        <w:numPr>
          <w:ilvl w:val="0"/>
          <w:numId w:val="67"/>
        </w:numPr>
        <w:rPr>
          <w:rFonts w:ascii="Arial" w:cs="Arial" w:eastAsia="Arial" w:hAnsi="Arial"/>
          <w:sz w:val="43"/>
          <w:szCs w:val="43"/>
          <w:color w:val="578255"/>
          <w:vertAlign w:val="subscript"/>
        </w:rPr>
      </w:pPr>
      <w:r>
        <w:rPr>
          <w:rFonts w:ascii="Arial" w:cs="Arial" w:eastAsia="Arial" w:hAnsi="Arial"/>
          <w:sz w:val="18"/>
          <w:szCs w:val="18"/>
          <w:color w:val="auto"/>
        </w:rPr>
        <w:t>we are prohibited from granting awards that may vest or become exercisable earlier than one year after such award is granted, except that awards up to a maximum of five percent (5%) of the total shares reserved and available for grant and issuance under the plan may be granted without regard to such minimum one-year vesting requirements; and</w:t>
      </w:r>
    </w:p>
    <w:p>
      <w:pPr>
        <w:spacing w:after="0" w:line="76" w:lineRule="exact"/>
        <w:rPr>
          <w:rFonts w:ascii="Arial" w:cs="Arial" w:eastAsia="Arial" w:hAnsi="Arial"/>
          <w:sz w:val="43"/>
          <w:szCs w:val="43"/>
          <w:color w:val="578255"/>
          <w:vertAlign w:val="subscript"/>
        </w:rPr>
      </w:pPr>
    </w:p>
    <w:p>
      <w:pPr>
        <w:jc w:val="both"/>
        <w:ind w:left="174" w:right="940" w:hanging="174"/>
        <w:spacing w:after="0" w:line="200" w:lineRule="auto"/>
        <w:tabs>
          <w:tab w:leader="none" w:pos="174" w:val="left"/>
        </w:tabs>
        <w:numPr>
          <w:ilvl w:val="0"/>
          <w:numId w:val="67"/>
        </w:numPr>
        <w:rPr>
          <w:rFonts w:ascii="Arial" w:cs="Arial" w:eastAsia="Arial" w:hAnsi="Arial"/>
          <w:sz w:val="43"/>
          <w:szCs w:val="43"/>
          <w:color w:val="578255"/>
          <w:vertAlign w:val="subscript"/>
        </w:rPr>
      </w:pPr>
      <w:r>
        <w:rPr>
          <w:rFonts w:ascii="Arial" w:cs="Arial" w:eastAsia="Arial" w:hAnsi="Arial"/>
          <w:sz w:val="18"/>
          <w:szCs w:val="18"/>
          <w:color w:val="auto"/>
        </w:rPr>
        <w:t>we are prohibited from accelerating the vesting of an award before the one-year anniversary of the award’s grant date, except in connection with death, disability, termination of employment, reaching retirement age or an event that triggers the plan’s provisions relating to assumption and termination of awards.</w:t>
      </w:r>
    </w:p>
    <w:p>
      <w:pPr>
        <w:spacing w:after="0" w:line="1041" w:lineRule="exact"/>
        <w:rPr>
          <w:sz w:val="20"/>
          <w:szCs w:val="20"/>
          <w:color w:val="auto"/>
        </w:rPr>
      </w:pPr>
    </w:p>
    <w:p>
      <w:pPr>
        <w:sectPr>
          <w:pgSz w:w="11900" w:h="16838" w:orient="portrait"/>
          <w:cols w:equalWidth="0" w:num="2">
            <w:col w:w="5340" w:space="506"/>
            <w:col w:w="5174"/>
          </w:cols>
          <w:pgMar w:left="440" w:top="114" w:right="439" w:bottom="1440" w:gutter="0" w:footer="0" w:header="0"/>
          <w:type w:val="continuous"/>
        </w:sectPr>
      </w:pPr>
    </w:p>
    <w:p>
      <w:pPr>
        <w:spacing w:after="0" w:line="12"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578255"/>
        </w:rPr>
        <w:t>Executive Compensation Program Objectives and Overview</w:t>
      </w:r>
    </w:p>
    <w:p>
      <w:pPr>
        <w:sectPr>
          <w:pgSz w:w="11900" w:h="16838" w:orient="portrait"/>
          <w:cols w:equalWidth="0" w:num="1">
            <w:col w:w="11020"/>
          </w:cols>
          <w:pgMar w:left="440" w:top="114" w:right="439" w:bottom="1440" w:gutter="0" w:footer="0" w:header="0"/>
          <w:type w:val="continuous"/>
        </w:sectPr>
      </w:pPr>
    </w:p>
    <w:p>
      <w:pPr>
        <w:spacing w:after="0" w:line="133"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Our executive compensation programs are intended to achieve three fundamental objectives: (1) attract, retain and motivate qualified executives; (2) hold executives accountable for short-term and long-term performance; and (3) align executives’ interests with the interests of our shareholders. In structuring and designing our executive compensation programs, we are guided by the following basic philosophies:</w:t>
      </w:r>
    </w:p>
    <w:p>
      <w:pPr>
        <w:spacing w:after="0" w:line="72" w:lineRule="exact"/>
        <w:rPr>
          <w:sz w:val="20"/>
          <w:szCs w:val="20"/>
          <w:color w:val="auto"/>
        </w:rPr>
      </w:pPr>
    </w:p>
    <w:p>
      <w:pPr>
        <w:jc w:val="both"/>
        <w:ind w:left="1080" w:hanging="166"/>
        <w:spacing w:after="0" w:line="247" w:lineRule="auto"/>
        <w:tabs>
          <w:tab w:leader="none" w:pos="1080" w:val="left"/>
        </w:tabs>
        <w:numPr>
          <w:ilvl w:val="0"/>
          <w:numId w:val="68"/>
        </w:numPr>
        <w:rPr>
          <w:rFonts w:ascii="Arial" w:cs="Arial" w:eastAsia="Arial" w:hAnsi="Arial"/>
          <w:sz w:val="18"/>
          <w:szCs w:val="18"/>
          <w:color w:val="578255"/>
        </w:rPr>
      </w:pPr>
      <w:r>
        <w:rPr>
          <w:rFonts w:ascii="Arial" w:cs="Arial" w:eastAsia="Arial" w:hAnsi="Arial"/>
          <w:sz w:val="18"/>
          <w:szCs w:val="18"/>
          <w:i w:val="1"/>
          <w:iCs w:val="1"/>
          <w:color w:val="auto"/>
        </w:rPr>
        <w:t>Competition</w:t>
      </w:r>
      <w:r>
        <w:rPr>
          <w:rFonts w:ascii="Arial" w:cs="Arial" w:eastAsia="Arial" w:hAnsi="Arial"/>
          <w:sz w:val="18"/>
          <w:szCs w:val="18"/>
          <w:color w:val="auto"/>
        </w:rPr>
        <w:t>. We should provide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opportunities with respect to our industry so we can attract, retain and motivate qualified executives.</w:t>
      </w:r>
    </w:p>
    <w:p>
      <w:pPr>
        <w:spacing w:after="0" w:line="65" w:lineRule="exact"/>
        <w:rPr>
          <w:rFonts w:ascii="Arial" w:cs="Arial" w:eastAsia="Arial" w:hAnsi="Arial"/>
          <w:sz w:val="18"/>
          <w:szCs w:val="18"/>
          <w:color w:val="578255"/>
        </w:rPr>
      </w:pPr>
    </w:p>
    <w:p>
      <w:pPr>
        <w:jc w:val="both"/>
        <w:ind w:left="1080" w:hanging="166"/>
        <w:spacing w:after="0" w:line="242" w:lineRule="auto"/>
        <w:tabs>
          <w:tab w:leader="none" w:pos="1080" w:val="left"/>
        </w:tabs>
        <w:numPr>
          <w:ilvl w:val="0"/>
          <w:numId w:val="68"/>
        </w:numPr>
        <w:rPr>
          <w:rFonts w:ascii="Arial" w:cs="Arial" w:eastAsia="Arial" w:hAnsi="Arial"/>
          <w:sz w:val="18"/>
          <w:szCs w:val="18"/>
          <w:color w:val="578255"/>
        </w:rPr>
      </w:pPr>
      <w:r>
        <w:rPr>
          <w:rFonts w:ascii="Arial" w:cs="Arial" w:eastAsia="Arial" w:hAnsi="Arial"/>
          <w:sz w:val="18"/>
          <w:szCs w:val="18"/>
          <w:i w:val="1"/>
          <w:iCs w:val="1"/>
          <w:color w:val="auto"/>
        </w:rPr>
        <w:t>Alignment with Shareholder Interests</w:t>
      </w:r>
      <w:r>
        <w:rPr>
          <w:rFonts w:ascii="Arial" w:cs="Arial" w:eastAsia="Arial" w:hAnsi="Arial"/>
          <w:sz w:val="18"/>
          <w:szCs w:val="18"/>
          <w:color w:val="auto"/>
        </w:rPr>
        <w:t>. A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compensation should be contingent on our performance for our shareholders, to align the interests of executives with the interests of our shareholders and to hold the executives accountable for our performance.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right="920"/>
        <w:spacing w:after="0" w:line="237" w:lineRule="auto"/>
        <w:rPr>
          <w:sz w:val="20"/>
          <w:szCs w:val="20"/>
          <w:color w:val="auto"/>
        </w:rPr>
      </w:pPr>
      <w:r>
        <w:rPr>
          <w:rFonts w:ascii="Arial" w:cs="Arial" w:eastAsia="Arial" w:hAnsi="Arial"/>
          <w:sz w:val="18"/>
          <w:szCs w:val="18"/>
          <w:color w:val="auto"/>
        </w:rPr>
        <w:t>The material elements of our executive compensation programs for our Named Officers include a base salary, short-term cash incentive awards and long-term equity incentive awards. In addition, our Named Officers may participate in our 401(k) plan and employee benefit programs on substantially the same terms as our other employees. Our Named Officers also are entitled to certain perquisites and personal benefits and, in some cases, are entitled to severance benefits upon certain terminations of their employment with us. We believe each element of our executive compensation program helps us to achieve one or more of our compensation objectives. Taken together, the compensation elements are intended to provide a total compensation package for each Named Officer that is competitive.</w:t>
      </w:r>
    </w:p>
    <w:p>
      <w:pPr>
        <w:spacing w:after="0" w:line="1032"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37</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0" w:right="20"/>
        <w:spacing w:after="0" w:line="271" w:lineRule="auto"/>
        <w:rPr>
          <w:sz w:val="20"/>
          <w:szCs w:val="20"/>
          <w:color w:val="auto"/>
        </w:rPr>
      </w:pPr>
      <w:r>
        <w:rPr>
          <w:rFonts w:ascii="Arial" w:cs="Arial" w:eastAsia="Arial" w:hAnsi="Arial"/>
          <w:sz w:val="18"/>
          <w:szCs w:val="18"/>
          <w:color w:val="auto"/>
        </w:rPr>
        <w:t>The table below lists each material element of our executive compensation program and the compensation objective or objectives it is designed to achieve.</w:t>
      </w:r>
    </w:p>
    <w:p>
      <w:pPr>
        <w:spacing w:after="0" w:line="105" w:lineRule="exact"/>
        <w:rPr>
          <w:sz w:val="20"/>
          <w:szCs w:val="20"/>
          <w:color w:val="auto"/>
        </w:rPr>
      </w:pPr>
    </w:p>
    <w:tbl>
      <w:tblPr>
        <w:tblLayout w:type="fixed"/>
        <w:tblInd w:w="600" w:type="dxa"/>
        <w:tblCellMar>
          <w:top w:w="0" w:type="dxa"/>
          <w:left w:w="0" w:type="dxa"/>
          <w:bottom w:w="0" w:type="dxa"/>
          <w:right w:w="0" w:type="dxa"/>
        </w:tblCellMar>
      </w:tblPr>
      <w:tr>
        <w:trPr>
          <w:trHeight w:val="331"/>
        </w:trPr>
        <w:tc>
          <w:tcPr>
            <w:tcW w:w="312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7"/>
                <w:szCs w:val="17"/>
                <w:b w:val="1"/>
                <w:bCs w:val="1"/>
                <w:color w:val="FFFFFF"/>
              </w:rPr>
              <w:t>Compensation Element</w:t>
            </w:r>
          </w:p>
        </w:tc>
        <w:tc>
          <w:tcPr>
            <w:tcW w:w="4980" w:type="dxa"/>
            <w:vAlign w:val="bottom"/>
            <w:tcBorders>
              <w:bottom w:val="single" w:sz="8" w:color="819F7C"/>
            </w:tcBorders>
            <w:gridSpan w:val="2"/>
            <w:shd w:val="clear" w:color="auto" w:fill="819F7C"/>
          </w:tcPr>
          <w:p>
            <w:pPr>
              <w:ind w:left="380"/>
              <w:spacing w:after="0"/>
              <w:rPr>
                <w:sz w:val="20"/>
                <w:szCs w:val="20"/>
                <w:color w:val="auto"/>
              </w:rPr>
            </w:pPr>
            <w:r>
              <w:rPr>
                <w:rFonts w:ascii="Arial" w:cs="Arial" w:eastAsia="Arial" w:hAnsi="Arial"/>
                <w:sz w:val="17"/>
                <w:szCs w:val="17"/>
                <w:b w:val="1"/>
                <w:bCs w:val="1"/>
                <w:color w:val="FFFFFF"/>
              </w:rPr>
              <w:t>Compensation Objectives Designed to be Achieved</w:t>
            </w:r>
          </w:p>
        </w:tc>
      </w:tr>
      <w:tr>
        <w:trPr>
          <w:trHeight w:val="277"/>
        </w:trPr>
        <w:tc>
          <w:tcPr>
            <w:tcW w:w="31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Base salary</w:t>
            </w:r>
          </w:p>
        </w:tc>
        <w:tc>
          <w:tcPr>
            <w:tcW w:w="640" w:type="dxa"/>
            <w:vAlign w:val="bottom"/>
            <w:tcBorders>
              <w:bottom w:val="single" w:sz="8" w:color="E5E9E3"/>
            </w:tcBorders>
            <w:shd w:val="clear" w:color="auto" w:fill="E5E9E3"/>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tcBorders>
              <w:bottom w:val="single" w:sz="8" w:color="E5E9E3"/>
            </w:tcBorders>
            <w:shd w:val="clear" w:color="auto" w:fill="E5E9E3"/>
          </w:tcPr>
          <w:p>
            <w:pPr>
              <w:ind w:left="60"/>
              <w:spacing w:after="0"/>
              <w:rPr>
                <w:sz w:val="20"/>
                <w:szCs w:val="20"/>
                <w:color w:val="auto"/>
              </w:rPr>
            </w:pPr>
            <w:r>
              <w:rPr>
                <w:rFonts w:ascii="Arial" w:cs="Arial" w:eastAsia="Arial" w:hAnsi="Arial"/>
                <w:sz w:val="17"/>
                <w:szCs w:val="17"/>
                <w:color w:val="auto"/>
              </w:rPr>
              <w:t>   Attract, retain and motivate qualified executives.</w:t>
            </w:r>
          </w:p>
        </w:tc>
      </w:tr>
      <w:tr>
        <w:trPr>
          <w:trHeight w:val="221"/>
        </w:trPr>
        <w:tc>
          <w:tcPr>
            <w:tcW w:w="3120" w:type="dxa"/>
            <w:vAlign w:val="bottom"/>
          </w:tcPr>
          <w:p>
            <w:pPr>
              <w:ind w:left="80"/>
              <w:spacing w:after="0"/>
              <w:rPr>
                <w:sz w:val="20"/>
                <w:szCs w:val="20"/>
                <w:color w:val="auto"/>
              </w:rPr>
            </w:pPr>
            <w:r>
              <w:rPr>
                <w:rFonts w:ascii="Arial" w:cs="Arial" w:eastAsia="Arial" w:hAnsi="Arial"/>
                <w:sz w:val="17"/>
                <w:szCs w:val="17"/>
                <w:color w:val="auto"/>
              </w:rPr>
              <w:t>Short-term cash incentives</w:t>
            </w: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tcPr>
          <w:p>
            <w:pPr>
              <w:ind w:left="60"/>
              <w:spacing w:after="0"/>
              <w:rPr>
                <w:sz w:val="20"/>
                <w:szCs w:val="20"/>
                <w:color w:val="auto"/>
              </w:rPr>
            </w:pPr>
            <w:r>
              <w:rPr>
                <w:rFonts w:ascii="Arial" w:cs="Arial" w:eastAsia="Arial" w:hAnsi="Arial"/>
                <w:sz w:val="17"/>
                <w:szCs w:val="17"/>
                <w:color w:val="auto"/>
              </w:rPr>
              <w:t>   Align executives’ interests with those of</w:t>
            </w:r>
          </w:p>
        </w:tc>
      </w:tr>
      <w:tr>
        <w:trPr>
          <w:trHeight w:val="189"/>
        </w:trPr>
        <w:tc>
          <w:tcPr>
            <w:tcW w:w="3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tcPr>
          <w:p>
            <w:pPr>
              <w:ind w:left="240"/>
              <w:spacing w:after="0" w:line="189" w:lineRule="exact"/>
              <w:rPr>
                <w:sz w:val="20"/>
                <w:szCs w:val="20"/>
                <w:color w:val="auto"/>
              </w:rPr>
            </w:pPr>
            <w:r>
              <w:rPr>
                <w:rFonts w:ascii="Arial" w:cs="Arial" w:eastAsia="Arial" w:hAnsi="Arial"/>
                <w:sz w:val="17"/>
                <w:szCs w:val="17"/>
                <w:color w:val="auto"/>
              </w:rPr>
              <w:t>shareholders;</w:t>
            </w:r>
          </w:p>
        </w:tc>
      </w:tr>
      <w:tr>
        <w:trPr>
          <w:trHeight w:val="189"/>
        </w:trPr>
        <w:tc>
          <w:tcPr>
            <w:tcW w:w="3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tcPr>
          <w:p>
            <w:pPr>
              <w:ind w:left="80"/>
              <w:spacing w:after="0" w:line="189" w:lineRule="exact"/>
              <w:rPr>
                <w:sz w:val="20"/>
                <w:szCs w:val="20"/>
                <w:color w:val="auto"/>
              </w:rPr>
            </w:pPr>
            <w:r>
              <w:rPr>
                <w:rFonts w:ascii="Arial" w:cs="Arial" w:eastAsia="Arial" w:hAnsi="Arial"/>
                <w:sz w:val="17"/>
                <w:szCs w:val="17"/>
                <w:color w:val="auto"/>
              </w:rPr>
              <w:t> </w:t>
            </w:r>
          </w:p>
        </w:tc>
      </w:tr>
      <w:tr>
        <w:trPr>
          <w:trHeight w:val="189"/>
        </w:trPr>
        <w:tc>
          <w:tcPr>
            <w:tcW w:w="3120" w:type="dxa"/>
            <w:vAlign w:val="bottom"/>
          </w:tcPr>
          <w:p>
            <w:pPr>
              <w:spacing w:after="0"/>
              <w:rPr>
                <w:sz w:val="16"/>
                <w:szCs w:val="16"/>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tcPr>
          <w:p>
            <w:pPr>
              <w:ind w:left="60"/>
              <w:spacing w:after="0" w:line="189" w:lineRule="exact"/>
              <w:rPr>
                <w:sz w:val="20"/>
                <w:szCs w:val="20"/>
                <w:color w:val="auto"/>
              </w:rPr>
            </w:pPr>
            <w:r>
              <w:rPr>
                <w:rFonts w:ascii="Arial" w:cs="Arial" w:eastAsia="Arial" w:hAnsi="Arial"/>
                <w:sz w:val="17"/>
                <w:szCs w:val="17"/>
                <w:color w:val="auto"/>
              </w:rPr>
              <w:t>   Hold executives accountable for our performance;</w:t>
            </w:r>
          </w:p>
        </w:tc>
      </w:tr>
      <w:tr>
        <w:trPr>
          <w:trHeight w:val="189"/>
        </w:trPr>
        <w:tc>
          <w:tcPr>
            <w:tcW w:w="3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tcPr>
          <w:p>
            <w:pPr>
              <w:ind w:left="240"/>
              <w:spacing w:after="0" w:line="189" w:lineRule="exact"/>
              <w:rPr>
                <w:sz w:val="20"/>
                <w:szCs w:val="20"/>
                <w:color w:val="auto"/>
              </w:rPr>
            </w:pPr>
            <w:r>
              <w:rPr>
                <w:rFonts w:ascii="Arial" w:cs="Arial" w:eastAsia="Arial" w:hAnsi="Arial"/>
                <w:sz w:val="17"/>
                <w:szCs w:val="17"/>
                <w:color w:val="auto"/>
              </w:rPr>
              <w:t>and</w:t>
            </w:r>
          </w:p>
        </w:tc>
      </w:tr>
      <w:tr>
        <w:trPr>
          <w:trHeight w:val="189"/>
        </w:trPr>
        <w:tc>
          <w:tcPr>
            <w:tcW w:w="3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340" w:type="dxa"/>
            <w:vAlign w:val="bottom"/>
          </w:tcPr>
          <w:p>
            <w:pPr>
              <w:ind w:left="80"/>
              <w:spacing w:after="0" w:line="189" w:lineRule="exact"/>
              <w:rPr>
                <w:sz w:val="20"/>
                <w:szCs w:val="20"/>
                <w:color w:val="auto"/>
              </w:rPr>
            </w:pPr>
            <w:r>
              <w:rPr>
                <w:rFonts w:ascii="Arial" w:cs="Arial" w:eastAsia="Arial" w:hAnsi="Arial"/>
                <w:sz w:val="17"/>
                <w:szCs w:val="17"/>
                <w:color w:val="auto"/>
              </w:rPr>
              <w:t> </w:t>
            </w:r>
          </w:p>
        </w:tc>
      </w:tr>
      <w:tr>
        <w:trPr>
          <w:trHeight w:val="225"/>
        </w:trPr>
        <w:tc>
          <w:tcPr>
            <w:tcW w:w="3120" w:type="dxa"/>
            <w:vAlign w:val="bottom"/>
          </w:tcPr>
          <w:p>
            <w:pPr>
              <w:spacing w:after="0"/>
              <w:rPr>
                <w:sz w:val="19"/>
                <w:szCs w:val="19"/>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tcPr>
          <w:p>
            <w:pPr>
              <w:ind w:left="60"/>
              <w:spacing w:after="0"/>
              <w:rPr>
                <w:sz w:val="20"/>
                <w:szCs w:val="20"/>
                <w:color w:val="auto"/>
              </w:rPr>
            </w:pPr>
            <w:r>
              <w:rPr>
                <w:rFonts w:ascii="Arial" w:cs="Arial" w:eastAsia="Arial" w:hAnsi="Arial"/>
                <w:sz w:val="17"/>
                <w:szCs w:val="17"/>
                <w:color w:val="auto"/>
              </w:rPr>
              <w:t>   Attract, retain and motivate qualified executives.</w:t>
            </w:r>
          </w:p>
        </w:tc>
      </w:tr>
      <w:tr>
        <w:trPr>
          <w:trHeight w:val="40"/>
        </w:trPr>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340" w:type="dxa"/>
            <w:vAlign w:val="bottom"/>
          </w:tcPr>
          <w:p>
            <w:pPr>
              <w:spacing w:after="0"/>
              <w:rPr>
                <w:sz w:val="3"/>
                <w:szCs w:val="3"/>
                <w:color w:val="auto"/>
              </w:rPr>
            </w:pPr>
          </w:p>
        </w:tc>
      </w:tr>
      <w:tr>
        <w:trPr>
          <w:trHeight w:val="221"/>
        </w:trPr>
        <w:tc>
          <w:tcPr>
            <w:tcW w:w="3120" w:type="dxa"/>
            <w:vAlign w:val="bottom"/>
            <w:shd w:val="clear" w:color="auto" w:fill="E5E9E3"/>
          </w:tcPr>
          <w:p>
            <w:pPr>
              <w:ind w:left="80"/>
              <w:spacing w:after="0"/>
              <w:rPr>
                <w:sz w:val="20"/>
                <w:szCs w:val="20"/>
                <w:color w:val="auto"/>
              </w:rPr>
            </w:pPr>
            <w:r>
              <w:rPr>
                <w:rFonts w:ascii="Arial" w:cs="Arial" w:eastAsia="Arial" w:hAnsi="Arial"/>
                <w:sz w:val="17"/>
                <w:szCs w:val="17"/>
                <w:color w:val="auto"/>
              </w:rPr>
              <w:t>Long-term equity incentives</w:t>
            </w:r>
          </w:p>
        </w:tc>
        <w:tc>
          <w:tcPr>
            <w:tcW w:w="640" w:type="dxa"/>
            <w:vAlign w:val="bottom"/>
            <w:shd w:val="clear" w:color="auto" w:fill="E5E9E3"/>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shd w:val="clear" w:color="auto" w:fill="E5E9E3"/>
          </w:tcPr>
          <w:p>
            <w:pPr>
              <w:ind w:left="60"/>
              <w:spacing w:after="0"/>
              <w:rPr>
                <w:sz w:val="20"/>
                <w:szCs w:val="20"/>
                <w:color w:val="auto"/>
              </w:rPr>
            </w:pPr>
            <w:r>
              <w:rPr>
                <w:rFonts w:ascii="Arial" w:cs="Arial" w:eastAsia="Arial" w:hAnsi="Arial"/>
                <w:sz w:val="17"/>
                <w:szCs w:val="17"/>
                <w:color w:val="auto"/>
              </w:rPr>
              <w:t>   Align executives’ interests with those of</w:t>
            </w:r>
          </w:p>
        </w:tc>
      </w:tr>
      <w:tr>
        <w:trPr>
          <w:trHeight w:val="189"/>
        </w:trPr>
        <w:tc>
          <w:tcPr>
            <w:tcW w:w="3120" w:type="dxa"/>
            <w:vAlign w:val="bottom"/>
            <w:shd w:val="clear" w:color="auto" w:fill="E5E9E3"/>
          </w:tcPr>
          <w:p>
            <w:pPr>
              <w:spacing w:after="0"/>
              <w:rPr>
                <w:sz w:val="16"/>
                <w:szCs w:val="16"/>
                <w:color w:val="auto"/>
              </w:rPr>
            </w:pPr>
          </w:p>
        </w:tc>
        <w:tc>
          <w:tcPr>
            <w:tcW w:w="640" w:type="dxa"/>
            <w:vAlign w:val="bottom"/>
            <w:shd w:val="clear" w:color="auto" w:fill="E5E9E3"/>
          </w:tcPr>
          <w:p>
            <w:pPr>
              <w:spacing w:after="0"/>
              <w:rPr>
                <w:sz w:val="16"/>
                <w:szCs w:val="16"/>
                <w:color w:val="auto"/>
              </w:rPr>
            </w:pPr>
          </w:p>
        </w:tc>
        <w:tc>
          <w:tcPr>
            <w:tcW w:w="4340" w:type="dxa"/>
            <w:vAlign w:val="bottom"/>
            <w:shd w:val="clear" w:color="auto" w:fill="E5E9E3"/>
          </w:tcPr>
          <w:p>
            <w:pPr>
              <w:ind w:left="240"/>
              <w:spacing w:after="0" w:line="189" w:lineRule="exact"/>
              <w:rPr>
                <w:sz w:val="20"/>
                <w:szCs w:val="20"/>
                <w:color w:val="auto"/>
              </w:rPr>
            </w:pPr>
            <w:r>
              <w:rPr>
                <w:rFonts w:ascii="Arial" w:cs="Arial" w:eastAsia="Arial" w:hAnsi="Arial"/>
                <w:sz w:val="17"/>
                <w:szCs w:val="17"/>
                <w:color w:val="auto"/>
              </w:rPr>
              <w:t>shareholders;</w:t>
            </w:r>
          </w:p>
        </w:tc>
      </w:tr>
      <w:tr>
        <w:trPr>
          <w:trHeight w:val="189"/>
        </w:trPr>
        <w:tc>
          <w:tcPr>
            <w:tcW w:w="3120" w:type="dxa"/>
            <w:vAlign w:val="bottom"/>
            <w:shd w:val="clear" w:color="auto" w:fill="E5E9E3"/>
          </w:tcPr>
          <w:p>
            <w:pPr>
              <w:spacing w:after="0"/>
              <w:rPr>
                <w:sz w:val="16"/>
                <w:szCs w:val="16"/>
                <w:color w:val="auto"/>
              </w:rPr>
            </w:pPr>
          </w:p>
        </w:tc>
        <w:tc>
          <w:tcPr>
            <w:tcW w:w="640" w:type="dxa"/>
            <w:vAlign w:val="bottom"/>
            <w:shd w:val="clear" w:color="auto" w:fill="E5E9E3"/>
          </w:tcPr>
          <w:p>
            <w:pPr>
              <w:spacing w:after="0"/>
              <w:rPr>
                <w:sz w:val="16"/>
                <w:szCs w:val="16"/>
                <w:color w:val="auto"/>
              </w:rPr>
            </w:pPr>
          </w:p>
        </w:tc>
        <w:tc>
          <w:tcPr>
            <w:tcW w:w="4340" w:type="dxa"/>
            <w:vAlign w:val="bottom"/>
            <w:shd w:val="clear" w:color="auto" w:fill="E5E9E3"/>
          </w:tcPr>
          <w:p>
            <w:pPr>
              <w:ind w:left="80"/>
              <w:spacing w:after="0" w:line="189" w:lineRule="exact"/>
              <w:rPr>
                <w:sz w:val="20"/>
                <w:szCs w:val="20"/>
                <w:color w:val="auto"/>
              </w:rPr>
            </w:pPr>
            <w:r>
              <w:rPr>
                <w:rFonts w:ascii="Arial" w:cs="Arial" w:eastAsia="Arial" w:hAnsi="Arial"/>
                <w:sz w:val="17"/>
                <w:szCs w:val="17"/>
                <w:color w:val="auto"/>
              </w:rPr>
              <w:t> </w:t>
            </w:r>
          </w:p>
        </w:tc>
      </w:tr>
      <w:tr>
        <w:trPr>
          <w:trHeight w:val="189"/>
        </w:trPr>
        <w:tc>
          <w:tcPr>
            <w:tcW w:w="3120" w:type="dxa"/>
            <w:vAlign w:val="bottom"/>
            <w:shd w:val="clear" w:color="auto" w:fill="E5E9E3"/>
          </w:tcPr>
          <w:p>
            <w:pPr>
              <w:spacing w:after="0"/>
              <w:rPr>
                <w:sz w:val="16"/>
                <w:szCs w:val="16"/>
                <w:color w:val="auto"/>
              </w:rPr>
            </w:pPr>
          </w:p>
        </w:tc>
        <w:tc>
          <w:tcPr>
            <w:tcW w:w="640" w:type="dxa"/>
            <w:vAlign w:val="bottom"/>
            <w:shd w:val="clear" w:color="auto" w:fill="E5E9E3"/>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shd w:val="clear" w:color="auto" w:fill="E5E9E3"/>
          </w:tcPr>
          <w:p>
            <w:pPr>
              <w:ind w:left="60"/>
              <w:spacing w:after="0" w:line="189" w:lineRule="exact"/>
              <w:rPr>
                <w:sz w:val="20"/>
                <w:szCs w:val="20"/>
                <w:color w:val="auto"/>
              </w:rPr>
            </w:pPr>
            <w:r>
              <w:rPr>
                <w:rFonts w:ascii="Arial" w:cs="Arial" w:eastAsia="Arial" w:hAnsi="Arial"/>
                <w:sz w:val="17"/>
                <w:szCs w:val="17"/>
                <w:color w:val="auto"/>
              </w:rPr>
              <w:t>   Hold executives accountable for our performance;</w:t>
            </w:r>
          </w:p>
        </w:tc>
      </w:tr>
      <w:tr>
        <w:trPr>
          <w:trHeight w:val="189"/>
        </w:trPr>
        <w:tc>
          <w:tcPr>
            <w:tcW w:w="3120" w:type="dxa"/>
            <w:vAlign w:val="bottom"/>
            <w:shd w:val="clear" w:color="auto" w:fill="E5E9E3"/>
          </w:tcPr>
          <w:p>
            <w:pPr>
              <w:spacing w:after="0"/>
              <w:rPr>
                <w:sz w:val="16"/>
                <w:szCs w:val="16"/>
                <w:color w:val="auto"/>
              </w:rPr>
            </w:pPr>
          </w:p>
        </w:tc>
        <w:tc>
          <w:tcPr>
            <w:tcW w:w="640" w:type="dxa"/>
            <w:vAlign w:val="bottom"/>
            <w:shd w:val="clear" w:color="auto" w:fill="E5E9E3"/>
          </w:tcPr>
          <w:p>
            <w:pPr>
              <w:spacing w:after="0"/>
              <w:rPr>
                <w:sz w:val="16"/>
                <w:szCs w:val="16"/>
                <w:color w:val="auto"/>
              </w:rPr>
            </w:pPr>
          </w:p>
        </w:tc>
        <w:tc>
          <w:tcPr>
            <w:tcW w:w="4340" w:type="dxa"/>
            <w:vAlign w:val="bottom"/>
            <w:shd w:val="clear" w:color="auto" w:fill="E5E9E3"/>
          </w:tcPr>
          <w:p>
            <w:pPr>
              <w:ind w:left="240"/>
              <w:spacing w:after="0" w:line="189" w:lineRule="exact"/>
              <w:rPr>
                <w:sz w:val="20"/>
                <w:szCs w:val="20"/>
                <w:color w:val="auto"/>
              </w:rPr>
            </w:pPr>
            <w:r>
              <w:rPr>
                <w:rFonts w:ascii="Arial" w:cs="Arial" w:eastAsia="Arial" w:hAnsi="Arial"/>
                <w:sz w:val="17"/>
                <w:szCs w:val="17"/>
                <w:color w:val="auto"/>
              </w:rPr>
              <w:t>and</w:t>
            </w:r>
          </w:p>
        </w:tc>
      </w:tr>
      <w:tr>
        <w:trPr>
          <w:trHeight w:val="189"/>
        </w:trPr>
        <w:tc>
          <w:tcPr>
            <w:tcW w:w="3120" w:type="dxa"/>
            <w:vAlign w:val="bottom"/>
            <w:shd w:val="clear" w:color="auto" w:fill="E5E9E3"/>
          </w:tcPr>
          <w:p>
            <w:pPr>
              <w:spacing w:after="0"/>
              <w:rPr>
                <w:sz w:val="16"/>
                <w:szCs w:val="16"/>
                <w:color w:val="auto"/>
              </w:rPr>
            </w:pPr>
          </w:p>
        </w:tc>
        <w:tc>
          <w:tcPr>
            <w:tcW w:w="640" w:type="dxa"/>
            <w:vAlign w:val="bottom"/>
            <w:shd w:val="clear" w:color="auto" w:fill="E5E9E3"/>
          </w:tcPr>
          <w:p>
            <w:pPr>
              <w:spacing w:after="0"/>
              <w:rPr>
                <w:sz w:val="16"/>
                <w:szCs w:val="16"/>
                <w:color w:val="auto"/>
              </w:rPr>
            </w:pPr>
          </w:p>
        </w:tc>
        <w:tc>
          <w:tcPr>
            <w:tcW w:w="4340" w:type="dxa"/>
            <w:vAlign w:val="bottom"/>
            <w:shd w:val="clear" w:color="auto" w:fill="E5E9E3"/>
          </w:tcPr>
          <w:p>
            <w:pPr>
              <w:ind w:left="80"/>
              <w:spacing w:after="0" w:line="189" w:lineRule="exact"/>
              <w:rPr>
                <w:sz w:val="20"/>
                <w:szCs w:val="20"/>
                <w:color w:val="auto"/>
              </w:rPr>
            </w:pPr>
            <w:r>
              <w:rPr>
                <w:rFonts w:ascii="Arial" w:cs="Arial" w:eastAsia="Arial" w:hAnsi="Arial"/>
                <w:sz w:val="17"/>
                <w:szCs w:val="17"/>
                <w:color w:val="auto"/>
              </w:rPr>
              <w:t> </w:t>
            </w:r>
          </w:p>
        </w:tc>
      </w:tr>
      <w:tr>
        <w:trPr>
          <w:trHeight w:val="245"/>
        </w:trPr>
        <w:tc>
          <w:tcPr>
            <w:tcW w:w="3120" w:type="dxa"/>
            <w:vAlign w:val="bottom"/>
            <w:tcBorders>
              <w:bottom w:val="single" w:sz="8" w:color="E5E9E3"/>
            </w:tcBorders>
            <w:shd w:val="clear" w:color="auto" w:fill="E5E9E3"/>
          </w:tcPr>
          <w:p>
            <w:pPr>
              <w:spacing w:after="0"/>
              <w:rPr>
                <w:sz w:val="21"/>
                <w:szCs w:val="21"/>
                <w:color w:val="auto"/>
              </w:rPr>
            </w:pPr>
          </w:p>
        </w:tc>
        <w:tc>
          <w:tcPr>
            <w:tcW w:w="640" w:type="dxa"/>
            <w:vAlign w:val="bottom"/>
            <w:tcBorders>
              <w:bottom w:val="single" w:sz="8" w:color="E5E9E3"/>
            </w:tcBorders>
            <w:shd w:val="clear" w:color="auto" w:fill="E5E9E3"/>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tcBorders>
              <w:bottom w:val="single" w:sz="8" w:color="E5E9E3"/>
            </w:tcBorders>
            <w:shd w:val="clear" w:color="auto" w:fill="E5E9E3"/>
          </w:tcPr>
          <w:p>
            <w:pPr>
              <w:ind w:left="60"/>
              <w:spacing w:after="0"/>
              <w:rPr>
                <w:sz w:val="20"/>
                <w:szCs w:val="20"/>
                <w:color w:val="auto"/>
              </w:rPr>
            </w:pPr>
            <w:r>
              <w:rPr>
                <w:rFonts w:ascii="Arial" w:cs="Arial" w:eastAsia="Arial" w:hAnsi="Arial"/>
                <w:sz w:val="17"/>
                <w:szCs w:val="17"/>
                <w:color w:val="auto"/>
              </w:rPr>
              <w:t>   Attract, retain and motivate qualified executives.</w:t>
            </w:r>
          </w:p>
        </w:tc>
      </w:tr>
      <w:tr>
        <w:trPr>
          <w:trHeight w:val="257"/>
        </w:trPr>
        <w:tc>
          <w:tcPr>
            <w:tcW w:w="3120" w:type="dxa"/>
            <w:vAlign w:val="bottom"/>
          </w:tcPr>
          <w:p>
            <w:pPr>
              <w:ind w:left="80"/>
              <w:spacing w:after="0"/>
              <w:rPr>
                <w:sz w:val="20"/>
                <w:szCs w:val="20"/>
                <w:color w:val="auto"/>
              </w:rPr>
            </w:pPr>
            <w:r>
              <w:rPr>
                <w:rFonts w:ascii="Arial" w:cs="Arial" w:eastAsia="Arial" w:hAnsi="Arial"/>
                <w:sz w:val="17"/>
                <w:szCs w:val="17"/>
                <w:color w:val="auto"/>
              </w:rPr>
              <w:t>Perquisites and personal benefits</w:t>
            </w: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tcPr>
          <w:p>
            <w:pPr>
              <w:ind w:left="60"/>
              <w:spacing w:after="0"/>
              <w:rPr>
                <w:sz w:val="20"/>
                <w:szCs w:val="20"/>
                <w:color w:val="auto"/>
              </w:rPr>
            </w:pPr>
            <w:r>
              <w:rPr>
                <w:rFonts w:ascii="Arial" w:cs="Arial" w:eastAsia="Arial" w:hAnsi="Arial"/>
                <w:sz w:val="17"/>
                <w:szCs w:val="17"/>
                <w:color w:val="auto"/>
              </w:rPr>
              <w:t>   Attract, retain and motivate qualified executives.</w:t>
            </w:r>
          </w:p>
        </w:tc>
      </w:tr>
      <w:tr>
        <w:trPr>
          <w:trHeight w:val="41"/>
        </w:trPr>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340" w:type="dxa"/>
            <w:vAlign w:val="bottom"/>
          </w:tcPr>
          <w:p>
            <w:pPr>
              <w:spacing w:after="0"/>
              <w:rPr>
                <w:sz w:val="3"/>
                <w:szCs w:val="3"/>
                <w:color w:val="auto"/>
              </w:rPr>
            </w:pPr>
          </w:p>
        </w:tc>
      </w:tr>
      <w:tr>
        <w:trPr>
          <w:trHeight w:val="221"/>
        </w:trPr>
        <w:tc>
          <w:tcPr>
            <w:tcW w:w="3120" w:type="dxa"/>
            <w:vAlign w:val="bottom"/>
            <w:shd w:val="clear" w:color="auto" w:fill="E5E9E3"/>
          </w:tcPr>
          <w:p>
            <w:pPr>
              <w:ind w:left="80"/>
              <w:spacing w:after="0"/>
              <w:rPr>
                <w:sz w:val="20"/>
                <w:szCs w:val="20"/>
                <w:color w:val="auto"/>
              </w:rPr>
            </w:pPr>
            <w:r>
              <w:rPr>
                <w:rFonts w:ascii="Arial" w:cs="Arial" w:eastAsia="Arial" w:hAnsi="Arial"/>
                <w:sz w:val="17"/>
                <w:szCs w:val="17"/>
                <w:color w:val="auto"/>
              </w:rPr>
              <w:t>Severance and other benefits upon</w:t>
            </w:r>
          </w:p>
        </w:tc>
        <w:tc>
          <w:tcPr>
            <w:tcW w:w="640" w:type="dxa"/>
            <w:vAlign w:val="bottom"/>
            <w:shd w:val="clear" w:color="auto" w:fill="E5E9E3"/>
          </w:tcPr>
          <w:p>
            <w:pPr>
              <w:ind w:left="540"/>
              <w:spacing w:after="0"/>
              <w:rPr>
                <w:sz w:val="20"/>
                <w:szCs w:val="20"/>
                <w:color w:val="auto"/>
              </w:rPr>
            </w:pPr>
            <w:r>
              <w:rPr>
                <w:rFonts w:ascii="Arial" w:cs="Arial" w:eastAsia="Arial" w:hAnsi="Arial"/>
                <w:sz w:val="11"/>
                <w:szCs w:val="11"/>
                <w:color w:val="auto"/>
                <w:w w:val="72"/>
              </w:rPr>
              <w:t> </w:t>
            </w:r>
          </w:p>
        </w:tc>
        <w:tc>
          <w:tcPr>
            <w:tcW w:w="4340" w:type="dxa"/>
            <w:vAlign w:val="bottom"/>
            <w:shd w:val="clear" w:color="auto" w:fill="E5E9E3"/>
          </w:tcPr>
          <w:p>
            <w:pPr>
              <w:ind w:left="60"/>
              <w:spacing w:after="0"/>
              <w:rPr>
                <w:sz w:val="20"/>
                <w:szCs w:val="20"/>
                <w:color w:val="auto"/>
              </w:rPr>
            </w:pPr>
            <w:r>
              <w:rPr>
                <w:rFonts w:ascii="Arial" w:cs="Arial" w:eastAsia="Arial" w:hAnsi="Arial"/>
                <w:sz w:val="17"/>
                <w:szCs w:val="17"/>
                <w:color w:val="auto"/>
              </w:rPr>
              <w:t>   Attract, retain and motivate qualified executives.</w:t>
            </w:r>
          </w:p>
        </w:tc>
      </w:tr>
      <w:tr>
        <w:trPr>
          <w:trHeight w:val="245"/>
        </w:trPr>
        <w:tc>
          <w:tcPr>
            <w:tcW w:w="31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termination of employment</w:t>
            </w:r>
          </w:p>
        </w:tc>
        <w:tc>
          <w:tcPr>
            <w:tcW w:w="640" w:type="dxa"/>
            <w:vAlign w:val="bottom"/>
            <w:tcBorders>
              <w:bottom w:val="single" w:sz="8" w:color="E5E9E3"/>
            </w:tcBorders>
            <w:shd w:val="clear" w:color="auto" w:fill="E5E9E3"/>
          </w:tcPr>
          <w:p>
            <w:pPr>
              <w:spacing w:after="0"/>
              <w:rPr>
                <w:sz w:val="21"/>
                <w:szCs w:val="21"/>
                <w:color w:val="auto"/>
              </w:rPr>
            </w:pPr>
          </w:p>
        </w:tc>
        <w:tc>
          <w:tcPr>
            <w:tcW w:w="4340" w:type="dxa"/>
            <w:vAlign w:val="bottom"/>
            <w:tcBorders>
              <w:bottom w:val="single" w:sz="8" w:color="E5E9E3"/>
            </w:tcBorders>
            <w:shd w:val="clear" w:color="auto" w:fill="E5E9E3"/>
          </w:tcPr>
          <w:p>
            <w:pPr>
              <w:spacing w:after="0"/>
              <w:rPr>
                <w:sz w:val="21"/>
                <w:szCs w:val="21"/>
                <w:color w:val="auto"/>
              </w:rPr>
            </w:pPr>
          </w:p>
        </w:tc>
      </w:tr>
      <w:tr>
        <w:trPr>
          <w:trHeight w:val="94"/>
        </w:trPr>
        <w:tc>
          <w:tcPr>
            <w:tcW w:w="3120" w:type="dxa"/>
            <w:vAlign w:val="bottom"/>
            <w:shd w:val="clear" w:color="auto" w:fill="819F7C"/>
          </w:tcPr>
          <w:p>
            <w:pPr>
              <w:spacing w:after="0"/>
              <w:rPr>
                <w:sz w:val="8"/>
                <w:szCs w:val="8"/>
                <w:color w:val="auto"/>
              </w:rPr>
            </w:pPr>
          </w:p>
        </w:tc>
        <w:tc>
          <w:tcPr>
            <w:tcW w:w="640" w:type="dxa"/>
            <w:vAlign w:val="bottom"/>
            <w:shd w:val="clear" w:color="auto" w:fill="819F7C"/>
          </w:tcPr>
          <w:p>
            <w:pPr>
              <w:spacing w:after="0"/>
              <w:rPr>
                <w:sz w:val="8"/>
                <w:szCs w:val="8"/>
                <w:color w:val="auto"/>
              </w:rPr>
            </w:pPr>
          </w:p>
        </w:tc>
        <w:tc>
          <w:tcPr>
            <w:tcW w:w="4340" w:type="dxa"/>
            <w:vAlign w:val="bottom"/>
            <w:shd w:val="clear" w:color="auto" w:fill="819F7C"/>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2606040</wp:posOffset>
            </wp:positionH>
            <wp:positionV relativeFrom="paragraph">
              <wp:posOffset>-2528570</wp:posOffset>
            </wp:positionV>
            <wp:extent cx="93980" cy="93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-2339975</wp:posOffset>
            </wp:positionV>
            <wp:extent cx="93980"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-1979930</wp:posOffset>
            </wp:positionV>
            <wp:extent cx="93980" cy="939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-1619885</wp:posOffset>
            </wp:positionV>
            <wp:extent cx="9398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-1431290</wp:posOffset>
            </wp:positionV>
            <wp:extent cx="9398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-1071245</wp:posOffset>
            </wp:positionV>
            <wp:extent cx="9398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-711200</wp:posOffset>
            </wp:positionV>
            <wp:extent cx="9398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-522605</wp:posOffset>
            </wp:positionV>
            <wp:extent cx="9398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-334010</wp:posOffset>
            </wp:positionV>
            <wp:extent cx="93980" cy="93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2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Role and Authority of the Compensation Committee</w:t>
      </w:r>
    </w:p>
    <w:p>
      <w:pPr>
        <w:sectPr>
          <w:pgSz w:w="11900" w:h="16838" w:orient="portrait"/>
          <w:cols w:equalWidth="0" w:num="1">
            <w:col w:w="9240"/>
          </w:cols>
          <w:pgMar w:left="1300" w:top="114" w:right="1359" w:bottom="1440" w:gutter="0" w:footer="0" w:header="0"/>
        </w:sectPr>
      </w:pPr>
    </w:p>
    <w:p>
      <w:pPr>
        <w:spacing w:after="0" w:line="121"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The Compensation Committee currently consists of Dr. Levinson (chair), Dr. Bahrami and Mr. Kelly, each of whom is “independent” within the meaning of NYSE rules. In addition, the Board has determined that Dr. Levinson, Dr. Bahrami and Mr. Kelly meet the requirements of the non-employee director definition of Rule 16b-3 promulgated under the Exchange Act and the outside director definition of Section 162(m) of the Internal Revenue Code. Dr. Levinson has served as chair of the Compensation Committee since November 2011, Dr. Bahrami has served as a member of the Compensation Committee since May 2019, and Mr. Kelly has served as a member of the Compensation Committee since December 2015. No Compensation Committee member is a former or current officer or employee of Fabrinet or any of its subsidiaries. The Compensation Committee meets at least quarterly, and members of the Compensation Committee serve at the discretion of the Board.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is responsible for overseeing our compensation policies and goals and administering our equity compensation plans and executive incentive plan, including approving target and actual bonuses under our executive incentive plan. Additionally, the Compensation Committee is responsible for reviewing and approving the compensation of our chief executive officer and other Named Officers. The Compensation Committee’s role is detailed in its charter, which is available in the “Investors—Governance” section of our website at www.fabrinet.com.</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its charter, the Compensation Committee may delegate its authority to grant awards under Fabrinet’s incentive compensation or other equity-based plans, except with respect to awards to executive officers and directors. The Compensation Committee has not delegated any of its authority with respect to equity award grants under the 2020 Plan or with respect to any component of the compensation of our Named Officers.</w:t>
      </w:r>
    </w:p>
    <w:p>
      <w:pPr>
        <w:spacing w:after="0" w:line="2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92"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38</w:t>
      </w:r>
      <w:r>
        <w:rPr>
          <w:sz w:val="20"/>
          <w:szCs w:val="20"/>
          <w:color w:val="auto"/>
        </w:rPr>
        <w:tab/>
      </w:r>
      <w:r>
        <w:rPr>
          <w:sz w:val="1"/>
          <w:szCs w:val="1"/>
          <w:color w:val="auto"/>
        </w:rPr>
        <w:drawing>
          <wp:inline distT="0" distB="0" distL="0" distR="0">
            <wp:extent cx="342900" cy="7683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44" w:name="page45"/>
    <w:bookmarkEnd w:id="44"/>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Role of the Independent Compensation Consultant</w:t>
      </w:r>
    </w:p>
    <w:p>
      <w:pPr>
        <w:sectPr>
          <w:pgSz w:w="11900" w:h="16838" w:orient="portrait"/>
          <w:cols w:equalWidth="0" w:num="1">
            <w:col w:w="11020"/>
          </w:cols>
          <w:pgMar w:left="440" w:top="114" w:right="439" w:bottom="1440" w:gutter="0" w:footer="0" w:header="0"/>
        </w:sectPr>
      </w:pPr>
    </w:p>
    <w:p>
      <w:pPr>
        <w:spacing w:after="0" w:line="121" w:lineRule="exact"/>
        <w:rPr>
          <w:sz w:val="20"/>
          <w:szCs w:val="20"/>
          <w:color w:val="auto"/>
        </w:rPr>
      </w:pPr>
    </w:p>
    <w:p>
      <w:pPr>
        <w:jc w:val="both"/>
        <w:ind w:left="920"/>
        <w:spacing w:after="0" w:line="237" w:lineRule="auto"/>
        <w:rPr>
          <w:sz w:val="20"/>
          <w:szCs w:val="20"/>
          <w:color w:val="auto"/>
        </w:rPr>
      </w:pPr>
      <w:r>
        <w:rPr>
          <w:rFonts w:ascii="Arial" w:cs="Arial" w:eastAsia="Arial" w:hAnsi="Arial"/>
          <w:sz w:val="18"/>
          <w:szCs w:val="18"/>
          <w:color w:val="auto"/>
        </w:rPr>
        <w:t>The Compensation Committee has the authority, in its sole discretion, to engage the services of outside consultants to assist it in making decisions regarding the establishment of our compensation programs and philosophy. The Compensation Committee also may obtain advice and assistance from internal or external legal, accounting or other advisors. For fiscal 2024, the Compensation Committee retained Compensia, Inc. (“</w:t>
      </w:r>
      <w:r>
        <w:rPr>
          <w:rFonts w:ascii="Arial" w:cs="Arial" w:eastAsia="Arial" w:hAnsi="Arial"/>
          <w:sz w:val="18"/>
          <w:szCs w:val="18"/>
          <w:b w:val="1"/>
          <w:bCs w:val="1"/>
          <w:color w:val="auto"/>
        </w:rPr>
        <w:t>Compensia</w:t>
      </w:r>
      <w:r>
        <w:rPr>
          <w:rFonts w:ascii="Arial" w:cs="Arial" w:eastAsia="Arial" w:hAnsi="Arial"/>
          <w:sz w:val="18"/>
          <w:szCs w:val="18"/>
          <w:color w:val="auto"/>
        </w:rPr>
        <w:t>”), a national compensation consulting firm, to provide independent compensation consulting services. If requested by the Compensation Committee, a representative of Compensia attends meetings of the Compensation Committee. During fiscal 2024, a representative of Compensia attended one meeting of the Compensation Committee.</w:t>
      </w:r>
    </w:p>
    <w:p>
      <w:pPr>
        <w:spacing w:after="0" w:line="80" w:lineRule="exact"/>
        <w:rPr>
          <w:sz w:val="20"/>
          <w:szCs w:val="20"/>
          <w:color w:val="auto"/>
        </w:rPr>
      </w:pPr>
    </w:p>
    <w:p>
      <w:pPr>
        <w:jc w:val="both"/>
        <w:ind w:left="920"/>
        <w:spacing w:after="0" w:line="244" w:lineRule="auto"/>
        <w:rPr>
          <w:sz w:val="20"/>
          <w:szCs w:val="20"/>
          <w:color w:val="auto"/>
        </w:rPr>
      </w:pPr>
      <w:r>
        <w:rPr>
          <w:rFonts w:ascii="Arial" w:cs="Arial" w:eastAsia="Arial" w:hAnsi="Arial"/>
          <w:sz w:val="18"/>
          <w:szCs w:val="18"/>
          <w:color w:val="auto"/>
        </w:rPr>
        <w:t>Although Fabrinet pays Compensia’s fees, Compensia reports directly to the Compensation Committee, and the Compensation Committee retains the authority to hire or fire Compensia and any other consultant or advisor.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Compensia does not provide any services to us other than the services provided to the Compensation Committee. The Compensation Committee has assessed the independence of Compensia taking into account, among other things, the factors set forth in Exchange Act Rule 10C-1 and corresponding listing standards of the NYSE, and has concluded that no conflict of interest exists with respect to the work that Compensia performs for the Compensation Committee.</w:t>
      </w:r>
    </w:p>
    <w:p>
      <w:pPr>
        <w:spacing w:after="0" w:line="75"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During fiscal 2024, Compensia provided the Compensation Committee with a blend of peer group proxy data and other market data, as discussed below, to assist the Compensation Committee in evaluating the competitiveness of our executive compensation and non-employee director compensation programs. Compensia also advised the Compensation Committee on general compensation trends in the industry among similarly situated companies.</w:t>
      </w:r>
    </w:p>
    <w:p>
      <w:pPr>
        <w:spacing w:after="0" w:line="612"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7"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578255"/>
        </w:rPr>
        <w:t>Role of Executive Officers in Compensation Decisions</w:t>
      </w:r>
    </w:p>
    <w:p>
      <w:pPr>
        <w:sectPr>
          <w:pgSz w:w="11900" w:h="16838" w:orient="portrait"/>
          <w:cols w:equalWidth="0" w:num="1">
            <w:col w:w="11020"/>
          </w:cols>
          <w:pgMar w:left="440" w:top="114" w:right="439" w:bottom="1440" w:gutter="0" w:footer="0" w:header="0"/>
          <w:type w:val="continuous"/>
        </w:sectPr>
      </w:pPr>
    </w:p>
    <w:p>
      <w:pPr>
        <w:spacing w:after="0" w:line="133"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In carrying out its responsibilities, the Compensation Committee works with members of our management team, including our CEO and CFO. Typically, our management team assists the Compensation Committee in the execution of its responsibilities by providing information on corporate and individual performance and management’s perspective and recommendations on compensation matters.</w:t>
      </w:r>
    </w:p>
    <w:p>
      <w:pPr>
        <w:spacing w:after="0" w:line="72" w:lineRule="exact"/>
        <w:rPr>
          <w:sz w:val="20"/>
          <w:szCs w:val="20"/>
          <w:color w:val="auto"/>
        </w:rPr>
      </w:pPr>
    </w:p>
    <w:p>
      <w:pPr>
        <w:jc w:val="both"/>
        <w:ind w:left="920"/>
        <w:spacing w:after="0" w:line="253" w:lineRule="auto"/>
        <w:rPr>
          <w:sz w:val="20"/>
          <w:szCs w:val="20"/>
          <w:color w:val="auto"/>
        </w:rPr>
      </w:pPr>
      <w:r>
        <w:rPr>
          <w:rFonts w:ascii="Arial" w:cs="Arial" w:eastAsia="Arial" w:hAnsi="Arial"/>
          <w:sz w:val="18"/>
          <w:szCs w:val="18"/>
          <w:color w:val="auto"/>
        </w:rPr>
        <w:t>Our CEO made recommendations to the Compensation Committee regarding fiscal 2024 executive compensation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right="920"/>
        <w:spacing w:after="0" w:line="239" w:lineRule="auto"/>
        <w:rPr>
          <w:sz w:val="20"/>
          <w:szCs w:val="20"/>
          <w:color w:val="auto"/>
        </w:rPr>
      </w:pPr>
      <w:r>
        <w:rPr>
          <w:rFonts w:ascii="Arial" w:cs="Arial" w:eastAsia="Arial" w:hAnsi="Arial"/>
          <w:sz w:val="18"/>
          <w:szCs w:val="18"/>
          <w:color w:val="auto"/>
        </w:rPr>
        <w:t>matters. At the request of the Compensation Committee, our CEO and CFO occasionally participate in meetings of the Compensation Committee, except with respect to decisions involving their own compensation. While the Compensation Committee solicits the recommendations and proposals of our CEO and CFO with respect to executive compensation matters, these recommendations and proposals are only one factor in the Compensation Committee’s decision-making process.</w:t>
      </w:r>
    </w:p>
    <w:p>
      <w:pPr>
        <w:spacing w:after="0" w:line="507"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ind w:left="920"/>
        <w:spacing w:after="0"/>
        <w:rPr>
          <w:sz w:val="20"/>
          <w:szCs w:val="20"/>
          <w:color w:val="auto"/>
        </w:rPr>
      </w:pPr>
      <w:r>
        <w:rPr>
          <w:rFonts w:ascii="Arial" w:cs="Arial" w:eastAsia="Arial" w:hAnsi="Arial"/>
          <w:sz w:val="21"/>
          <w:szCs w:val="21"/>
          <w:b w:val="1"/>
          <w:bCs w:val="1"/>
          <w:color w:val="578255"/>
        </w:rPr>
        <w:t>Fiscal 2024 Peer Group and Other Market Data</w:t>
      </w:r>
    </w:p>
    <w:p>
      <w:pPr>
        <w:sectPr>
          <w:pgSz w:w="11900" w:h="16838" w:orient="portrait"/>
          <w:cols w:equalWidth="0" w:num="1">
            <w:col w:w="11020"/>
          </w:cols>
          <w:pgMar w:left="440" w:top="114" w:right="439" w:bottom="1440" w:gutter="0" w:footer="0" w:header="0"/>
          <w:type w:val="continuous"/>
        </w:sectPr>
      </w:pPr>
    </w:p>
    <w:p>
      <w:pPr>
        <w:spacing w:after="0" w:line="133"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To assist the Compensation Committee in evaluating whether our executive compensation practices for fiscal 2024 were competitive and consistent with the Compensation Committee’s executive compensation program objectives, Compensia provided the Committee with compensation data (the “</w:t>
      </w:r>
      <w:r>
        <w:rPr>
          <w:rFonts w:ascii="Arial" w:cs="Arial" w:eastAsia="Arial" w:hAnsi="Arial"/>
          <w:sz w:val="18"/>
          <w:szCs w:val="18"/>
          <w:b w:val="1"/>
          <w:bCs w:val="1"/>
          <w:color w:val="auto"/>
        </w:rPr>
        <w:t>Market Data</w:t>
      </w:r>
      <w:r>
        <w:rPr>
          <w:rFonts w:ascii="Arial" w:cs="Arial" w:eastAsia="Arial" w:hAnsi="Arial"/>
          <w:sz w:val="18"/>
          <w:szCs w:val="18"/>
          <w:color w:val="auto"/>
        </w:rPr>
        <w:t>”) consisting of publicly available proxy statement data from our fiscal 2024 peer group.</w:t>
      </w:r>
    </w:p>
    <w:p>
      <w:pPr>
        <w:spacing w:after="0" w:line="72"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The Compensation Committee used the Market Data to compare our Named Officers’ base salary, target cash incentive opportunity, target total cash compensation, equity compensation and total direct compensation</w:t>
      </w:r>
    </w:p>
    <w:p>
      <w:pPr>
        <w:jc w:val="both"/>
        <w:ind w:left="920"/>
        <w:spacing w:after="0" w:line="223" w:lineRule="auto"/>
        <w:rPr>
          <w:sz w:val="20"/>
          <w:szCs w:val="20"/>
          <w:color w:val="auto"/>
        </w:rPr>
      </w:pPr>
      <w:r>
        <w:rPr>
          <w:rFonts w:ascii="Arial" w:cs="Arial" w:eastAsia="Arial" w:hAnsi="Arial"/>
          <w:sz w:val="18"/>
          <w:szCs w:val="18"/>
          <w:color w:val="auto"/>
        </w:rPr>
        <w:t>against the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of the same categories of compensation for executives holding positions comparable (where possible) to the positions of our Named Officers. However, the Compensation Committee does not benchmark or apply specific formulas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right="940"/>
        <w:spacing w:after="0" w:line="247" w:lineRule="auto"/>
        <w:rPr>
          <w:sz w:val="20"/>
          <w:szCs w:val="20"/>
          <w:color w:val="auto"/>
        </w:rPr>
      </w:pPr>
      <w:r>
        <w:rPr>
          <w:rFonts w:ascii="Arial" w:cs="Arial" w:eastAsia="Arial" w:hAnsi="Arial"/>
          <w:sz w:val="18"/>
          <w:szCs w:val="18"/>
          <w:color w:val="auto"/>
        </w:rPr>
        <w:t>to determine adjustments to our Named Officers’ base salary, target cash incentive opportunity, target total cash compensation, equity compensation or total direct compensation.</w:t>
      </w:r>
    </w:p>
    <w:p>
      <w:pPr>
        <w:spacing w:after="0" w:line="66" w:lineRule="exact"/>
        <w:rPr>
          <w:sz w:val="20"/>
          <w:szCs w:val="20"/>
          <w:color w:val="auto"/>
        </w:rPr>
      </w:pPr>
    </w:p>
    <w:p>
      <w:pPr>
        <w:jc w:val="both"/>
        <w:ind w:right="920"/>
        <w:spacing w:after="0" w:line="236" w:lineRule="auto"/>
        <w:rPr>
          <w:sz w:val="20"/>
          <w:szCs w:val="20"/>
          <w:color w:val="auto"/>
        </w:rPr>
      </w:pPr>
      <w:r>
        <w:rPr>
          <w:rFonts w:ascii="Arial" w:cs="Arial" w:eastAsia="Arial" w:hAnsi="Arial"/>
          <w:sz w:val="18"/>
          <w:szCs w:val="18"/>
          <w:color w:val="auto"/>
        </w:rPr>
        <w:t>The specific criteria for selection into our peer group are set annually by the Compensation Committee. When our peer group is reviewed each year, companies may be removed for failure to meet the selection criteria, or new companies may be added as necessary to ensure a significant sample size of companies. In selecting a peer group, the Compensation Committee considers companies that, in its view, compete with us for talent and have financial or other organizational metrics generally similar to ours. Accordingly, our peer group includes a blend of businesses classified as providing electronic</w:t>
      </w:r>
    </w:p>
    <w:p>
      <w:pPr>
        <w:spacing w:after="0" w:line="1" w:lineRule="exact"/>
        <w:rPr>
          <w:sz w:val="20"/>
          <w:szCs w:val="20"/>
          <w:color w:val="auto"/>
        </w:rPr>
      </w:pPr>
    </w:p>
    <w:p>
      <w:pPr>
        <w:spacing w:after="0"/>
        <w:tabs>
          <w:tab w:leader="none" w:pos="1340" w:val="left"/>
          <w:tab w:leader="none" w:pos="2740" w:val="left"/>
          <w:tab w:leader="none" w:pos="3380" w:val="left"/>
        </w:tabs>
        <w:rPr>
          <w:sz w:val="20"/>
          <w:szCs w:val="20"/>
          <w:color w:val="auto"/>
        </w:rPr>
      </w:pPr>
      <w:r>
        <w:rPr>
          <w:rFonts w:ascii="Arial" w:cs="Arial" w:eastAsia="Arial" w:hAnsi="Arial"/>
          <w:sz w:val="18"/>
          <w:szCs w:val="18"/>
          <w:color w:val="auto"/>
        </w:rPr>
        <w:t>equipment,</w:t>
      </w:r>
      <w:r>
        <w:rPr>
          <w:sz w:val="20"/>
          <w:szCs w:val="20"/>
          <w:color w:val="auto"/>
        </w:rPr>
        <w:tab/>
      </w:r>
      <w:r>
        <w:rPr>
          <w:rFonts w:ascii="Arial" w:cs="Arial" w:eastAsia="Arial" w:hAnsi="Arial"/>
          <w:sz w:val="18"/>
          <w:szCs w:val="18"/>
          <w:color w:val="auto"/>
        </w:rPr>
        <w:t>instruments</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7"/>
          <w:szCs w:val="17"/>
          <w:color w:val="auto"/>
        </w:rPr>
        <w:t>components,</w:t>
      </w:r>
    </w:p>
    <w:p>
      <w:pPr>
        <w:jc w:val="both"/>
        <w:ind w:right="940"/>
        <w:spacing w:after="0" w:line="250" w:lineRule="auto"/>
        <w:rPr>
          <w:sz w:val="20"/>
          <w:szCs w:val="20"/>
          <w:color w:val="auto"/>
        </w:rPr>
      </w:pPr>
      <w:r>
        <w:rPr>
          <w:rFonts w:ascii="Arial" w:cs="Arial" w:eastAsia="Arial" w:hAnsi="Arial"/>
          <w:sz w:val="18"/>
          <w:szCs w:val="18"/>
          <w:color w:val="auto"/>
        </w:rPr>
        <w:t>communications equipment, or electronic manufacturing services.</w:t>
      </w:r>
    </w:p>
    <w:p>
      <w:pPr>
        <w:spacing w:after="0" w:line="200"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39</w:t>
            </w:r>
          </w:p>
        </w:tc>
      </w:tr>
      <w:tr>
        <w:trPr>
          <w:trHeight w:val="237"/>
        </w:trPr>
        <w:tc>
          <w:tcPr>
            <w:tcW w:w="66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342900" cy="768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45" w:name="page46"/>
    <w:bookmarkEnd w:id="45"/>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920"/>
        <w:spacing w:after="0" w:line="241" w:lineRule="auto"/>
        <w:rPr>
          <w:sz w:val="20"/>
          <w:szCs w:val="20"/>
          <w:color w:val="auto"/>
        </w:rPr>
      </w:pPr>
      <w:r>
        <w:rPr>
          <w:rFonts w:ascii="Arial" w:cs="Arial" w:eastAsia="Arial" w:hAnsi="Arial"/>
          <w:sz w:val="18"/>
          <w:szCs w:val="18"/>
          <w:color w:val="auto"/>
        </w:rPr>
        <w:t>The selection criteria for our fiscal 2024 peer group included 12-month trailing revenue and market capitalization. Our 12-month trailing revenue and</w:t>
      </w:r>
    </w:p>
    <w:p>
      <w:pPr>
        <w:spacing w:after="0" w:line="2" w:lineRule="exact"/>
        <w:rPr>
          <w:sz w:val="20"/>
          <w:szCs w:val="20"/>
          <w:color w:val="auto"/>
        </w:rPr>
      </w:pPr>
    </w:p>
    <w:p>
      <w:pPr>
        <w:jc w:val="both"/>
        <w:ind w:left="920"/>
        <w:spacing w:after="0" w:line="224" w:lineRule="auto"/>
        <w:rPr>
          <w:sz w:val="20"/>
          <w:szCs w:val="20"/>
          <w:color w:val="auto"/>
        </w:rPr>
      </w:pPr>
      <w:r>
        <w:rPr>
          <w:rFonts w:ascii="Arial" w:cs="Arial" w:eastAsia="Arial" w:hAnsi="Arial"/>
          <w:sz w:val="18"/>
          <w:szCs w:val="18"/>
          <w:color w:val="auto"/>
        </w:rPr>
        <w:t>market capitalization were in the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and 65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respectively, of our fiscal 2024 peer group at the time the Compensation Committee selected the group. Compensia gathered data on the compensation practices of the companies in our fiscal 2024 peer group through publicly available information, where available.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Our fiscal 2024 peer group, as approved by the Compensation Committee and set forth in the table below, was the same as our fiscal 2023 peer group, except for the removal of three companies (Knowles Corporation, Methode Electronics, Inc., and Viavi Solutions, Inc.) and the addition of one company (Novanta Inc.).</w:t>
      </w:r>
    </w:p>
    <w:p>
      <w:pPr>
        <w:spacing w:after="0" w:line="743"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tbl>
      <w:tblPr>
        <w:tblLayout w:type="fixed"/>
        <w:tblInd w:w="1280" w:type="dxa"/>
        <w:tblCellMar>
          <w:top w:w="0" w:type="dxa"/>
          <w:left w:w="0" w:type="dxa"/>
          <w:bottom w:w="0" w:type="dxa"/>
          <w:right w:w="0" w:type="dxa"/>
        </w:tblCellMar>
      </w:tblPr>
      <w:tr>
        <w:trPr>
          <w:trHeight w:val="338"/>
        </w:trPr>
        <w:tc>
          <w:tcPr>
            <w:tcW w:w="1820" w:type="dxa"/>
            <w:vAlign w:val="bottom"/>
            <w:shd w:val="clear" w:color="auto" w:fill="819F7C"/>
          </w:tcPr>
          <w:p>
            <w:pPr>
              <w:spacing w:after="0"/>
              <w:rPr>
                <w:sz w:val="24"/>
                <w:szCs w:val="24"/>
                <w:color w:val="auto"/>
              </w:rPr>
            </w:pPr>
          </w:p>
        </w:tc>
        <w:tc>
          <w:tcPr>
            <w:tcW w:w="4480" w:type="dxa"/>
            <w:vAlign w:val="bottom"/>
            <w:gridSpan w:val="2"/>
            <w:shd w:val="clear" w:color="auto" w:fill="819F7C"/>
          </w:tcPr>
          <w:p>
            <w:pPr>
              <w:ind w:left="1440"/>
              <w:spacing w:after="0"/>
              <w:rPr>
                <w:sz w:val="20"/>
                <w:szCs w:val="20"/>
                <w:color w:val="auto"/>
              </w:rPr>
            </w:pPr>
            <w:r>
              <w:rPr>
                <w:rFonts w:ascii="Arial" w:cs="Arial" w:eastAsia="Arial" w:hAnsi="Arial"/>
                <w:sz w:val="17"/>
                <w:szCs w:val="17"/>
                <w:b w:val="1"/>
                <w:bCs w:val="1"/>
                <w:color w:val="FFFFFF"/>
              </w:rPr>
              <w:t>Fiscal 2024 Peer Group</w:t>
            </w:r>
          </w:p>
        </w:tc>
        <w:tc>
          <w:tcPr>
            <w:tcW w:w="2140" w:type="dxa"/>
            <w:vAlign w:val="bottom"/>
            <w:shd w:val="clear" w:color="auto" w:fill="819F7C"/>
          </w:tcPr>
          <w:p>
            <w:pPr>
              <w:spacing w:after="0"/>
              <w:rPr>
                <w:sz w:val="24"/>
                <w:szCs w:val="24"/>
                <w:color w:val="auto"/>
              </w:rPr>
            </w:pPr>
          </w:p>
        </w:tc>
      </w:tr>
      <w:tr>
        <w:trPr>
          <w:trHeight w:val="207"/>
        </w:trPr>
        <w:tc>
          <w:tcPr>
            <w:tcW w:w="1820" w:type="dxa"/>
            <w:vAlign w:val="bottom"/>
            <w:shd w:val="clear" w:color="auto" w:fill="E5E9E3"/>
          </w:tcPr>
          <w:p>
            <w:pPr>
              <w:ind w:left="80"/>
              <w:spacing w:after="0"/>
              <w:rPr>
                <w:sz w:val="20"/>
                <w:szCs w:val="20"/>
                <w:color w:val="auto"/>
              </w:rPr>
            </w:pPr>
            <w:r>
              <w:rPr>
                <w:rFonts w:ascii="Arial" w:cs="Arial" w:eastAsia="Arial" w:hAnsi="Arial"/>
                <w:sz w:val="17"/>
                <w:szCs w:val="17"/>
                <w:color w:val="auto"/>
              </w:rPr>
              <w:t>Advanced Energy</w:t>
            </w:r>
          </w:p>
        </w:tc>
        <w:tc>
          <w:tcPr>
            <w:tcW w:w="2240" w:type="dxa"/>
            <w:vAlign w:val="bottom"/>
            <w:shd w:val="clear" w:color="auto" w:fill="E5E9E3"/>
          </w:tcPr>
          <w:p>
            <w:pPr>
              <w:ind w:left="360"/>
              <w:spacing w:after="0"/>
              <w:rPr>
                <w:sz w:val="20"/>
                <w:szCs w:val="20"/>
                <w:color w:val="auto"/>
              </w:rPr>
            </w:pPr>
            <w:r>
              <w:rPr>
                <w:rFonts w:ascii="Arial" w:cs="Arial" w:eastAsia="Arial" w:hAnsi="Arial"/>
                <w:sz w:val="17"/>
                <w:szCs w:val="17"/>
                <w:color w:val="auto"/>
              </w:rPr>
              <w:t>Coherent Corporation</w:t>
            </w:r>
          </w:p>
        </w:tc>
        <w:tc>
          <w:tcPr>
            <w:tcW w:w="2240" w:type="dxa"/>
            <w:vAlign w:val="bottom"/>
            <w:shd w:val="clear" w:color="auto" w:fill="E5E9E3"/>
          </w:tcPr>
          <w:p>
            <w:pPr>
              <w:ind w:left="260"/>
              <w:spacing w:after="0"/>
              <w:rPr>
                <w:sz w:val="20"/>
                <w:szCs w:val="20"/>
                <w:color w:val="auto"/>
              </w:rPr>
            </w:pPr>
            <w:r>
              <w:rPr>
                <w:rFonts w:ascii="Arial" w:cs="Arial" w:eastAsia="Arial" w:hAnsi="Arial"/>
                <w:sz w:val="17"/>
                <w:szCs w:val="17"/>
                <w:color w:val="auto"/>
              </w:rPr>
              <w:t>Lumentum Holdings Inc.</w:t>
            </w:r>
          </w:p>
        </w:tc>
        <w:tc>
          <w:tcPr>
            <w:tcW w:w="2140" w:type="dxa"/>
            <w:vAlign w:val="bottom"/>
            <w:shd w:val="clear" w:color="auto" w:fill="E5E9E3"/>
          </w:tcPr>
          <w:p>
            <w:pPr>
              <w:ind w:left="140"/>
              <w:spacing w:after="0"/>
              <w:rPr>
                <w:sz w:val="20"/>
                <w:szCs w:val="20"/>
                <w:color w:val="auto"/>
              </w:rPr>
            </w:pPr>
            <w:r>
              <w:rPr>
                <w:rFonts w:ascii="Arial" w:cs="Arial" w:eastAsia="Arial" w:hAnsi="Arial"/>
                <w:sz w:val="17"/>
                <w:szCs w:val="17"/>
                <w:color w:val="auto"/>
              </w:rPr>
              <w:t>Plexus Corporation</w:t>
            </w:r>
          </w:p>
        </w:tc>
      </w:tr>
      <w:tr>
        <w:trPr>
          <w:trHeight w:val="232"/>
        </w:trPr>
        <w:tc>
          <w:tcPr>
            <w:tcW w:w="18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Industries, Inc.</w:t>
            </w:r>
          </w:p>
        </w:tc>
        <w:tc>
          <w:tcPr>
            <w:tcW w:w="2240" w:type="dxa"/>
            <w:vAlign w:val="bottom"/>
            <w:tcBorders>
              <w:bottom w:val="single" w:sz="8" w:color="E5E9E3"/>
            </w:tcBorders>
            <w:shd w:val="clear" w:color="auto" w:fill="E5E9E3"/>
          </w:tcPr>
          <w:p>
            <w:pPr>
              <w:spacing w:after="0"/>
              <w:rPr>
                <w:sz w:val="20"/>
                <w:szCs w:val="20"/>
                <w:color w:val="auto"/>
              </w:rPr>
            </w:pPr>
          </w:p>
        </w:tc>
        <w:tc>
          <w:tcPr>
            <w:tcW w:w="2240" w:type="dxa"/>
            <w:vAlign w:val="bottom"/>
            <w:tcBorders>
              <w:bottom w:val="single" w:sz="8" w:color="E5E9E3"/>
            </w:tcBorders>
            <w:shd w:val="clear" w:color="auto" w:fill="E5E9E3"/>
          </w:tcPr>
          <w:p>
            <w:pPr>
              <w:spacing w:after="0"/>
              <w:rPr>
                <w:sz w:val="20"/>
                <w:szCs w:val="20"/>
                <w:color w:val="auto"/>
              </w:rPr>
            </w:pPr>
          </w:p>
        </w:tc>
        <w:tc>
          <w:tcPr>
            <w:tcW w:w="2140" w:type="dxa"/>
            <w:vAlign w:val="bottom"/>
            <w:tcBorders>
              <w:bottom w:val="single" w:sz="8" w:color="E5E9E3"/>
            </w:tcBorders>
            <w:shd w:val="clear" w:color="auto" w:fill="E5E9E3"/>
          </w:tcPr>
          <w:p>
            <w:pPr>
              <w:spacing w:after="0"/>
              <w:rPr>
                <w:sz w:val="20"/>
                <w:szCs w:val="20"/>
                <w:color w:val="auto"/>
              </w:rPr>
            </w:pPr>
          </w:p>
        </w:tc>
      </w:tr>
      <w:tr>
        <w:trPr>
          <w:trHeight w:val="243"/>
        </w:trPr>
        <w:tc>
          <w:tcPr>
            <w:tcW w:w="1820" w:type="dxa"/>
            <w:vAlign w:val="bottom"/>
          </w:tcPr>
          <w:p>
            <w:pPr>
              <w:ind w:left="80"/>
              <w:spacing w:after="0"/>
              <w:rPr>
                <w:sz w:val="20"/>
                <w:szCs w:val="20"/>
                <w:color w:val="auto"/>
              </w:rPr>
            </w:pPr>
            <w:r>
              <w:rPr>
                <w:rFonts w:ascii="Arial" w:cs="Arial" w:eastAsia="Arial" w:hAnsi="Arial"/>
                <w:sz w:val="17"/>
                <w:szCs w:val="17"/>
                <w:color w:val="auto"/>
              </w:rPr>
              <w:t>Belden Inc.</w:t>
            </w:r>
          </w:p>
        </w:tc>
        <w:tc>
          <w:tcPr>
            <w:tcW w:w="2240" w:type="dxa"/>
            <w:vAlign w:val="bottom"/>
          </w:tcPr>
          <w:p>
            <w:pPr>
              <w:ind w:left="360"/>
              <w:spacing w:after="0"/>
              <w:rPr>
                <w:sz w:val="20"/>
                <w:szCs w:val="20"/>
                <w:color w:val="auto"/>
              </w:rPr>
            </w:pPr>
            <w:r>
              <w:rPr>
                <w:rFonts w:ascii="Arial" w:cs="Arial" w:eastAsia="Arial" w:hAnsi="Arial"/>
                <w:sz w:val="17"/>
                <w:szCs w:val="17"/>
                <w:color w:val="auto"/>
              </w:rPr>
              <w:t>Infinera Corporation</w:t>
            </w:r>
          </w:p>
        </w:tc>
        <w:tc>
          <w:tcPr>
            <w:tcW w:w="2240" w:type="dxa"/>
            <w:vAlign w:val="bottom"/>
          </w:tcPr>
          <w:p>
            <w:pPr>
              <w:ind w:left="260"/>
              <w:spacing w:after="0"/>
              <w:rPr>
                <w:sz w:val="20"/>
                <w:szCs w:val="20"/>
                <w:color w:val="auto"/>
              </w:rPr>
            </w:pPr>
            <w:r>
              <w:rPr>
                <w:rFonts w:ascii="Arial" w:cs="Arial" w:eastAsia="Arial" w:hAnsi="Arial"/>
                <w:sz w:val="17"/>
                <w:szCs w:val="17"/>
                <w:color w:val="auto"/>
              </w:rPr>
              <w:t>MKS Instruments, Inc.</w:t>
            </w:r>
          </w:p>
        </w:tc>
        <w:tc>
          <w:tcPr>
            <w:tcW w:w="2140" w:type="dxa"/>
            <w:vAlign w:val="bottom"/>
          </w:tcPr>
          <w:p>
            <w:pPr>
              <w:ind w:left="140"/>
              <w:spacing w:after="0"/>
              <w:rPr>
                <w:sz w:val="20"/>
                <w:szCs w:val="20"/>
                <w:color w:val="auto"/>
              </w:rPr>
            </w:pPr>
            <w:r>
              <w:rPr>
                <w:rFonts w:ascii="Arial" w:cs="Arial" w:eastAsia="Arial" w:hAnsi="Arial"/>
                <w:sz w:val="17"/>
                <w:szCs w:val="17"/>
                <w:color w:val="auto"/>
              </w:rPr>
              <w:t>Sanmina Corporation</w:t>
            </w:r>
          </w:p>
        </w:tc>
      </w:tr>
      <w:tr>
        <w:trPr>
          <w:trHeight w:val="27"/>
        </w:trPr>
        <w:tc>
          <w:tcPr>
            <w:tcW w:w="1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7"/>
        </w:trPr>
        <w:tc>
          <w:tcPr>
            <w:tcW w:w="1820" w:type="dxa"/>
            <w:vAlign w:val="bottom"/>
            <w:shd w:val="clear" w:color="auto" w:fill="E5E9E3"/>
          </w:tcPr>
          <w:p>
            <w:pPr>
              <w:ind w:left="80"/>
              <w:spacing w:after="0"/>
              <w:rPr>
                <w:sz w:val="20"/>
                <w:szCs w:val="20"/>
                <w:color w:val="auto"/>
              </w:rPr>
            </w:pPr>
            <w:r>
              <w:rPr>
                <w:rFonts w:ascii="Arial" w:cs="Arial" w:eastAsia="Arial" w:hAnsi="Arial"/>
                <w:sz w:val="17"/>
                <w:szCs w:val="17"/>
                <w:color w:val="auto"/>
              </w:rPr>
              <w:t>Benchmark</w:t>
            </w:r>
          </w:p>
        </w:tc>
        <w:tc>
          <w:tcPr>
            <w:tcW w:w="2240" w:type="dxa"/>
            <w:vAlign w:val="bottom"/>
            <w:shd w:val="clear" w:color="auto" w:fill="E5E9E3"/>
          </w:tcPr>
          <w:p>
            <w:pPr>
              <w:ind w:left="360"/>
              <w:spacing w:after="0"/>
              <w:rPr>
                <w:sz w:val="20"/>
                <w:szCs w:val="20"/>
                <w:color w:val="auto"/>
              </w:rPr>
            </w:pPr>
            <w:r>
              <w:rPr>
                <w:rFonts w:ascii="Arial" w:cs="Arial" w:eastAsia="Arial" w:hAnsi="Arial"/>
                <w:sz w:val="17"/>
                <w:szCs w:val="17"/>
                <w:color w:val="auto"/>
              </w:rPr>
              <w:t>IPG Photonics</w:t>
            </w:r>
          </w:p>
        </w:tc>
        <w:tc>
          <w:tcPr>
            <w:tcW w:w="2240" w:type="dxa"/>
            <w:vAlign w:val="bottom"/>
            <w:shd w:val="clear" w:color="auto" w:fill="E5E9E3"/>
          </w:tcPr>
          <w:p>
            <w:pPr>
              <w:ind w:left="260"/>
              <w:spacing w:after="0"/>
              <w:rPr>
                <w:sz w:val="20"/>
                <w:szCs w:val="20"/>
                <w:color w:val="auto"/>
              </w:rPr>
            </w:pPr>
            <w:r>
              <w:rPr>
                <w:rFonts w:ascii="Arial" w:cs="Arial" w:eastAsia="Arial" w:hAnsi="Arial"/>
                <w:sz w:val="17"/>
                <w:szCs w:val="17"/>
                <w:color w:val="auto"/>
              </w:rPr>
              <w:t>National Instruments</w:t>
            </w:r>
          </w:p>
        </w:tc>
        <w:tc>
          <w:tcPr>
            <w:tcW w:w="2140" w:type="dxa"/>
            <w:vAlign w:val="bottom"/>
            <w:shd w:val="clear" w:color="auto" w:fill="E5E9E3"/>
          </w:tcPr>
          <w:p>
            <w:pPr>
              <w:ind w:left="140"/>
              <w:spacing w:after="0"/>
              <w:rPr>
                <w:sz w:val="20"/>
                <w:szCs w:val="20"/>
                <w:color w:val="auto"/>
              </w:rPr>
            </w:pPr>
            <w:r>
              <w:rPr>
                <w:rFonts w:ascii="Arial" w:cs="Arial" w:eastAsia="Arial" w:hAnsi="Arial"/>
                <w:sz w:val="17"/>
                <w:szCs w:val="17"/>
                <w:color w:val="auto"/>
              </w:rPr>
              <w:t>TTM Technologies, Inc.</w:t>
            </w:r>
          </w:p>
        </w:tc>
      </w:tr>
      <w:tr>
        <w:trPr>
          <w:trHeight w:val="232"/>
        </w:trPr>
        <w:tc>
          <w:tcPr>
            <w:tcW w:w="18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Electronics, Inc.</w:t>
            </w:r>
          </w:p>
        </w:tc>
        <w:tc>
          <w:tcPr>
            <w:tcW w:w="2240" w:type="dxa"/>
            <w:vAlign w:val="bottom"/>
            <w:tcBorders>
              <w:bottom w:val="single" w:sz="8" w:color="E5E9E3"/>
            </w:tcBorders>
            <w:shd w:val="clear" w:color="auto" w:fill="E5E9E3"/>
          </w:tcPr>
          <w:p>
            <w:pPr>
              <w:ind w:left="360"/>
              <w:spacing w:after="0"/>
              <w:rPr>
                <w:sz w:val="20"/>
                <w:szCs w:val="20"/>
                <w:color w:val="auto"/>
              </w:rPr>
            </w:pPr>
            <w:r>
              <w:rPr>
                <w:rFonts w:ascii="Arial" w:cs="Arial" w:eastAsia="Arial" w:hAnsi="Arial"/>
                <w:sz w:val="17"/>
                <w:szCs w:val="17"/>
                <w:color w:val="auto"/>
              </w:rPr>
              <w:t>Corporation</w:t>
            </w:r>
          </w:p>
        </w:tc>
        <w:tc>
          <w:tcPr>
            <w:tcW w:w="2240" w:type="dxa"/>
            <w:vAlign w:val="bottom"/>
            <w:tcBorders>
              <w:bottom w:val="single" w:sz="8" w:color="E5E9E3"/>
            </w:tcBorders>
            <w:shd w:val="clear" w:color="auto" w:fill="E5E9E3"/>
          </w:tcPr>
          <w:p>
            <w:pPr>
              <w:ind w:left="260"/>
              <w:spacing w:after="0"/>
              <w:rPr>
                <w:sz w:val="20"/>
                <w:szCs w:val="20"/>
                <w:color w:val="auto"/>
              </w:rPr>
            </w:pPr>
            <w:r>
              <w:rPr>
                <w:rFonts w:ascii="Arial" w:cs="Arial" w:eastAsia="Arial" w:hAnsi="Arial"/>
                <w:sz w:val="17"/>
                <w:szCs w:val="17"/>
                <w:color w:val="auto"/>
              </w:rPr>
              <w:t>Corporation</w:t>
            </w:r>
          </w:p>
        </w:tc>
        <w:tc>
          <w:tcPr>
            <w:tcW w:w="2140" w:type="dxa"/>
            <w:vAlign w:val="bottom"/>
            <w:tcBorders>
              <w:bottom w:val="single" w:sz="8" w:color="E5E9E3"/>
            </w:tcBorders>
            <w:shd w:val="clear" w:color="auto" w:fill="E5E9E3"/>
          </w:tcPr>
          <w:p>
            <w:pPr>
              <w:spacing w:after="0"/>
              <w:rPr>
                <w:sz w:val="20"/>
                <w:szCs w:val="20"/>
                <w:color w:val="auto"/>
              </w:rPr>
            </w:pPr>
          </w:p>
        </w:tc>
      </w:tr>
      <w:tr>
        <w:trPr>
          <w:trHeight w:val="243"/>
        </w:trPr>
        <w:tc>
          <w:tcPr>
            <w:tcW w:w="1820" w:type="dxa"/>
            <w:vAlign w:val="bottom"/>
          </w:tcPr>
          <w:p>
            <w:pPr>
              <w:ind w:left="80"/>
              <w:spacing w:after="0"/>
              <w:rPr>
                <w:sz w:val="20"/>
                <w:szCs w:val="20"/>
                <w:color w:val="auto"/>
              </w:rPr>
            </w:pPr>
            <w:r>
              <w:rPr>
                <w:rFonts w:ascii="Arial" w:cs="Arial" w:eastAsia="Arial" w:hAnsi="Arial"/>
                <w:sz w:val="17"/>
                <w:szCs w:val="17"/>
                <w:color w:val="auto"/>
              </w:rPr>
              <w:t>Celestica Inc.</w:t>
            </w:r>
          </w:p>
        </w:tc>
        <w:tc>
          <w:tcPr>
            <w:tcW w:w="2240" w:type="dxa"/>
            <w:vAlign w:val="bottom"/>
          </w:tcPr>
          <w:p>
            <w:pPr>
              <w:ind w:left="360"/>
              <w:spacing w:after="0"/>
              <w:rPr>
                <w:sz w:val="20"/>
                <w:szCs w:val="20"/>
                <w:color w:val="auto"/>
              </w:rPr>
            </w:pPr>
            <w:r>
              <w:rPr>
                <w:rFonts w:ascii="Arial" w:cs="Arial" w:eastAsia="Arial" w:hAnsi="Arial"/>
                <w:sz w:val="17"/>
                <w:szCs w:val="17"/>
                <w:color w:val="auto"/>
              </w:rPr>
              <w:t>Itron, Inc.</w:t>
            </w:r>
          </w:p>
        </w:tc>
        <w:tc>
          <w:tcPr>
            <w:tcW w:w="2240" w:type="dxa"/>
            <w:vAlign w:val="bottom"/>
          </w:tcPr>
          <w:p>
            <w:pPr>
              <w:ind w:left="260"/>
              <w:spacing w:after="0"/>
              <w:rPr>
                <w:sz w:val="20"/>
                <w:szCs w:val="20"/>
                <w:color w:val="auto"/>
              </w:rPr>
            </w:pPr>
            <w:r>
              <w:rPr>
                <w:rFonts w:ascii="Arial" w:cs="Arial" w:eastAsia="Arial" w:hAnsi="Arial"/>
                <w:sz w:val="17"/>
                <w:szCs w:val="17"/>
                <w:color w:val="auto"/>
              </w:rPr>
              <w:t>Novanta Inc.</w:t>
            </w:r>
          </w:p>
        </w:tc>
        <w:tc>
          <w:tcPr>
            <w:tcW w:w="2140" w:type="dxa"/>
            <w:vAlign w:val="bottom"/>
          </w:tcPr>
          <w:p>
            <w:pPr>
              <w:ind w:left="140"/>
              <w:spacing w:after="0"/>
              <w:rPr>
                <w:sz w:val="20"/>
                <w:szCs w:val="20"/>
                <w:color w:val="auto"/>
              </w:rPr>
            </w:pPr>
            <w:r>
              <w:rPr>
                <w:rFonts w:ascii="Arial" w:cs="Arial" w:eastAsia="Arial" w:hAnsi="Arial"/>
                <w:sz w:val="17"/>
                <w:szCs w:val="17"/>
                <w:color w:val="auto"/>
              </w:rPr>
              <w:t>Viasat, Inc.</w:t>
            </w:r>
          </w:p>
        </w:tc>
      </w:tr>
      <w:tr>
        <w:trPr>
          <w:trHeight w:val="27"/>
        </w:trPr>
        <w:tc>
          <w:tcPr>
            <w:tcW w:w="1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7"/>
        </w:trPr>
        <w:tc>
          <w:tcPr>
            <w:tcW w:w="1820" w:type="dxa"/>
            <w:vAlign w:val="bottom"/>
            <w:shd w:val="clear" w:color="auto" w:fill="E5E9E3"/>
          </w:tcPr>
          <w:p>
            <w:pPr>
              <w:ind w:left="80"/>
              <w:spacing w:after="0"/>
              <w:rPr>
                <w:sz w:val="20"/>
                <w:szCs w:val="20"/>
                <w:color w:val="auto"/>
              </w:rPr>
            </w:pPr>
            <w:r>
              <w:rPr>
                <w:rFonts w:ascii="Arial" w:cs="Arial" w:eastAsia="Arial" w:hAnsi="Arial"/>
                <w:sz w:val="17"/>
                <w:szCs w:val="17"/>
                <w:color w:val="auto"/>
              </w:rPr>
              <w:t>Ciena Corporation</w:t>
            </w:r>
          </w:p>
        </w:tc>
        <w:tc>
          <w:tcPr>
            <w:tcW w:w="2240" w:type="dxa"/>
            <w:vAlign w:val="bottom"/>
            <w:shd w:val="clear" w:color="auto" w:fill="E5E9E3"/>
          </w:tcPr>
          <w:p>
            <w:pPr>
              <w:ind w:left="360"/>
              <w:spacing w:after="0"/>
              <w:rPr>
                <w:sz w:val="20"/>
                <w:szCs w:val="20"/>
                <w:color w:val="auto"/>
              </w:rPr>
            </w:pPr>
            <w:r>
              <w:rPr>
                <w:rFonts w:ascii="Arial" w:cs="Arial" w:eastAsia="Arial" w:hAnsi="Arial"/>
                <w:sz w:val="17"/>
                <w:szCs w:val="17"/>
                <w:color w:val="auto"/>
              </w:rPr>
              <w:t>Littelfuse, Inc.</w:t>
            </w:r>
          </w:p>
        </w:tc>
        <w:tc>
          <w:tcPr>
            <w:tcW w:w="2240" w:type="dxa"/>
            <w:vAlign w:val="bottom"/>
            <w:shd w:val="clear" w:color="auto" w:fill="E5E9E3"/>
          </w:tcPr>
          <w:p>
            <w:pPr>
              <w:ind w:left="260"/>
              <w:spacing w:after="0"/>
              <w:rPr>
                <w:sz w:val="20"/>
                <w:szCs w:val="20"/>
                <w:color w:val="auto"/>
              </w:rPr>
            </w:pPr>
            <w:r>
              <w:rPr>
                <w:rFonts w:ascii="Arial" w:cs="Arial" w:eastAsia="Arial" w:hAnsi="Arial"/>
                <w:sz w:val="17"/>
                <w:szCs w:val="17"/>
                <w:color w:val="auto"/>
              </w:rPr>
              <w:t>OSI Systems, Inc.</w:t>
            </w:r>
          </w:p>
        </w:tc>
        <w:tc>
          <w:tcPr>
            <w:tcW w:w="2140" w:type="dxa"/>
            <w:vAlign w:val="bottom"/>
            <w:shd w:val="clear" w:color="auto" w:fill="E5E9E3"/>
          </w:tcPr>
          <w:p>
            <w:pPr>
              <w:ind w:left="140"/>
              <w:spacing w:after="0"/>
              <w:rPr>
                <w:sz w:val="20"/>
                <w:szCs w:val="20"/>
                <w:color w:val="auto"/>
              </w:rPr>
            </w:pPr>
            <w:r>
              <w:rPr>
                <w:rFonts w:ascii="Arial" w:cs="Arial" w:eastAsia="Arial" w:hAnsi="Arial"/>
                <w:sz w:val="17"/>
                <w:szCs w:val="17"/>
                <w:color w:val="auto"/>
              </w:rPr>
              <w:t>Vishay</w:t>
            </w:r>
          </w:p>
        </w:tc>
      </w:tr>
      <w:tr>
        <w:trPr>
          <w:trHeight w:val="245"/>
        </w:trPr>
        <w:tc>
          <w:tcPr>
            <w:tcW w:w="1820" w:type="dxa"/>
            <w:vAlign w:val="bottom"/>
            <w:tcBorders>
              <w:bottom w:val="single" w:sz="8" w:color="E5E9E3"/>
            </w:tcBorders>
            <w:shd w:val="clear" w:color="auto" w:fill="E5E9E3"/>
          </w:tcPr>
          <w:p>
            <w:pPr>
              <w:spacing w:after="0"/>
              <w:rPr>
                <w:sz w:val="21"/>
                <w:szCs w:val="21"/>
                <w:color w:val="auto"/>
              </w:rPr>
            </w:pPr>
          </w:p>
        </w:tc>
        <w:tc>
          <w:tcPr>
            <w:tcW w:w="2240" w:type="dxa"/>
            <w:vAlign w:val="bottom"/>
            <w:tcBorders>
              <w:bottom w:val="single" w:sz="8" w:color="E5E9E3"/>
            </w:tcBorders>
            <w:shd w:val="clear" w:color="auto" w:fill="E5E9E3"/>
          </w:tcPr>
          <w:p>
            <w:pPr>
              <w:spacing w:after="0"/>
              <w:rPr>
                <w:sz w:val="21"/>
                <w:szCs w:val="21"/>
                <w:color w:val="auto"/>
              </w:rPr>
            </w:pPr>
          </w:p>
        </w:tc>
        <w:tc>
          <w:tcPr>
            <w:tcW w:w="2240" w:type="dxa"/>
            <w:vAlign w:val="bottom"/>
            <w:tcBorders>
              <w:bottom w:val="single" w:sz="8" w:color="E5E9E3"/>
            </w:tcBorders>
            <w:shd w:val="clear" w:color="auto" w:fill="E5E9E3"/>
          </w:tcPr>
          <w:p>
            <w:pPr>
              <w:spacing w:after="0"/>
              <w:rPr>
                <w:sz w:val="21"/>
                <w:szCs w:val="21"/>
                <w:color w:val="auto"/>
              </w:rPr>
            </w:pPr>
          </w:p>
        </w:tc>
        <w:tc>
          <w:tcPr>
            <w:tcW w:w="2140" w:type="dxa"/>
            <w:vAlign w:val="bottom"/>
            <w:tcBorders>
              <w:bottom w:val="single" w:sz="8" w:color="E5E9E3"/>
            </w:tcBorders>
            <w:shd w:val="clear" w:color="auto" w:fill="E5E9E3"/>
          </w:tcPr>
          <w:p>
            <w:pPr>
              <w:ind w:left="140"/>
              <w:spacing w:after="0"/>
              <w:rPr>
                <w:sz w:val="20"/>
                <w:szCs w:val="20"/>
                <w:color w:val="auto"/>
              </w:rPr>
            </w:pPr>
            <w:r>
              <w:rPr>
                <w:rFonts w:ascii="Arial" w:cs="Arial" w:eastAsia="Arial" w:hAnsi="Arial"/>
                <w:sz w:val="17"/>
                <w:szCs w:val="17"/>
                <w:color w:val="auto"/>
              </w:rPr>
              <w:t>Intertechnology, Inc.</w:t>
            </w:r>
          </w:p>
        </w:tc>
      </w:tr>
      <w:tr>
        <w:trPr>
          <w:trHeight w:val="94"/>
        </w:trPr>
        <w:tc>
          <w:tcPr>
            <w:tcW w:w="1820" w:type="dxa"/>
            <w:vAlign w:val="bottom"/>
            <w:shd w:val="clear" w:color="auto" w:fill="819F7C"/>
          </w:tcPr>
          <w:p>
            <w:pPr>
              <w:spacing w:after="0"/>
              <w:rPr>
                <w:sz w:val="8"/>
                <w:szCs w:val="8"/>
                <w:color w:val="auto"/>
              </w:rPr>
            </w:pPr>
          </w:p>
        </w:tc>
        <w:tc>
          <w:tcPr>
            <w:tcW w:w="2240" w:type="dxa"/>
            <w:vAlign w:val="bottom"/>
            <w:shd w:val="clear" w:color="auto" w:fill="819F7C"/>
          </w:tcPr>
          <w:p>
            <w:pPr>
              <w:spacing w:after="0"/>
              <w:rPr>
                <w:sz w:val="8"/>
                <w:szCs w:val="8"/>
                <w:color w:val="auto"/>
              </w:rPr>
            </w:pPr>
          </w:p>
        </w:tc>
        <w:tc>
          <w:tcPr>
            <w:tcW w:w="2240" w:type="dxa"/>
            <w:vAlign w:val="bottom"/>
            <w:shd w:val="clear" w:color="auto" w:fill="819F7C"/>
          </w:tcPr>
          <w:p>
            <w:pPr>
              <w:spacing w:after="0"/>
              <w:rPr>
                <w:sz w:val="8"/>
                <w:szCs w:val="8"/>
                <w:color w:val="auto"/>
              </w:rPr>
            </w:pPr>
          </w:p>
        </w:tc>
        <w:tc>
          <w:tcPr>
            <w:tcW w:w="2140" w:type="dxa"/>
            <w:vAlign w:val="bottom"/>
            <w:shd w:val="clear" w:color="auto" w:fill="819F7C"/>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020"/>
          </w:cols>
          <w:pgMar w:left="440" w:top="114" w:right="439" w:bottom="1440" w:gutter="0" w:footer="0" w:header="0"/>
          <w:type w:val="continuous"/>
        </w:sectPr>
      </w:pPr>
    </w:p>
    <w:p>
      <w:pPr>
        <w:spacing w:after="0" w:line="96"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578255"/>
        </w:rPr>
        <w:t>Executive Compensation Program Elements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5" w:lineRule="exact"/>
        <w:rPr>
          <w:sz w:val="20"/>
          <w:szCs w:val="20"/>
          <w:color w:val="auto"/>
        </w:rPr>
      </w:pPr>
    </w:p>
    <w:p>
      <w:pPr>
        <w:jc w:val="both"/>
        <w:ind w:left="920" w:right="120"/>
        <w:spacing w:after="0" w:line="253" w:lineRule="auto"/>
        <w:rPr>
          <w:sz w:val="20"/>
          <w:szCs w:val="20"/>
          <w:color w:val="auto"/>
        </w:rPr>
      </w:pPr>
      <w:r>
        <w:rPr>
          <w:rFonts w:ascii="Arial" w:cs="Arial" w:eastAsia="Arial" w:hAnsi="Arial"/>
          <w:sz w:val="17"/>
          <w:szCs w:val="17"/>
          <w:color w:val="auto"/>
        </w:rPr>
        <w:t>We provide a base salary to our executive officers and other employees to compensate them for services rendered on a day-to-day basis. Following the end of each fiscal year, the Compensation Committee typically reviews and determines whether to adjust executive base salaries on the basis of each executive officer’s level of responsibility, qualifications, experience, past performance and expected future contributions. The Compensation Committee also considers whether executive base salaries are competitive as compared to salary practices gathered from the Market Data.</w:t>
      </w:r>
    </w:p>
    <w:p>
      <w:pPr>
        <w:spacing w:after="0" w:line="69" w:lineRule="exact"/>
        <w:rPr>
          <w:sz w:val="20"/>
          <w:szCs w:val="20"/>
          <w:color w:val="auto"/>
        </w:rPr>
      </w:pPr>
    </w:p>
    <w:p>
      <w:pPr>
        <w:jc w:val="both"/>
        <w:ind w:left="920" w:right="120"/>
        <w:spacing w:after="0" w:line="253" w:lineRule="auto"/>
        <w:rPr>
          <w:sz w:val="20"/>
          <w:szCs w:val="20"/>
          <w:color w:val="auto"/>
        </w:rPr>
      </w:pPr>
      <w:r>
        <w:rPr>
          <w:rFonts w:ascii="Arial" w:cs="Arial" w:eastAsia="Arial" w:hAnsi="Arial"/>
          <w:sz w:val="18"/>
          <w:szCs w:val="18"/>
          <w:color w:val="auto"/>
        </w:rPr>
        <w:t>In fiscal 2024, the Compensation Committee reviewed the salary component of the Market Data and considered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each executive officer’s past performance and expected future contributions, changes in each executive officer’s responsibilities and organizational changes. As a result of its review, the Compensation Committee approved fiscal 2024 annual base salaries for Named Officers as set forth in the table below.</w:t>
      </w:r>
    </w:p>
    <w:p>
      <w:pPr>
        <w:spacing w:after="0" w:line="71" w:lineRule="exact"/>
        <w:rPr>
          <w:sz w:val="20"/>
          <w:szCs w:val="20"/>
          <w:color w:val="auto"/>
        </w:rPr>
      </w:pPr>
    </w:p>
    <w:p>
      <w:pPr>
        <w:jc w:val="both"/>
        <w:ind w:right="920"/>
        <w:spacing w:after="0" w:line="247" w:lineRule="auto"/>
        <w:rPr>
          <w:sz w:val="20"/>
          <w:szCs w:val="20"/>
          <w:color w:val="auto"/>
        </w:rPr>
      </w:pPr>
      <w:r>
        <w:rPr>
          <w:rFonts w:ascii="Arial" w:cs="Arial" w:eastAsia="Arial" w:hAnsi="Arial"/>
          <w:sz w:val="18"/>
          <w:szCs w:val="18"/>
          <w:color w:val="auto"/>
        </w:rPr>
        <w:t>The Compensation Committee determined it was appropriate to increase Mr. Grady’s fiscal 2024 annual base salary by approximately 8.7% in recognition of his performance during fiscal 2023 and as a retention tool.</w:t>
      </w:r>
    </w:p>
    <w:p>
      <w:pPr>
        <w:spacing w:after="0" w:line="895" w:lineRule="exact"/>
        <w:rPr>
          <w:sz w:val="20"/>
          <w:szCs w:val="20"/>
          <w:color w:val="auto"/>
        </w:rPr>
      </w:pPr>
    </w:p>
    <w:p>
      <w:pPr>
        <w:sectPr>
          <w:pgSz w:w="11900" w:h="16838" w:orient="portrait"/>
          <w:cols w:equalWidth="0" w:num="2">
            <w:col w:w="5460" w:space="200"/>
            <w:col w:w="5360"/>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1280" w:type="dxa"/>
            <w:vAlign w:val="bottom"/>
          </w:tcPr>
          <w:p>
            <w:pPr>
              <w:spacing w:after="0"/>
              <w:rPr>
                <w:sz w:val="23"/>
                <w:szCs w:val="23"/>
                <w:color w:val="auto"/>
              </w:rPr>
            </w:pPr>
          </w:p>
        </w:tc>
        <w:tc>
          <w:tcPr>
            <w:tcW w:w="2500" w:type="dxa"/>
            <w:vAlign w:val="bottom"/>
            <w:shd w:val="clear" w:color="auto" w:fill="819F7C"/>
          </w:tcPr>
          <w:p>
            <w:pPr>
              <w:spacing w:after="0"/>
              <w:rPr>
                <w:sz w:val="23"/>
                <w:szCs w:val="23"/>
                <w:color w:val="auto"/>
              </w:rPr>
            </w:pPr>
          </w:p>
        </w:tc>
        <w:tc>
          <w:tcPr>
            <w:tcW w:w="2680" w:type="dxa"/>
            <w:vAlign w:val="bottom"/>
            <w:shd w:val="clear" w:color="auto" w:fill="819F7C"/>
          </w:tcPr>
          <w:p>
            <w:pPr>
              <w:jc w:val="center"/>
              <w:ind w:left="475"/>
              <w:spacing w:after="0"/>
              <w:rPr>
                <w:sz w:val="20"/>
                <w:szCs w:val="20"/>
                <w:color w:val="auto"/>
              </w:rPr>
            </w:pPr>
            <w:r>
              <w:rPr>
                <w:rFonts w:ascii="Arial" w:cs="Arial" w:eastAsia="Arial" w:hAnsi="Arial"/>
                <w:sz w:val="17"/>
                <w:szCs w:val="17"/>
                <w:b w:val="1"/>
                <w:bCs w:val="1"/>
                <w:color w:val="FFFFFF"/>
              </w:rPr>
              <w:t>Fiscal 2023</w:t>
            </w:r>
          </w:p>
        </w:tc>
        <w:tc>
          <w:tcPr>
            <w:tcW w:w="1760" w:type="dxa"/>
            <w:vAlign w:val="bottom"/>
            <w:shd w:val="clear" w:color="auto" w:fill="819F7C"/>
          </w:tcPr>
          <w:p>
            <w:pPr>
              <w:jc w:val="center"/>
              <w:ind w:left="175"/>
              <w:spacing w:after="0"/>
              <w:rPr>
                <w:sz w:val="20"/>
                <w:szCs w:val="20"/>
                <w:color w:val="auto"/>
              </w:rPr>
            </w:pPr>
            <w:r>
              <w:rPr>
                <w:rFonts w:ascii="Arial" w:cs="Arial" w:eastAsia="Arial" w:hAnsi="Arial"/>
                <w:sz w:val="17"/>
                <w:szCs w:val="17"/>
                <w:b w:val="1"/>
                <w:bCs w:val="1"/>
                <w:color w:val="FFFFFF"/>
                <w:w w:val="99"/>
              </w:rPr>
              <w:t>Fiscal 2024</w:t>
            </w:r>
          </w:p>
        </w:tc>
        <w:tc>
          <w:tcPr>
            <w:tcW w:w="1500" w:type="dxa"/>
            <w:vAlign w:val="bottom"/>
            <w:shd w:val="clear" w:color="auto" w:fill="819F7C"/>
          </w:tcPr>
          <w:p>
            <w:pPr>
              <w:spacing w:after="0"/>
              <w:rPr>
                <w:sz w:val="23"/>
                <w:szCs w:val="23"/>
                <w:color w:val="auto"/>
              </w:rPr>
            </w:pPr>
          </w:p>
        </w:tc>
        <w:tc>
          <w:tcPr>
            <w:tcW w:w="1300" w:type="dxa"/>
            <w:vAlign w:val="bottom"/>
          </w:tcPr>
          <w:p>
            <w:pPr>
              <w:spacing w:after="0"/>
              <w:rPr>
                <w:sz w:val="23"/>
                <w:szCs w:val="23"/>
                <w:color w:val="auto"/>
              </w:rPr>
            </w:pPr>
          </w:p>
        </w:tc>
      </w:tr>
      <w:tr>
        <w:trPr>
          <w:trHeight w:val="189"/>
        </w:trPr>
        <w:tc>
          <w:tcPr>
            <w:tcW w:w="1280" w:type="dxa"/>
            <w:vAlign w:val="bottom"/>
          </w:tcPr>
          <w:p>
            <w:pPr>
              <w:spacing w:after="0"/>
              <w:rPr>
                <w:sz w:val="16"/>
                <w:szCs w:val="16"/>
                <w:color w:val="auto"/>
              </w:rPr>
            </w:pPr>
          </w:p>
        </w:tc>
        <w:tc>
          <w:tcPr>
            <w:tcW w:w="2500" w:type="dxa"/>
            <w:vAlign w:val="bottom"/>
            <w:shd w:val="clear" w:color="auto" w:fill="819F7C"/>
          </w:tcPr>
          <w:p>
            <w:pPr>
              <w:spacing w:after="0"/>
              <w:rPr>
                <w:sz w:val="16"/>
                <w:szCs w:val="16"/>
                <w:color w:val="auto"/>
              </w:rPr>
            </w:pPr>
          </w:p>
        </w:tc>
        <w:tc>
          <w:tcPr>
            <w:tcW w:w="2680" w:type="dxa"/>
            <w:vAlign w:val="bottom"/>
            <w:shd w:val="clear" w:color="auto" w:fill="819F7C"/>
          </w:tcPr>
          <w:p>
            <w:pPr>
              <w:jc w:val="center"/>
              <w:ind w:left="515"/>
              <w:spacing w:after="0" w:line="189" w:lineRule="exact"/>
              <w:rPr>
                <w:sz w:val="20"/>
                <w:szCs w:val="20"/>
                <w:color w:val="auto"/>
              </w:rPr>
            </w:pPr>
            <w:r>
              <w:rPr>
                <w:rFonts w:ascii="Arial" w:cs="Arial" w:eastAsia="Arial" w:hAnsi="Arial"/>
                <w:sz w:val="17"/>
                <w:szCs w:val="17"/>
                <w:b w:val="1"/>
                <w:bCs w:val="1"/>
                <w:color w:val="FFFFFF"/>
              </w:rPr>
              <w:t>Annual Base</w:t>
            </w:r>
          </w:p>
        </w:tc>
        <w:tc>
          <w:tcPr>
            <w:tcW w:w="1760" w:type="dxa"/>
            <w:vAlign w:val="bottom"/>
            <w:shd w:val="clear" w:color="auto" w:fill="819F7C"/>
          </w:tcPr>
          <w:p>
            <w:pPr>
              <w:jc w:val="center"/>
              <w:ind w:left="235"/>
              <w:spacing w:after="0" w:line="189" w:lineRule="exact"/>
              <w:rPr>
                <w:sz w:val="20"/>
                <w:szCs w:val="20"/>
                <w:color w:val="auto"/>
              </w:rPr>
            </w:pPr>
            <w:r>
              <w:rPr>
                <w:rFonts w:ascii="Arial" w:cs="Arial" w:eastAsia="Arial" w:hAnsi="Arial"/>
                <w:sz w:val="17"/>
                <w:szCs w:val="17"/>
                <w:b w:val="1"/>
                <w:bCs w:val="1"/>
                <w:color w:val="FFFFFF"/>
              </w:rPr>
              <w:t>Annual Base</w:t>
            </w:r>
          </w:p>
        </w:tc>
        <w:tc>
          <w:tcPr>
            <w:tcW w:w="1500" w:type="dxa"/>
            <w:vAlign w:val="bottom"/>
            <w:shd w:val="clear" w:color="auto" w:fill="819F7C"/>
          </w:tcPr>
          <w:p>
            <w:pPr>
              <w:jc w:val="center"/>
              <w:ind w:left="358"/>
              <w:spacing w:after="0" w:line="189" w:lineRule="exact"/>
              <w:rPr>
                <w:sz w:val="20"/>
                <w:szCs w:val="20"/>
                <w:color w:val="auto"/>
              </w:rPr>
            </w:pPr>
            <w:r>
              <w:rPr>
                <w:rFonts w:ascii="Arial" w:cs="Arial" w:eastAsia="Arial" w:hAnsi="Arial"/>
                <w:sz w:val="17"/>
                <w:szCs w:val="17"/>
                <w:b w:val="1"/>
                <w:bCs w:val="1"/>
                <w:color w:val="FFFFFF"/>
                <w:w w:val="92"/>
              </w:rPr>
              <w:t>%</w:t>
            </w:r>
          </w:p>
        </w:tc>
        <w:tc>
          <w:tcPr>
            <w:tcW w:w="1300" w:type="dxa"/>
            <w:vAlign w:val="bottom"/>
          </w:tcPr>
          <w:p>
            <w:pPr>
              <w:spacing w:after="0"/>
              <w:rPr>
                <w:sz w:val="16"/>
                <w:szCs w:val="16"/>
                <w:color w:val="auto"/>
              </w:rPr>
            </w:pPr>
          </w:p>
        </w:tc>
      </w:tr>
      <w:tr>
        <w:trPr>
          <w:trHeight w:val="252"/>
        </w:trPr>
        <w:tc>
          <w:tcPr>
            <w:tcW w:w="1280" w:type="dxa"/>
            <w:vAlign w:val="bottom"/>
          </w:tcPr>
          <w:p>
            <w:pPr>
              <w:spacing w:after="0"/>
              <w:rPr>
                <w:sz w:val="21"/>
                <w:szCs w:val="21"/>
                <w:color w:val="auto"/>
              </w:rPr>
            </w:pPr>
          </w:p>
        </w:tc>
        <w:tc>
          <w:tcPr>
            <w:tcW w:w="2500" w:type="dxa"/>
            <w:vAlign w:val="bottom"/>
            <w:shd w:val="clear" w:color="auto" w:fill="819F7C"/>
          </w:tcPr>
          <w:p>
            <w:pPr>
              <w:ind w:left="80"/>
              <w:spacing w:after="0"/>
              <w:rPr>
                <w:sz w:val="20"/>
                <w:szCs w:val="20"/>
                <w:color w:val="auto"/>
              </w:rPr>
            </w:pPr>
            <w:r>
              <w:rPr>
                <w:rFonts w:ascii="Arial" w:cs="Arial" w:eastAsia="Arial" w:hAnsi="Arial"/>
                <w:sz w:val="17"/>
                <w:szCs w:val="17"/>
                <w:b w:val="1"/>
                <w:bCs w:val="1"/>
                <w:color w:val="FFFFFF"/>
              </w:rPr>
              <w:t>Name</w:t>
            </w:r>
          </w:p>
        </w:tc>
        <w:tc>
          <w:tcPr>
            <w:tcW w:w="2680" w:type="dxa"/>
            <w:vAlign w:val="bottom"/>
            <w:shd w:val="clear" w:color="auto" w:fill="819F7C"/>
          </w:tcPr>
          <w:p>
            <w:pPr>
              <w:jc w:val="center"/>
              <w:ind w:left="515"/>
              <w:spacing w:after="0"/>
              <w:rPr>
                <w:sz w:val="20"/>
                <w:szCs w:val="20"/>
                <w:color w:val="auto"/>
              </w:rPr>
            </w:pPr>
            <w:r>
              <w:rPr>
                <w:rFonts w:ascii="Arial" w:cs="Arial" w:eastAsia="Arial" w:hAnsi="Arial"/>
                <w:sz w:val="17"/>
                <w:szCs w:val="17"/>
                <w:b w:val="1"/>
                <w:bCs w:val="1"/>
                <w:color w:val="FFFFFF"/>
              </w:rPr>
              <w:t>Salary</w:t>
            </w:r>
          </w:p>
        </w:tc>
        <w:tc>
          <w:tcPr>
            <w:tcW w:w="1760" w:type="dxa"/>
            <w:vAlign w:val="bottom"/>
            <w:shd w:val="clear" w:color="auto" w:fill="819F7C"/>
          </w:tcPr>
          <w:p>
            <w:pPr>
              <w:jc w:val="center"/>
              <w:ind w:left="235"/>
              <w:spacing w:after="0"/>
              <w:rPr>
                <w:sz w:val="20"/>
                <w:szCs w:val="20"/>
                <w:color w:val="auto"/>
              </w:rPr>
            </w:pPr>
            <w:r>
              <w:rPr>
                <w:rFonts w:ascii="Arial" w:cs="Arial" w:eastAsia="Arial" w:hAnsi="Arial"/>
                <w:sz w:val="17"/>
                <w:szCs w:val="17"/>
                <w:b w:val="1"/>
                <w:bCs w:val="1"/>
                <w:color w:val="FFFFFF"/>
              </w:rPr>
              <w:t>Salary</w:t>
            </w:r>
          </w:p>
        </w:tc>
        <w:tc>
          <w:tcPr>
            <w:tcW w:w="1500" w:type="dxa"/>
            <w:vAlign w:val="bottom"/>
            <w:shd w:val="clear" w:color="auto" w:fill="819F7C"/>
          </w:tcPr>
          <w:p>
            <w:pPr>
              <w:ind w:left="660"/>
              <w:spacing w:after="0"/>
              <w:rPr>
                <w:sz w:val="20"/>
                <w:szCs w:val="20"/>
                <w:color w:val="auto"/>
              </w:rPr>
            </w:pPr>
            <w:r>
              <w:rPr>
                <w:rFonts w:ascii="Arial" w:cs="Arial" w:eastAsia="Arial" w:hAnsi="Arial"/>
                <w:sz w:val="17"/>
                <w:szCs w:val="17"/>
                <w:b w:val="1"/>
                <w:bCs w:val="1"/>
                <w:color w:val="FFFFFF"/>
              </w:rPr>
              <w:t>Change</w:t>
            </w:r>
          </w:p>
        </w:tc>
        <w:tc>
          <w:tcPr>
            <w:tcW w:w="1300" w:type="dxa"/>
            <w:vAlign w:val="bottom"/>
          </w:tcPr>
          <w:p>
            <w:pPr>
              <w:spacing w:after="0"/>
              <w:rPr>
                <w:sz w:val="21"/>
                <w:szCs w:val="21"/>
                <w:color w:val="auto"/>
              </w:rPr>
            </w:pPr>
          </w:p>
        </w:tc>
      </w:tr>
      <w:tr>
        <w:trPr>
          <w:trHeight w:val="250"/>
        </w:trPr>
        <w:tc>
          <w:tcPr>
            <w:tcW w:w="1280" w:type="dxa"/>
            <w:vAlign w:val="bottom"/>
          </w:tcPr>
          <w:p>
            <w:pPr>
              <w:spacing w:after="0"/>
              <w:rPr>
                <w:sz w:val="21"/>
                <w:szCs w:val="21"/>
                <w:color w:val="auto"/>
              </w:rPr>
            </w:pPr>
          </w:p>
        </w:tc>
        <w:tc>
          <w:tcPr>
            <w:tcW w:w="25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Seamus Grady</w:t>
            </w:r>
          </w:p>
        </w:tc>
        <w:tc>
          <w:tcPr>
            <w:tcW w:w="2680" w:type="dxa"/>
            <w:vAlign w:val="bottom"/>
            <w:tcBorders>
              <w:bottom w:val="single" w:sz="8" w:color="E5E9E3"/>
            </w:tcBorders>
            <w:shd w:val="clear" w:color="auto" w:fill="E5E9E3"/>
          </w:tcPr>
          <w:p>
            <w:pPr>
              <w:jc w:val="center"/>
              <w:ind w:left="515"/>
              <w:spacing w:after="0"/>
              <w:rPr>
                <w:sz w:val="20"/>
                <w:szCs w:val="20"/>
                <w:color w:val="auto"/>
              </w:rPr>
            </w:pPr>
            <w:r>
              <w:rPr>
                <w:rFonts w:ascii="Arial" w:cs="Arial" w:eastAsia="Arial" w:hAnsi="Arial"/>
                <w:sz w:val="17"/>
                <w:szCs w:val="17"/>
                <w:color w:val="auto"/>
                <w:w w:val="98"/>
              </w:rPr>
              <w:t>$1,150,000</w:t>
            </w:r>
          </w:p>
        </w:tc>
        <w:tc>
          <w:tcPr>
            <w:tcW w:w="1760" w:type="dxa"/>
            <w:vAlign w:val="bottom"/>
            <w:tcBorders>
              <w:bottom w:val="single" w:sz="8" w:color="E5E9E3"/>
            </w:tcBorders>
            <w:shd w:val="clear" w:color="auto" w:fill="E5E9E3"/>
          </w:tcPr>
          <w:p>
            <w:pPr>
              <w:jc w:val="center"/>
              <w:ind w:left="215"/>
              <w:spacing w:after="0"/>
              <w:rPr>
                <w:sz w:val="20"/>
                <w:szCs w:val="20"/>
                <w:color w:val="auto"/>
              </w:rPr>
            </w:pPr>
            <w:r>
              <w:rPr>
                <w:rFonts w:ascii="Arial" w:cs="Arial" w:eastAsia="Arial" w:hAnsi="Arial"/>
                <w:sz w:val="17"/>
                <w:szCs w:val="17"/>
                <w:color w:val="auto"/>
              </w:rPr>
              <w:t>$1,250,000</w:t>
            </w:r>
          </w:p>
        </w:tc>
        <w:tc>
          <w:tcPr>
            <w:tcW w:w="1500" w:type="dxa"/>
            <w:vAlign w:val="bottom"/>
            <w:tcBorders>
              <w:bottom w:val="single" w:sz="8" w:color="E5E9E3"/>
            </w:tcBorders>
            <w:shd w:val="clear" w:color="auto" w:fill="E5E9E3"/>
          </w:tcPr>
          <w:p>
            <w:pPr>
              <w:jc w:val="center"/>
              <w:ind w:left="358"/>
              <w:spacing w:after="0"/>
              <w:rPr>
                <w:sz w:val="20"/>
                <w:szCs w:val="20"/>
                <w:color w:val="auto"/>
              </w:rPr>
            </w:pPr>
            <w:r>
              <w:rPr>
                <w:rFonts w:ascii="Arial" w:cs="Arial" w:eastAsia="Arial" w:hAnsi="Arial"/>
                <w:sz w:val="17"/>
                <w:szCs w:val="17"/>
                <w:color w:val="auto"/>
                <w:w w:val="97"/>
              </w:rPr>
              <w:t>8.7%</w:t>
            </w:r>
          </w:p>
        </w:tc>
        <w:tc>
          <w:tcPr>
            <w:tcW w:w="1300" w:type="dxa"/>
            <w:vAlign w:val="bottom"/>
          </w:tcPr>
          <w:p>
            <w:pPr>
              <w:spacing w:after="0"/>
              <w:rPr>
                <w:sz w:val="21"/>
                <w:szCs w:val="21"/>
                <w:color w:val="auto"/>
              </w:rPr>
            </w:pPr>
          </w:p>
        </w:tc>
      </w:tr>
      <w:tr>
        <w:trPr>
          <w:trHeight w:val="243"/>
        </w:trPr>
        <w:tc>
          <w:tcPr>
            <w:tcW w:w="1280" w:type="dxa"/>
            <w:vAlign w:val="bottom"/>
          </w:tcPr>
          <w:p>
            <w:pPr>
              <w:spacing w:after="0"/>
              <w:rPr>
                <w:sz w:val="21"/>
                <w:szCs w:val="21"/>
                <w:color w:val="auto"/>
              </w:rPr>
            </w:pPr>
          </w:p>
        </w:tc>
        <w:tc>
          <w:tcPr>
            <w:tcW w:w="2500" w:type="dxa"/>
            <w:vAlign w:val="bottom"/>
          </w:tcPr>
          <w:p>
            <w:pPr>
              <w:ind w:left="80"/>
              <w:spacing w:after="0"/>
              <w:rPr>
                <w:sz w:val="20"/>
                <w:szCs w:val="20"/>
                <w:color w:val="auto"/>
              </w:rPr>
            </w:pPr>
            <w:r>
              <w:rPr>
                <w:rFonts w:ascii="Arial" w:cs="Arial" w:eastAsia="Arial" w:hAnsi="Arial"/>
                <w:sz w:val="17"/>
                <w:szCs w:val="17"/>
                <w:color w:val="auto"/>
              </w:rPr>
              <w:t>Dr. Harpal Gill</w:t>
            </w:r>
          </w:p>
        </w:tc>
        <w:tc>
          <w:tcPr>
            <w:tcW w:w="2680" w:type="dxa"/>
            <w:vAlign w:val="bottom"/>
          </w:tcPr>
          <w:p>
            <w:pPr>
              <w:jc w:val="center"/>
              <w:ind w:left="515"/>
              <w:spacing w:after="0"/>
              <w:rPr>
                <w:sz w:val="20"/>
                <w:szCs w:val="20"/>
                <w:color w:val="auto"/>
              </w:rPr>
            </w:pPr>
            <w:r>
              <w:rPr>
                <w:rFonts w:ascii="Arial" w:cs="Arial" w:eastAsia="Arial" w:hAnsi="Arial"/>
                <w:sz w:val="17"/>
                <w:szCs w:val="17"/>
                <w:color w:val="auto"/>
                <w:w w:val="98"/>
              </w:rPr>
              <w:t>$1,040,300</w:t>
            </w:r>
          </w:p>
        </w:tc>
        <w:tc>
          <w:tcPr>
            <w:tcW w:w="1760" w:type="dxa"/>
            <w:vAlign w:val="bottom"/>
          </w:tcPr>
          <w:p>
            <w:pPr>
              <w:jc w:val="center"/>
              <w:ind w:left="215"/>
              <w:spacing w:after="0"/>
              <w:rPr>
                <w:sz w:val="20"/>
                <w:szCs w:val="20"/>
                <w:color w:val="auto"/>
              </w:rPr>
            </w:pPr>
            <w:r>
              <w:rPr>
                <w:rFonts w:ascii="Arial" w:cs="Arial" w:eastAsia="Arial" w:hAnsi="Arial"/>
                <w:sz w:val="17"/>
                <w:szCs w:val="17"/>
                <w:color w:val="auto"/>
              </w:rPr>
              <w:t>$1,060,000</w:t>
            </w:r>
          </w:p>
        </w:tc>
        <w:tc>
          <w:tcPr>
            <w:tcW w:w="1500" w:type="dxa"/>
            <w:vAlign w:val="bottom"/>
          </w:tcPr>
          <w:p>
            <w:pPr>
              <w:jc w:val="center"/>
              <w:ind w:left="358"/>
              <w:spacing w:after="0"/>
              <w:rPr>
                <w:sz w:val="20"/>
                <w:szCs w:val="20"/>
                <w:color w:val="auto"/>
              </w:rPr>
            </w:pPr>
            <w:r>
              <w:rPr>
                <w:rFonts w:ascii="Arial" w:cs="Arial" w:eastAsia="Arial" w:hAnsi="Arial"/>
                <w:sz w:val="17"/>
                <w:szCs w:val="17"/>
                <w:color w:val="auto"/>
                <w:w w:val="97"/>
              </w:rPr>
              <w:t>1.9%</w:t>
            </w: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25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Csaba Sverha</w:t>
            </w:r>
          </w:p>
        </w:tc>
        <w:tc>
          <w:tcPr>
            <w:tcW w:w="2680" w:type="dxa"/>
            <w:vAlign w:val="bottom"/>
            <w:tcBorders>
              <w:bottom w:val="single" w:sz="8" w:color="E5E9E3"/>
            </w:tcBorders>
            <w:shd w:val="clear" w:color="auto" w:fill="E5E9E3"/>
          </w:tcPr>
          <w:p>
            <w:pPr>
              <w:jc w:val="center"/>
              <w:ind w:left="515"/>
              <w:spacing w:after="0"/>
              <w:rPr>
                <w:sz w:val="20"/>
                <w:szCs w:val="20"/>
                <w:color w:val="auto"/>
              </w:rPr>
            </w:pPr>
            <w:r>
              <w:rPr>
                <w:rFonts w:ascii="Arial" w:cs="Arial" w:eastAsia="Arial" w:hAnsi="Arial"/>
                <w:sz w:val="17"/>
                <w:szCs w:val="17"/>
                <w:color w:val="auto"/>
              </w:rPr>
              <w:t>$575,000</w:t>
            </w:r>
          </w:p>
        </w:tc>
        <w:tc>
          <w:tcPr>
            <w:tcW w:w="1760" w:type="dxa"/>
            <w:vAlign w:val="bottom"/>
            <w:tcBorders>
              <w:bottom w:val="single" w:sz="8" w:color="E5E9E3"/>
            </w:tcBorders>
            <w:shd w:val="clear" w:color="auto" w:fill="E5E9E3"/>
          </w:tcPr>
          <w:p>
            <w:pPr>
              <w:jc w:val="center"/>
              <w:ind w:left="235"/>
              <w:spacing w:after="0"/>
              <w:rPr>
                <w:sz w:val="20"/>
                <w:szCs w:val="20"/>
                <w:color w:val="auto"/>
              </w:rPr>
            </w:pPr>
            <w:r>
              <w:rPr>
                <w:rFonts w:ascii="Arial" w:cs="Arial" w:eastAsia="Arial" w:hAnsi="Arial"/>
                <w:sz w:val="17"/>
                <w:szCs w:val="17"/>
                <w:color w:val="auto"/>
              </w:rPr>
              <w:t>$590,000</w:t>
            </w:r>
          </w:p>
        </w:tc>
        <w:tc>
          <w:tcPr>
            <w:tcW w:w="1500" w:type="dxa"/>
            <w:vAlign w:val="bottom"/>
            <w:tcBorders>
              <w:bottom w:val="single" w:sz="8" w:color="E5E9E3"/>
            </w:tcBorders>
            <w:shd w:val="clear" w:color="auto" w:fill="E5E9E3"/>
          </w:tcPr>
          <w:p>
            <w:pPr>
              <w:jc w:val="center"/>
              <w:ind w:left="358"/>
              <w:spacing w:after="0"/>
              <w:rPr>
                <w:sz w:val="20"/>
                <w:szCs w:val="20"/>
                <w:color w:val="auto"/>
              </w:rPr>
            </w:pPr>
            <w:r>
              <w:rPr>
                <w:rFonts w:ascii="Arial" w:cs="Arial" w:eastAsia="Arial" w:hAnsi="Arial"/>
                <w:sz w:val="17"/>
                <w:szCs w:val="17"/>
                <w:color w:val="auto"/>
                <w:w w:val="97"/>
              </w:rPr>
              <w:t>2.6%</w:t>
            </w:r>
          </w:p>
        </w:tc>
        <w:tc>
          <w:tcPr>
            <w:tcW w:w="1300" w:type="dxa"/>
            <w:vAlign w:val="bottom"/>
          </w:tcPr>
          <w:p>
            <w:pPr>
              <w:spacing w:after="0"/>
              <w:rPr>
                <w:sz w:val="21"/>
                <w:szCs w:val="21"/>
                <w:color w:val="auto"/>
              </w:rPr>
            </w:pPr>
          </w:p>
        </w:tc>
      </w:tr>
      <w:tr>
        <w:trPr>
          <w:trHeight w:val="229"/>
        </w:trPr>
        <w:tc>
          <w:tcPr>
            <w:tcW w:w="1280" w:type="dxa"/>
            <w:vAlign w:val="bottom"/>
          </w:tcPr>
          <w:p>
            <w:pPr>
              <w:spacing w:after="0"/>
              <w:rPr>
                <w:sz w:val="19"/>
                <w:szCs w:val="19"/>
                <w:color w:val="auto"/>
              </w:rPr>
            </w:pPr>
          </w:p>
        </w:tc>
        <w:tc>
          <w:tcPr>
            <w:tcW w:w="2500" w:type="dxa"/>
            <w:vAlign w:val="bottom"/>
          </w:tcPr>
          <w:p>
            <w:pPr>
              <w:ind w:left="80"/>
              <w:spacing w:after="0"/>
              <w:rPr>
                <w:sz w:val="20"/>
                <w:szCs w:val="20"/>
                <w:color w:val="auto"/>
              </w:rPr>
            </w:pPr>
            <w:r>
              <w:rPr>
                <w:rFonts w:ascii="Arial" w:cs="Arial" w:eastAsia="Arial" w:hAnsi="Arial"/>
                <w:sz w:val="17"/>
                <w:szCs w:val="17"/>
                <w:color w:val="auto"/>
              </w:rPr>
              <w:t>Edward T. Archer</w:t>
            </w:r>
          </w:p>
        </w:tc>
        <w:tc>
          <w:tcPr>
            <w:tcW w:w="2680" w:type="dxa"/>
            <w:vAlign w:val="bottom"/>
          </w:tcPr>
          <w:p>
            <w:pPr>
              <w:jc w:val="center"/>
              <w:ind w:left="515"/>
              <w:spacing w:after="0"/>
              <w:rPr>
                <w:sz w:val="20"/>
                <w:szCs w:val="20"/>
                <w:color w:val="auto"/>
              </w:rPr>
            </w:pPr>
            <w:r>
              <w:rPr>
                <w:rFonts w:ascii="Arial" w:cs="Arial" w:eastAsia="Arial" w:hAnsi="Arial"/>
                <w:sz w:val="17"/>
                <w:szCs w:val="17"/>
                <w:color w:val="auto"/>
              </w:rPr>
              <w:t>$500,000</w:t>
            </w:r>
          </w:p>
        </w:tc>
        <w:tc>
          <w:tcPr>
            <w:tcW w:w="1760" w:type="dxa"/>
            <w:vAlign w:val="bottom"/>
          </w:tcPr>
          <w:p>
            <w:pPr>
              <w:jc w:val="center"/>
              <w:ind w:left="235"/>
              <w:spacing w:after="0"/>
              <w:rPr>
                <w:sz w:val="20"/>
                <w:szCs w:val="20"/>
                <w:color w:val="auto"/>
              </w:rPr>
            </w:pPr>
            <w:r>
              <w:rPr>
                <w:rFonts w:ascii="Arial" w:cs="Arial" w:eastAsia="Arial" w:hAnsi="Arial"/>
                <w:sz w:val="17"/>
                <w:szCs w:val="17"/>
                <w:color w:val="auto"/>
              </w:rPr>
              <w:t>$510,000</w:t>
            </w:r>
          </w:p>
        </w:tc>
        <w:tc>
          <w:tcPr>
            <w:tcW w:w="1500" w:type="dxa"/>
            <w:vAlign w:val="bottom"/>
          </w:tcPr>
          <w:p>
            <w:pPr>
              <w:jc w:val="center"/>
              <w:ind w:left="358"/>
              <w:spacing w:after="0"/>
              <w:rPr>
                <w:sz w:val="20"/>
                <w:szCs w:val="20"/>
                <w:color w:val="auto"/>
              </w:rPr>
            </w:pPr>
            <w:r>
              <w:rPr>
                <w:rFonts w:ascii="Arial" w:cs="Arial" w:eastAsia="Arial" w:hAnsi="Arial"/>
                <w:sz w:val="17"/>
                <w:szCs w:val="17"/>
                <w:color w:val="auto"/>
                <w:w w:val="97"/>
              </w:rPr>
              <w:t>2.0%</w:t>
            </w:r>
          </w:p>
        </w:tc>
        <w:tc>
          <w:tcPr>
            <w:tcW w:w="1300" w:type="dxa"/>
            <w:vAlign w:val="bottom"/>
          </w:tcPr>
          <w:p>
            <w:pPr>
              <w:spacing w:after="0"/>
              <w:rPr>
                <w:sz w:val="19"/>
                <w:szCs w:val="19"/>
                <w:color w:val="auto"/>
              </w:rPr>
            </w:pPr>
          </w:p>
        </w:tc>
      </w:tr>
      <w:tr>
        <w:trPr>
          <w:trHeight w:val="95"/>
        </w:trPr>
        <w:tc>
          <w:tcPr>
            <w:tcW w:w="1280" w:type="dxa"/>
            <w:vAlign w:val="bottom"/>
          </w:tcPr>
          <w:p>
            <w:pPr>
              <w:spacing w:after="0"/>
              <w:rPr>
                <w:sz w:val="8"/>
                <w:szCs w:val="8"/>
                <w:color w:val="auto"/>
              </w:rPr>
            </w:pPr>
          </w:p>
        </w:tc>
        <w:tc>
          <w:tcPr>
            <w:tcW w:w="2500" w:type="dxa"/>
            <w:vAlign w:val="bottom"/>
            <w:shd w:val="clear" w:color="auto" w:fill="819F7C"/>
          </w:tcPr>
          <w:p>
            <w:pPr>
              <w:spacing w:after="0"/>
              <w:rPr>
                <w:sz w:val="8"/>
                <w:szCs w:val="8"/>
                <w:color w:val="auto"/>
              </w:rPr>
            </w:pPr>
          </w:p>
        </w:tc>
        <w:tc>
          <w:tcPr>
            <w:tcW w:w="2680" w:type="dxa"/>
            <w:vAlign w:val="bottom"/>
            <w:shd w:val="clear" w:color="auto" w:fill="819F7C"/>
          </w:tcPr>
          <w:p>
            <w:pPr>
              <w:spacing w:after="0"/>
              <w:rPr>
                <w:sz w:val="8"/>
                <w:szCs w:val="8"/>
                <w:color w:val="auto"/>
              </w:rPr>
            </w:pPr>
          </w:p>
        </w:tc>
        <w:tc>
          <w:tcPr>
            <w:tcW w:w="1760" w:type="dxa"/>
            <w:vAlign w:val="bottom"/>
            <w:shd w:val="clear" w:color="auto" w:fill="819F7C"/>
          </w:tcPr>
          <w:p>
            <w:pPr>
              <w:spacing w:after="0"/>
              <w:rPr>
                <w:sz w:val="8"/>
                <w:szCs w:val="8"/>
                <w:color w:val="auto"/>
              </w:rPr>
            </w:pPr>
          </w:p>
        </w:tc>
        <w:tc>
          <w:tcPr>
            <w:tcW w:w="1500" w:type="dxa"/>
            <w:vAlign w:val="bottom"/>
            <w:shd w:val="clear" w:color="auto" w:fill="819F7C"/>
          </w:tcPr>
          <w:p>
            <w:pPr>
              <w:spacing w:after="0"/>
              <w:rPr>
                <w:sz w:val="8"/>
                <w:szCs w:val="8"/>
                <w:color w:val="auto"/>
              </w:rPr>
            </w:pPr>
          </w:p>
        </w:tc>
        <w:tc>
          <w:tcPr>
            <w:tcW w:w="1300" w:type="dxa"/>
            <w:vAlign w:val="bottom"/>
          </w:tcPr>
          <w:p>
            <w:pPr>
              <w:spacing w:after="0"/>
              <w:rPr>
                <w:sz w:val="8"/>
                <w:szCs w:val="8"/>
                <w:color w:val="auto"/>
              </w:rPr>
            </w:pPr>
          </w:p>
        </w:tc>
      </w:tr>
      <w:tr>
        <w:trPr>
          <w:trHeight w:val="472"/>
        </w:trPr>
        <w:tc>
          <w:tcPr>
            <w:tcW w:w="1280" w:type="dxa"/>
            <w:vAlign w:val="bottom"/>
          </w:tcPr>
          <w:p>
            <w:pPr>
              <w:jc w:val="right"/>
              <w:ind w:right="157"/>
              <w:spacing w:after="0"/>
              <w:rPr>
                <w:sz w:val="20"/>
                <w:szCs w:val="20"/>
                <w:color w:val="auto"/>
              </w:rPr>
            </w:pPr>
            <w:r>
              <w:rPr>
                <w:rFonts w:ascii="Arial" w:cs="Arial" w:eastAsia="Arial" w:hAnsi="Arial"/>
                <w:sz w:val="13"/>
                <w:szCs w:val="13"/>
                <w:color w:val="auto"/>
              </w:rPr>
              <w:t>40</w:t>
            </w:r>
          </w:p>
        </w:tc>
        <w:tc>
          <w:tcPr>
            <w:tcW w:w="2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3"/>
                <w:szCs w:val="13"/>
                <w:color w:val="auto"/>
              </w:rPr>
              <w:t>2024 PROXY STATEMENT </w:t>
            </w:r>
          </w:p>
        </w:tc>
      </w:tr>
      <w:tr>
        <w:trPr>
          <w:trHeight w:val="237"/>
        </w:trPr>
        <w:tc>
          <w:tcPr>
            <w:tcW w:w="1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-248285</wp:posOffset>
            </wp:positionV>
            <wp:extent cx="342900" cy="768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46" w:name="page47"/>
    <w:bookmarkEnd w:id="46"/>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Short-Term Cash Incentive Awards</w:t>
      </w:r>
    </w:p>
    <w:p>
      <w:pPr>
        <w:spacing w:after="0" w:line="115" w:lineRule="exact"/>
        <w:rPr>
          <w:sz w:val="20"/>
          <w:szCs w:val="20"/>
          <w:color w:val="auto"/>
        </w:rPr>
      </w:pPr>
    </w:p>
    <w:p>
      <w:pPr>
        <w:jc w:val="both"/>
        <w:ind w:left="920"/>
        <w:spacing w:after="0" w:line="244" w:lineRule="auto"/>
        <w:rPr>
          <w:sz w:val="20"/>
          <w:szCs w:val="20"/>
          <w:color w:val="auto"/>
        </w:rPr>
      </w:pPr>
      <w:r>
        <w:rPr>
          <w:rFonts w:ascii="Arial" w:cs="Arial" w:eastAsia="Arial" w:hAnsi="Arial"/>
          <w:sz w:val="18"/>
          <w:szCs w:val="18"/>
          <w:color w:val="auto"/>
        </w:rPr>
        <w:t>Our annual cash incentive plan provides our Named Officers with the ability to receive cash incentive awards based on company financial performance, with performance targets and payouts under the plan determined each fiscal year as follows:</w:t>
      </w:r>
    </w:p>
    <w:p>
      <w:pPr>
        <w:spacing w:after="0" w:line="68" w:lineRule="exact"/>
        <w:rPr>
          <w:sz w:val="20"/>
          <w:szCs w:val="20"/>
          <w:color w:val="auto"/>
        </w:rPr>
      </w:pPr>
    </w:p>
    <w:p>
      <w:pPr>
        <w:jc w:val="both"/>
        <w:ind w:left="1080" w:hanging="166"/>
        <w:spacing w:after="0" w:line="244" w:lineRule="auto"/>
        <w:tabs>
          <w:tab w:leader="none" w:pos="1080" w:val="left"/>
        </w:tabs>
        <w:numPr>
          <w:ilvl w:val="0"/>
          <w:numId w:val="69"/>
        </w:numPr>
        <w:rPr>
          <w:rFonts w:ascii="Arial" w:cs="Arial" w:eastAsia="Arial" w:hAnsi="Arial"/>
          <w:sz w:val="18"/>
          <w:szCs w:val="18"/>
          <w:color w:val="578255"/>
        </w:rPr>
      </w:pPr>
      <w:r>
        <w:rPr>
          <w:rFonts w:ascii="Arial" w:cs="Arial" w:eastAsia="Arial" w:hAnsi="Arial"/>
          <w:sz w:val="18"/>
          <w:szCs w:val="18"/>
          <w:color w:val="auto"/>
        </w:rPr>
        <w:t>payouts are based 50% on achievement of a fiscal year revenue metric and 50% on achievement of a fiscal year non-GAAP operating margin metric, with achievement of each financial metric considered independently from the other;</w:t>
      </w:r>
    </w:p>
    <w:p>
      <w:pPr>
        <w:spacing w:after="0" w:line="68" w:lineRule="exact"/>
        <w:rPr>
          <w:rFonts w:ascii="Arial" w:cs="Arial" w:eastAsia="Arial" w:hAnsi="Arial"/>
          <w:sz w:val="18"/>
          <w:szCs w:val="18"/>
          <w:color w:val="578255"/>
        </w:rPr>
      </w:pPr>
    </w:p>
    <w:p>
      <w:pPr>
        <w:jc w:val="both"/>
        <w:ind w:left="1080" w:hanging="166"/>
        <w:spacing w:after="0" w:line="247" w:lineRule="auto"/>
        <w:tabs>
          <w:tab w:leader="none" w:pos="1080" w:val="left"/>
        </w:tabs>
        <w:numPr>
          <w:ilvl w:val="0"/>
          <w:numId w:val="69"/>
        </w:numPr>
        <w:rPr>
          <w:rFonts w:ascii="Arial" w:cs="Arial" w:eastAsia="Arial" w:hAnsi="Arial"/>
          <w:sz w:val="18"/>
          <w:szCs w:val="18"/>
          <w:color w:val="578255"/>
        </w:rPr>
      </w:pPr>
      <w:r>
        <w:rPr>
          <w:rFonts w:ascii="Arial" w:cs="Arial" w:eastAsia="Arial" w:hAnsi="Arial"/>
          <w:sz w:val="18"/>
          <w:szCs w:val="18"/>
          <w:color w:val="auto"/>
        </w:rPr>
        <w:t>performance targets are equal to our annual operating plan targets, which the Compensation Committee believes should be realistic and achievable;</w:t>
      </w:r>
    </w:p>
    <w:p>
      <w:pPr>
        <w:spacing w:after="0" w:line="65" w:lineRule="exact"/>
        <w:rPr>
          <w:rFonts w:ascii="Arial" w:cs="Arial" w:eastAsia="Arial" w:hAnsi="Arial"/>
          <w:sz w:val="18"/>
          <w:szCs w:val="18"/>
          <w:color w:val="578255"/>
        </w:rPr>
      </w:pPr>
    </w:p>
    <w:p>
      <w:pPr>
        <w:ind w:left="1080" w:hanging="166"/>
        <w:spacing w:after="0" w:line="271" w:lineRule="auto"/>
        <w:tabs>
          <w:tab w:leader="none" w:pos="1080" w:val="left"/>
        </w:tabs>
        <w:numPr>
          <w:ilvl w:val="0"/>
          <w:numId w:val="69"/>
        </w:numPr>
        <w:rPr>
          <w:rFonts w:ascii="Arial" w:cs="Arial" w:eastAsia="Arial" w:hAnsi="Arial"/>
          <w:sz w:val="18"/>
          <w:szCs w:val="18"/>
          <w:color w:val="578255"/>
        </w:rPr>
      </w:pPr>
      <w:r>
        <w:rPr>
          <w:rFonts w:ascii="Arial" w:cs="Arial" w:eastAsia="Arial" w:hAnsi="Arial"/>
          <w:sz w:val="18"/>
          <w:szCs w:val="18"/>
          <w:color w:val="auto"/>
        </w:rPr>
        <w:t>the minimum performance threshold for each metric is 90% of the target for such metric;</w:t>
      </w:r>
    </w:p>
    <w:p>
      <w:pPr>
        <w:spacing w:after="0" w:line="45" w:lineRule="exact"/>
        <w:rPr>
          <w:rFonts w:ascii="Arial" w:cs="Arial" w:eastAsia="Arial" w:hAnsi="Arial"/>
          <w:sz w:val="18"/>
          <w:szCs w:val="18"/>
          <w:color w:val="578255"/>
        </w:rPr>
      </w:pPr>
    </w:p>
    <w:p>
      <w:pPr>
        <w:ind w:left="1080" w:hanging="166"/>
        <w:spacing w:after="0" w:line="271" w:lineRule="auto"/>
        <w:tabs>
          <w:tab w:leader="none" w:pos="1080" w:val="left"/>
        </w:tabs>
        <w:numPr>
          <w:ilvl w:val="0"/>
          <w:numId w:val="69"/>
        </w:numPr>
        <w:rPr>
          <w:rFonts w:ascii="Arial" w:cs="Arial" w:eastAsia="Arial" w:hAnsi="Arial"/>
          <w:sz w:val="18"/>
          <w:szCs w:val="18"/>
          <w:color w:val="578255"/>
        </w:rPr>
      </w:pPr>
      <w:r>
        <w:rPr>
          <w:rFonts w:ascii="Arial" w:cs="Arial" w:eastAsia="Arial" w:hAnsi="Arial"/>
          <w:sz w:val="18"/>
          <w:szCs w:val="18"/>
          <w:color w:val="auto"/>
        </w:rPr>
        <w:t>the maximum bonus opportunity is 120% of the target bonus opportunity;</w:t>
      </w:r>
    </w:p>
    <w:p>
      <w:pPr>
        <w:spacing w:after="0" w:line="45" w:lineRule="exact"/>
        <w:rPr>
          <w:rFonts w:ascii="Arial" w:cs="Arial" w:eastAsia="Arial" w:hAnsi="Arial"/>
          <w:sz w:val="18"/>
          <w:szCs w:val="18"/>
          <w:color w:val="578255"/>
        </w:rPr>
      </w:pPr>
    </w:p>
    <w:p>
      <w:pPr>
        <w:jc w:val="both"/>
        <w:ind w:left="1080" w:hanging="166"/>
        <w:spacing w:after="0" w:line="244" w:lineRule="auto"/>
        <w:tabs>
          <w:tab w:leader="none" w:pos="1080" w:val="left"/>
        </w:tabs>
        <w:numPr>
          <w:ilvl w:val="0"/>
          <w:numId w:val="69"/>
        </w:numPr>
        <w:rPr>
          <w:rFonts w:ascii="Arial" w:cs="Arial" w:eastAsia="Arial" w:hAnsi="Arial"/>
          <w:sz w:val="18"/>
          <w:szCs w:val="18"/>
          <w:color w:val="578255"/>
        </w:rPr>
      </w:pPr>
      <w:r>
        <w:rPr>
          <w:rFonts w:ascii="Arial" w:cs="Arial" w:eastAsia="Arial" w:hAnsi="Arial"/>
          <w:sz w:val="18"/>
          <w:szCs w:val="18"/>
          <w:color w:val="auto"/>
        </w:rPr>
        <w:t>achievement of a financial metric at a level between 90% and 100% of the applicable target financial metric results in a payout scaled linearly from 20% to 100% of the target bonus opportunity for that metric; and</w:t>
      </w:r>
    </w:p>
    <w:p>
      <w:pPr>
        <w:spacing w:after="0" w:line="68" w:lineRule="exact"/>
        <w:rPr>
          <w:rFonts w:ascii="Arial" w:cs="Arial" w:eastAsia="Arial" w:hAnsi="Arial"/>
          <w:sz w:val="18"/>
          <w:szCs w:val="18"/>
          <w:color w:val="578255"/>
        </w:rPr>
      </w:pPr>
    </w:p>
    <w:p>
      <w:pPr>
        <w:jc w:val="both"/>
        <w:ind w:left="1080" w:hanging="166"/>
        <w:spacing w:after="0" w:line="244" w:lineRule="auto"/>
        <w:tabs>
          <w:tab w:leader="none" w:pos="1080" w:val="left"/>
        </w:tabs>
        <w:numPr>
          <w:ilvl w:val="0"/>
          <w:numId w:val="69"/>
        </w:numPr>
        <w:rPr>
          <w:rFonts w:ascii="Arial" w:cs="Arial" w:eastAsia="Arial" w:hAnsi="Arial"/>
          <w:sz w:val="18"/>
          <w:szCs w:val="18"/>
          <w:color w:val="578255"/>
        </w:rPr>
      </w:pPr>
      <w:r>
        <w:rPr>
          <w:rFonts w:ascii="Arial" w:cs="Arial" w:eastAsia="Arial" w:hAnsi="Arial"/>
          <w:sz w:val="18"/>
          <w:szCs w:val="18"/>
          <w:color w:val="auto"/>
        </w:rPr>
        <w:t>achievement of a financial metric at a level between 100% and 105% of the applicable target financial metric would result in a payout scaled linearly from 100% to 120% of the target bonus opportunity for that metric.</w:t>
      </w:r>
    </w:p>
    <w:p>
      <w:pPr>
        <w:spacing w:after="0" w:line="68" w:lineRule="exact"/>
        <w:rPr>
          <w:sz w:val="20"/>
          <w:szCs w:val="20"/>
          <w:color w:val="auto"/>
        </w:rPr>
      </w:pPr>
    </w:p>
    <w:p>
      <w:pPr>
        <w:jc w:val="both"/>
        <w:ind w:left="920"/>
        <w:spacing w:after="0" w:line="253" w:lineRule="auto"/>
        <w:rPr>
          <w:sz w:val="20"/>
          <w:szCs w:val="20"/>
          <w:color w:val="auto"/>
        </w:rPr>
      </w:pPr>
      <w:r>
        <w:rPr>
          <w:rFonts w:ascii="Arial" w:cs="Arial" w:eastAsia="Arial" w:hAnsi="Arial"/>
          <w:sz w:val="18"/>
          <w:szCs w:val="18"/>
          <w:color w:val="auto"/>
        </w:rPr>
        <w:t>By basing a substantial portion of our Named Officers’ total cash compensation on achievement of financial goals designed to drive shareholder value, our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920"/>
        <w:spacing w:after="0" w:line="253" w:lineRule="auto"/>
        <w:rPr>
          <w:sz w:val="20"/>
          <w:szCs w:val="20"/>
          <w:color w:val="auto"/>
        </w:rPr>
      </w:pPr>
      <w:r>
        <w:rPr>
          <w:rFonts w:ascii="Arial" w:cs="Arial" w:eastAsia="Arial" w:hAnsi="Arial"/>
          <w:sz w:val="18"/>
          <w:szCs w:val="18"/>
          <w:color w:val="auto"/>
        </w:rPr>
        <w:t>cash incentive plan is intended to align our Named Officers’ interests with the interests of our shareholders.</w:t>
      </w:r>
    </w:p>
    <w:p>
      <w:pPr>
        <w:spacing w:after="0" w:line="61"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In August 2023, the Compensation Committee approved our cash incentive plan for fiscal 2024 (the “</w:t>
      </w:r>
      <w:r>
        <w:rPr>
          <w:rFonts w:ascii="Arial" w:cs="Arial" w:eastAsia="Arial" w:hAnsi="Arial"/>
          <w:sz w:val="18"/>
          <w:szCs w:val="18"/>
          <w:b w:val="1"/>
          <w:bCs w:val="1"/>
          <w:color w:val="auto"/>
        </w:rPr>
        <w:t>Fiscal 2024 Bonus Plan</w:t>
      </w:r>
      <w:r>
        <w:rPr>
          <w:rFonts w:ascii="Arial" w:cs="Arial" w:eastAsia="Arial" w:hAnsi="Arial"/>
          <w:sz w:val="18"/>
          <w:szCs w:val="18"/>
          <w:color w:val="auto"/>
        </w:rPr>
        <w:t>”) and determined the target bonus opportunity for each Named Officer under the plan after considering the Market Data provided by Compensia, evaluated against other criteria, including the Named Officer’s functional responsibilities and ongoing duties.</w:t>
      </w:r>
    </w:p>
    <w:p>
      <w:pPr>
        <w:spacing w:after="0" w:line="72" w:lineRule="exact"/>
        <w:rPr>
          <w:sz w:val="20"/>
          <w:szCs w:val="20"/>
          <w:color w:val="auto"/>
        </w:rPr>
      </w:pPr>
    </w:p>
    <w:p>
      <w:pPr>
        <w:jc w:val="both"/>
        <w:ind w:right="920"/>
        <w:spacing w:after="0" w:line="237" w:lineRule="auto"/>
        <w:rPr>
          <w:sz w:val="20"/>
          <w:szCs w:val="20"/>
          <w:color w:val="auto"/>
        </w:rPr>
      </w:pPr>
      <w:r>
        <w:rPr>
          <w:rFonts w:ascii="Arial" w:cs="Arial" w:eastAsia="Arial" w:hAnsi="Arial"/>
          <w:sz w:val="18"/>
          <w:szCs w:val="18"/>
          <w:color w:val="auto"/>
        </w:rPr>
        <w:t>The revenue and non-GAAP operating margin targets under the Fiscal 2024 Bonus Plan were the same as the corresponding targets under our fiscal 2024 annual operating plan. The Compensation Committee chose revenue and non-GAAP operating margin performance goals because it believes that these goals constitute important, key performance metrics that significantly can impact our business success. Achievement of a target bonus payout under the Fiscal 2024 Bonus Plan would have required high levels of corporate performance that the Compensation Committee believed were realistic and achievable. In structuring the Fiscal 2024 Bonus Plan, the Compensation Committee also provided for a maximum bonus opportunity equal to 120% of a Named Officer’s target bonus opportunity because the committee determined that it was appropriate to incentivize and reward financial performance that exceeded our annual operating plan targets.</w:t>
      </w:r>
    </w:p>
    <w:p>
      <w:pPr>
        <w:spacing w:after="0" w:line="72" w:lineRule="exact"/>
        <w:rPr>
          <w:sz w:val="20"/>
          <w:szCs w:val="20"/>
          <w:color w:val="auto"/>
        </w:rPr>
      </w:pPr>
    </w:p>
    <w:p>
      <w:pPr>
        <w:jc w:val="both"/>
        <w:ind w:right="920"/>
        <w:spacing w:after="0" w:line="257" w:lineRule="auto"/>
        <w:rPr>
          <w:sz w:val="20"/>
          <w:szCs w:val="20"/>
          <w:color w:val="auto"/>
        </w:rPr>
      </w:pPr>
      <w:r>
        <w:rPr>
          <w:rFonts w:ascii="Arial" w:cs="Arial" w:eastAsia="Arial" w:hAnsi="Arial"/>
          <w:sz w:val="18"/>
          <w:szCs w:val="18"/>
          <w:b w:val="1"/>
          <w:bCs w:val="1"/>
          <w:color w:val="auto"/>
        </w:rPr>
        <w:t>The achievement targets and actual year-end attainment under the Fiscal 2024 Bonus Plan were as follows ($ in millions):</w:t>
      </w:r>
    </w:p>
    <w:p>
      <w:pPr>
        <w:spacing w:after="0" w:line="109"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tbl>
      <w:tblPr>
        <w:tblLayout w:type="fixed"/>
        <w:tblInd w:w="920" w:type="dxa"/>
        <w:tblCellMar>
          <w:top w:w="0" w:type="dxa"/>
          <w:left w:w="0" w:type="dxa"/>
          <w:bottom w:w="0" w:type="dxa"/>
          <w:right w:w="0" w:type="dxa"/>
        </w:tblCellMar>
      </w:tblPr>
      <w:tr>
        <w:trPr>
          <w:trHeight w:val="275"/>
        </w:trPr>
        <w:tc>
          <w:tcPr>
            <w:tcW w:w="1860" w:type="dxa"/>
            <w:vAlign w:val="bottom"/>
            <w:shd w:val="clear" w:color="auto" w:fill="819F7C"/>
          </w:tcPr>
          <w:p>
            <w:pPr>
              <w:spacing w:after="0"/>
              <w:rPr>
                <w:sz w:val="23"/>
                <w:szCs w:val="23"/>
                <w:color w:val="auto"/>
              </w:rPr>
            </w:pPr>
          </w:p>
        </w:tc>
        <w:tc>
          <w:tcPr>
            <w:tcW w:w="860" w:type="dxa"/>
            <w:vAlign w:val="bottom"/>
            <w:shd w:val="clear" w:color="auto" w:fill="819F7C"/>
          </w:tcPr>
          <w:p>
            <w:pPr>
              <w:spacing w:after="0"/>
              <w:rPr>
                <w:sz w:val="23"/>
                <w:szCs w:val="23"/>
                <w:color w:val="auto"/>
              </w:rPr>
            </w:pPr>
          </w:p>
        </w:tc>
        <w:tc>
          <w:tcPr>
            <w:tcW w:w="1340" w:type="dxa"/>
            <w:vAlign w:val="bottom"/>
            <w:vMerge w:val="restart"/>
            <w:shd w:val="clear" w:color="auto" w:fill="819F7C"/>
          </w:tcPr>
          <w:p>
            <w:pPr>
              <w:jc w:val="center"/>
              <w:spacing w:after="0"/>
              <w:rPr>
                <w:sz w:val="20"/>
                <w:szCs w:val="20"/>
                <w:color w:val="auto"/>
              </w:rPr>
            </w:pPr>
            <w:r>
              <w:rPr>
                <w:rFonts w:ascii="Arial" w:cs="Arial" w:eastAsia="Arial" w:hAnsi="Arial"/>
                <w:sz w:val="17"/>
                <w:szCs w:val="17"/>
                <w:b w:val="1"/>
                <w:bCs w:val="1"/>
                <w:color w:val="FFFFFF"/>
                <w:w w:val="99"/>
              </w:rPr>
              <w:t>Minimum</w:t>
            </w:r>
          </w:p>
        </w:tc>
        <w:tc>
          <w:tcPr>
            <w:tcW w:w="1120" w:type="dxa"/>
            <w:vAlign w:val="bottom"/>
            <w:shd w:val="clear" w:color="auto" w:fill="819F7C"/>
          </w:tcPr>
          <w:p>
            <w:pPr>
              <w:spacing w:after="0"/>
              <w:rPr>
                <w:sz w:val="23"/>
                <w:szCs w:val="23"/>
                <w:color w:val="auto"/>
              </w:rPr>
            </w:pPr>
          </w:p>
        </w:tc>
        <w:tc>
          <w:tcPr>
            <w:tcW w:w="1300" w:type="dxa"/>
            <w:vAlign w:val="bottom"/>
            <w:shd w:val="clear" w:color="auto" w:fill="819F7C"/>
          </w:tcPr>
          <w:p>
            <w:pPr>
              <w:spacing w:after="0"/>
              <w:rPr>
                <w:sz w:val="23"/>
                <w:szCs w:val="23"/>
                <w:color w:val="auto"/>
              </w:rPr>
            </w:pPr>
          </w:p>
        </w:tc>
        <w:tc>
          <w:tcPr>
            <w:tcW w:w="1380" w:type="dxa"/>
            <w:vAlign w:val="bottom"/>
            <w:shd w:val="clear" w:color="auto" w:fill="819F7C"/>
          </w:tcPr>
          <w:p>
            <w:pPr>
              <w:spacing w:after="0"/>
              <w:rPr>
                <w:sz w:val="23"/>
                <w:szCs w:val="23"/>
                <w:color w:val="auto"/>
              </w:rPr>
            </w:pPr>
          </w:p>
        </w:tc>
        <w:tc>
          <w:tcPr>
            <w:tcW w:w="1320" w:type="dxa"/>
            <w:vAlign w:val="bottom"/>
            <w:shd w:val="clear" w:color="auto" w:fill="819F7C"/>
          </w:tcPr>
          <w:p>
            <w:pPr>
              <w:jc w:val="center"/>
              <w:spacing w:after="0"/>
              <w:rPr>
                <w:sz w:val="20"/>
                <w:szCs w:val="20"/>
                <w:color w:val="auto"/>
              </w:rPr>
            </w:pPr>
            <w:r>
              <w:rPr>
                <w:rFonts w:ascii="Arial" w:cs="Arial" w:eastAsia="Arial" w:hAnsi="Arial"/>
                <w:sz w:val="17"/>
                <w:szCs w:val="17"/>
                <w:b w:val="1"/>
                <w:bCs w:val="1"/>
                <w:color w:val="FFFFFF"/>
                <w:w w:val="99"/>
              </w:rPr>
              <w:t>Actual</w:t>
            </w:r>
          </w:p>
        </w:tc>
        <w:tc>
          <w:tcPr>
            <w:tcW w:w="0" w:type="dxa"/>
            <w:vAlign w:val="bottom"/>
          </w:tcPr>
          <w:p>
            <w:pPr>
              <w:spacing w:after="0"/>
              <w:rPr>
                <w:sz w:val="1"/>
                <w:szCs w:val="1"/>
                <w:color w:val="auto"/>
              </w:rPr>
            </w:pPr>
          </w:p>
        </w:tc>
      </w:tr>
      <w:tr>
        <w:trPr>
          <w:trHeight w:val="171"/>
        </w:trPr>
        <w:tc>
          <w:tcPr>
            <w:tcW w:w="1860" w:type="dxa"/>
            <w:vAlign w:val="bottom"/>
            <w:shd w:val="clear" w:color="auto" w:fill="819F7C"/>
          </w:tcPr>
          <w:p>
            <w:pPr>
              <w:spacing w:after="0"/>
              <w:rPr>
                <w:sz w:val="14"/>
                <w:szCs w:val="14"/>
                <w:color w:val="auto"/>
              </w:rPr>
            </w:pPr>
          </w:p>
        </w:tc>
        <w:tc>
          <w:tcPr>
            <w:tcW w:w="860" w:type="dxa"/>
            <w:vAlign w:val="bottom"/>
            <w:shd w:val="clear" w:color="auto" w:fill="819F7C"/>
          </w:tcPr>
          <w:p>
            <w:pPr>
              <w:spacing w:after="0"/>
              <w:rPr>
                <w:sz w:val="14"/>
                <w:szCs w:val="14"/>
                <w:color w:val="auto"/>
              </w:rPr>
            </w:pPr>
          </w:p>
        </w:tc>
        <w:tc>
          <w:tcPr>
            <w:tcW w:w="1340" w:type="dxa"/>
            <w:vAlign w:val="bottom"/>
            <w:vMerge w:val="continue"/>
            <w:shd w:val="clear" w:color="auto" w:fill="819F7C"/>
          </w:tcPr>
          <w:p>
            <w:pPr>
              <w:spacing w:after="0"/>
              <w:rPr>
                <w:sz w:val="14"/>
                <w:szCs w:val="14"/>
                <w:color w:val="auto"/>
              </w:rPr>
            </w:pPr>
          </w:p>
        </w:tc>
        <w:tc>
          <w:tcPr>
            <w:tcW w:w="1120" w:type="dxa"/>
            <w:vAlign w:val="bottom"/>
            <w:vMerge w:val="restart"/>
            <w:shd w:val="clear" w:color="auto" w:fill="819F7C"/>
          </w:tcPr>
          <w:p>
            <w:pPr>
              <w:ind w:left="200"/>
              <w:spacing w:after="0"/>
              <w:rPr>
                <w:sz w:val="20"/>
                <w:szCs w:val="20"/>
                <w:color w:val="auto"/>
              </w:rPr>
            </w:pPr>
            <w:r>
              <w:rPr>
                <w:rFonts w:ascii="Arial" w:cs="Arial" w:eastAsia="Arial" w:hAnsi="Arial"/>
                <w:sz w:val="17"/>
                <w:szCs w:val="17"/>
                <w:b w:val="1"/>
                <w:bCs w:val="1"/>
                <w:color w:val="FFFFFF"/>
              </w:rPr>
              <w:t>Target</w:t>
            </w:r>
            <w:r>
              <w:rPr>
                <w:rFonts w:ascii="Arial" w:cs="Arial" w:eastAsia="Arial" w:hAnsi="Arial"/>
                <w:sz w:val="28"/>
                <w:szCs w:val="28"/>
                <w:b w:val="1"/>
                <w:bCs w:val="1"/>
                <w:color w:val="FFFFFF"/>
                <w:vertAlign w:val="superscript"/>
              </w:rPr>
              <w:t>(2)</w:t>
            </w:r>
          </w:p>
        </w:tc>
        <w:tc>
          <w:tcPr>
            <w:tcW w:w="1300" w:type="dxa"/>
            <w:vAlign w:val="bottom"/>
            <w:vMerge w:val="restart"/>
            <w:shd w:val="clear" w:color="auto" w:fill="819F7C"/>
          </w:tcPr>
          <w:p>
            <w:pPr>
              <w:jc w:val="center"/>
              <w:spacing w:after="0"/>
              <w:rPr>
                <w:sz w:val="20"/>
                <w:szCs w:val="20"/>
                <w:color w:val="auto"/>
              </w:rPr>
            </w:pPr>
            <w:r>
              <w:rPr>
                <w:rFonts w:ascii="Arial" w:cs="Arial" w:eastAsia="Arial" w:hAnsi="Arial"/>
                <w:sz w:val="17"/>
                <w:szCs w:val="17"/>
                <w:b w:val="1"/>
                <w:bCs w:val="1"/>
                <w:color w:val="FFFFFF"/>
                <w:w w:val="94"/>
              </w:rPr>
              <w:t>Maximum</w:t>
            </w:r>
            <w:r>
              <w:rPr>
                <w:rFonts w:ascii="Arial" w:cs="Arial" w:eastAsia="Arial" w:hAnsi="Arial"/>
                <w:sz w:val="28"/>
                <w:szCs w:val="28"/>
                <w:b w:val="1"/>
                <w:bCs w:val="1"/>
                <w:color w:val="FFFFFF"/>
                <w:w w:val="94"/>
                <w:vertAlign w:val="superscript"/>
              </w:rPr>
              <w:t>(3)</w:t>
            </w:r>
          </w:p>
        </w:tc>
        <w:tc>
          <w:tcPr>
            <w:tcW w:w="1380" w:type="dxa"/>
            <w:vAlign w:val="bottom"/>
            <w:shd w:val="clear" w:color="auto" w:fill="819F7C"/>
          </w:tcPr>
          <w:p>
            <w:pPr>
              <w:jc w:val="center"/>
              <w:spacing w:after="0" w:line="171" w:lineRule="exact"/>
              <w:rPr>
                <w:sz w:val="20"/>
                <w:szCs w:val="20"/>
                <w:color w:val="auto"/>
              </w:rPr>
            </w:pPr>
            <w:r>
              <w:rPr>
                <w:rFonts w:ascii="Arial" w:cs="Arial" w:eastAsia="Arial" w:hAnsi="Arial"/>
                <w:sz w:val="17"/>
                <w:szCs w:val="17"/>
                <w:b w:val="1"/>
                <w:bCs w:val="1"/>
                <w:color w:val="FFFFFF"/>
                <w:w w:val="99"/>
              </w:rPr>
              <w:t>Actual</w:t>
            </w:r>
          </w:p>
        </w:tc>
        <w:tc>
          <w:tcPr>
            <w:tcW w:w="1320" w:type="dxa"/>
            <w:vAlign w:val="bottom"/>
            <w:shd w:val="clear" w:color="auto" w:fill="819F7C"/>
          </w:tcPr>
          <w:p>
            <w:pPr>
              <w:jc w:val="center"/>
              <w:spacing w:after="0" w:line="171" w:lineRule="exact"/>
              <w:rPr>
                <w:sz w:val="20"/>
                <w:szCs w:val="20"/>
                <w:color w:val="auto"/>
              </w:rPr>
            </w:pPr>
            <w:r>
              <w:rPr>
                <w:rFonts w:ascii="Arial" w:cs="Arial" w:eastAsia="Arial" w:hAnsi="Arial"/>
                <w:sz w:val="17"/>
                <w:szCs w:val="17"/>
                <w:b w:val="1"/>
                <w:bCs w:val="1"/>
                <w:color w:val="FFFFFF"/>
              </w:rPr>
              <w:t>Performance</w:t>
            </w:r>
          </w:p>
        </w:tc>
        <w:tc>
          <w:tcPr>
            <w:tcW w:w="0" w:type="dxa"/>
            <w:vAlign w:val="bottom"/>
          </w:tcPr>
          <w:p>
            <w:pPr>
              <w:spacing w:after="0"/>
              <w:rPr>
                <w:sz w:val="1"/>
                <w:szCs w:val="1"/>
                <w:color w:val="auto"/>
              </w:rPr>
            </w:pPr>
          </w:p>
        </w:tc>
      </w:tr>
      <w:tr>
        <w:trPr>
          <w:trHeight w:val="270"/>
        </w:trPr>
        <w:tc>
          <w:tcPr>
            <w:tcW w:w="1860" w:type="dxa"/>
            <w:vAlign w:val="bottom"/>
            <w:shd w:val="clear" w:color="auto" w:fill="819F7C"/>
          </w:tcPr>
          <w:p>
            <w:pPr>
              <w:ind w:left="60"/>
              <w:spacing w:after="0"/>
              <w:rPr>
                <w:sz w:val="20"/>
                <w:szCs w:val="20"/>
                <w:color w:val="auto"/>
              </w:rPr>
            </w:pPr>
            <w:r>
              <w:rPr>
                <w:rFonts w:ascii="Arial" w:cs="Arial" w:eastAsia="Arial" w:hAnsi="Arial"/>
                <w:sz w:val="17"/>
                <w:szCs w:val="17"/>
                <w:b w:val="1"/>
                <w:bCs w:val="1"/>
                <w:color w:val="FFFFFF"/>
              </w:rPr>
              <w:t>Performance Metric</w:t>
            </w:r>
          </w:p>
        </w:tc>
        <w:tc>
          <w:tcPr>
            <w:tcW w:w="860" w:type="dxa"/>
            <w:vAlign w:val="bottom"/>
            <w:shd w:val="clear" w:color="auto" w:fill="819F7C"/>
          </w:tcPr>
          <w:p>
            <w:pPr>
              <w:jc w:val="center"/>
              <w:spacing w:after="0"/>
              <w:rPr>
                <w:sz w:val="20"/>
                <w:szCs w:val="20"/>
                <w:color w:val="auto"/>
              </w:rPr>
            </w:pPr>
            <w:r>
              <w:rPr>
                <w:rFonts w:ascii="Arial" w:cs="Arial" w:eastAsia="Arial" w:hAnsi="Arial"/>
                <w:sz w:val="17"/>
                <w:szCs w:val="17"/>
                <w:b w:val="1"/>
                <w:bCs w:val="1"/>
                <w:color w:val="FFFFFF"/>
              </w:rPr>
              <w:t>Weight</w:t>
            </w:r>
          </w:p>
        </w:tc>
        <w:tc>
          <w:tcPr>
            <w:tcW w:w="1340" w:type="dxa"/>
            <w:vAlign w:val="bottom"/>
            <w:shd w:val="clear" w:color="auto" w:fill="819F7C"/>
          </w:tcPr>
          <w:p>
            <w:pPr>
              <w:jc w:val="center"/>
              <w:spacing w:after="0" w:line="270" w:lineRule="exact"/>
              <w:rPr>
                <w:sz w:val="20"/>
                <w:szCs w:val="20"/>
                <w:color w:val="auto"/>
              </w:rPr>
            </w:pPr>
            <w:r>
              <w:rPr>
                <w:rFonts w:ascii="Arial" w:cs="Arial" w:eastAsia="Arial" w:hAnsi="Arial"/>
                <w:sz w:val="17"/>
                <w:szCs w:val="17"/>
                <w:b w:val="1"/>
                <w:bCs w:val="1"/>
                <w:color w:val="FFFFFF"/>
                <w:w w:val="95"/>
              </w:rPr>
              <w:t>Threshold</w:t>
            </w:r>
            <w:r>
              <w:rPr>
                <w:rFonts w:ascii="Arial" w:cs="Arial" w:eastAsia="Arial" w:hAnsi="Arial"/>
                <w:sz w:val="28"/>
                <w:szCs w:val="28"/>
                <w:b w:val="1"/>
                <w:bCs w:val="1"/>
                <w:color w:val="FFFFFF"/>
                <w:w w:val="95"/>
                <w:vertAlign w:val="superscript"/>
              </w:rPr>
              <w:t>(1)</w:t>
            </w:r>
          </w:p>
        </w:tc>
        <w:tc>
          <w:tcPr>
            <w:tcW w:w="1120" w:type="dxa"/>
            <w:vAlign w:val="bottom"/>
            <w:vMerge w:val="continue"/>
            <w:shd w:val="clear" w:color="auto" w:fill="819F7C"/>
          </w:tcPr>
          <w:p>
            <w:pPr>
              <w:spacing w:after="0"/>
              <w:rPr>
                <w:sz w:val="23"/>
                <w:szCs w:val="23"/>
                <w:color w:val="auto"/>
              </w:rPr>
            </w:pPr>
          </w:p>
        </w:tc>
        <w:tc>
          <w:tcPr>
            <w:tcW w:w="1300" w:type="dxa"/>
            <w:vAlign w:val="bottom"/>
            <w:vMerge w:val="continue"/>
            <w:shd w:val="clear" w:color="auto" w:fill="819F7C"/>
          </w:tcPr>
          <w:p>
            <w:pPr>
              <w:spacing w:after="0"/>
              <w:rPr>
                <w:sz w:val="23"/>
                <w:szCs w:val="23"/>
                <w:color w:val="auto"/>
              </w:rPr>
            </w:pPr>
          </w:p>
        </w:tc>
        <w:tc>
          <w:tcPr>
            <w:tcW w:w="1380" w:type="dxa"/>
            <w:vAlign w:val="bottom"/>
            <w:shd w:val="clear" w:color="auto" w:fill="819F7C"/>
          </w:tcPr>
          <w:p>
            <w:pPr>
              <w:jc w:val="center"/>
              <w:spacing w:after="0"/>
              <w:rPr>
                <w:sz w:val="20"/>
                <w:szCs w:val="20"/>
                <w:color w:val="auto"/>
              </w:rPr>
            </w:pPr>
            <w:r>
              <w:rPr>
                <w:rFonts w:ascii="Arial" w:cs="Arial" w:eastAsia="Arial" w:hAnsi="Arial"/>
                <w:sz w:val="17"/>
                <w:szCs w:val="17"/>
                <w:b w:val="1"/>
                <w:bCs w:val="1"/>
                <w:color w:val="FFFFFF"/>
              </w:rPr>
              <w:t>Performance</w:t>
            </w:r>
          </w:p>
        </w:tc>
        <w:tc>
          <w:tcPr>
            <w:tcW w:w="1320" w:type="dxa"/>
            <w:vAlign w:val="bottom"/>
            <w:shd w:val="clear" w:color="auto" w:fill="819F7C"/>
          </w:tcPr>
          <w:p>
            <w:pPr>
              <w:jc w:val="center"/>
              <w:spacing w:after="0"/>
              <w:rPr>
                <w:sz w:val="20"/>
                <w:szCs w:val="20"/>
                <w:color w:val="auto"/>
              </w:rPr>
            </w:pPr>
            <w:r>
              <w:rPr>
                <w:rFonts w:ascii="Arial" w:cs="Arial" w:eastAsia="Arial" w:hAnsi="Arial"/>
                <w:sz w:val="17"/>
                <w:szCs w:val="17"/>
                <w:b w:val="1"/>
                <w:bCs w:val="1"/>
                <w:color w:val="FFFFFF"/>
              </w:rPr>
              <w:t>(% of Target)</w:t>
            </w:r>
          </w:p>
        </w:tc>
        <w:tc>
          <w:tcPr>
            <w:tcW w:w="0" w:type="dxa"/>
            <w:vAlign w:val="bottom"/>
          </w:tcPr>
          <w:p>
            <w:pPr>
              <w:spacing w:after="0"/>
              <w:rPr>
                <w:sz w:val="1"/>
                <w:szCs w:val="1"/>
                <w:color w:val="auto"/>
              </w:rPr>
            </w:pPr>
          </w:p>
        </w:tc>
      </w:tr>
      <w:tr>
        <w:trPr>
          <w:trHeight w:val="270"/>
        </w:trPr>
        <w:tc>
          <w:tcPr>
            <w:tcW w:w="1860" w:type="dxa"/>
            <w:vAlign w:val="bottom"/>
            <w:shd w:val="clear" w:color="auto" w:fill="E5E9E3"/>
          </w:tcPr>
          <w:p>
            <w:pPr>
              <w:ind w:left="60"/>
              <w:spacing w:after="0"/>
              <w:rPr>
                <w:sz w:val="20"/>
                <w:szCs w:val="20"/>
                <w:color w:val="auto"/>
              </w:rPr>
            </w:pPr>
            <w:r>
              <w:rPr>
                <w:rFonts w:ascii="Arial" w:cs="Arial" w:eastAsia="Arial" w:hAnsi="Arial"/>
                <w:sz w:val="17"/>
                <w:szCs w:val="17"/>
                <w:color w:val="auto"/>
              </w:rPr>
              <w:t>Revenue</w:t>
            </w:r>
          </w:p>
        </w:tc>
        <w:tc>
          <w:tcPr>
            <w:tcW w:w="860" w:type="dxa"/>
            <w:vAlign w:val="bottom"/>
            <w:shd w:val="clear" w:color="auto" w:fill="E5E9E3"/>
          </w:tcPr>
          <w:p>
            <w:pPr>
              <w:jc w:val="center"/>
              <w:spacing w:after="0"/>
              <w:rPr>
                <w:sz w:val="20"/>
                <w:szCs w:val="20"/>
                <w:color w:val="auto"/>
              </w:rPr>
            </w:pPr>
            <w:r>
              <w:rPr>
                <w:rFonts w:ascii="Arial" w:cs="Arial" w:eastAsia="Arial" w:hAnsi="Arial"/>
                <w:sz w:val="17"/>
                <w:szCs w:val="17"/>
                <w:color w:val="auto"/>
                <w:w w:val="99"/>
              </w:rPr>
              <w:t>50%</w:t>
            </w:r>
          </w:p>
        </w:tc>
        <w:tc>
          <w:tcPr>
            <w:tcW w:w="1340" w:type="dxa"/>
            <w:vAlign w:val="bottom"/>
            <w:shd w:val="clear" w:color="auto" w:fill="E5E9E3"/>
          </w:tcPr>
          <w:p>
            <w:pPr>
              <w:jc w:val="center"/>
              <w:spacing w:after="0"/>
              <w:rPr>
                <w:sz w:val="20"/>
                <w:szCs w:val="20"/>
                <w:color w:val="auto"/>
              </w:rPr>
            </w:pPr>
            <w:r>
              <w:rPr>
                <w:rFonts w:ascii="Arial" w:cs="Arial" w:eastAsia="Arial" w:hAnsi="Arial"/>
                <w:sz w:val="17"/>
                <w:szCs w:val="17"/>
                <w:color w:val="auto"/>
                <w:w w:val="99"/>
              </w:rPr>
              <w:t>$2,475.0</w:t>
            </w:r>
          </w:p>
        </w:tc>
        <w:tc>
          <w:tcPr>
            <w:tcW w:w="1120" w:type="dxa"/>
            <w:vAlign w:val="bottom"/>
            <w:shd w:val="clear" w:color="auto" w:fill="E5E9E3"/>
          </w:tcPr>
          <w:p>
            <w:pPr>
              <w:ind w:left="220"/>
              <w:spacing w:after="0"/>
              <w:rPr>
                <w:sz w:val="20"/>
                <w:szCs w:val="20"/>
                <w:color w:val="auto"/>
              </w:rPr>
            </w:pPr>
            <w:r>
              <w:rPr>
                <w:rFonts w:ascii="Arial" w:cs="Arial" w:eastAsia="Arial" w:hAnsi="Arial"/>
                <w:sz w:val="17"/>
                <w:szCs w:val="17"/>
                <w:color w:val="auto"/>
              </w:rPr>
              <w:t>$2,750.0</w:t>
            </w:r>
          </w:p>
        </w:tc>
        <w:tc>
          <w:tcPr>
            <w:tcW w:w="1300" w:type="dxa"/>
            <w:vAlign w:val="bottom"/>
            <w:shd w:val="clear" w:color="auto" w:fill="E5E9E3"/>
          </w:tcPr>
          <w:p>
            <w:pPr>
              <w:jc w:val="right"/>
              <w:ind w:right="235"/>
              <w:spacing w:after="0"/>
              <w:rPr>
                <w:sz w:val="20"/>
                <w:szCs w:val="20"/>
                <w:color w:val="auto"/>
              </w:rPr>
            </w:pPr>
            <w:r>
              <w:rPr>
                <w:rFonts w:ascii="Arial" w:cs="Arial" w:eastAsia="Arial" w:hAnsi="Arial"/>
                <w:sz w:val="17"/>
                <w:szCs w:val="17"/>
                <w:color w:val="auto"/>
              </w:rPr>
              <w:t>$2,887.5</w:t>
            </w:r>
          </w:p>
        </w:tc>
        <w:tc>
          <w:tcPr>
            <w:tcW w:w="1380" w:type="dxa"/>
            <w:vAlign w:val="bottom"/>
            <w:shd w:val="clear" w:color="auto" w:fill="E5E9E3"/>
          </w:tcPr>
          <w:p>
            <w:pPr>
              <w:jc w:val="center"/>
              <w:spacing w:after="0"/>
              <w:rPr>
                <w:sz w:val="20"/>
                <w:szCs w:val="20"/>
                <w:color w:val="auto"/>
              </w:rPr>
            </w:pPr>
            <w:r>
              <w:rPr>
                <w:rFonts w:ascii="Arial" w:cs="Arial" w:eastAsia="Arial" w:hAnsi="Arial"/>
                <w:sz w:val="17"/>
                <w:szCs w:val="17"/>
                <w:b w:val="1"/>
                <w:bCs w:val="1"/>
                <w:color w:val="auto"/>
                <w:w w:val="99"/>
              </w:rPr>
              <w:t>$2,883.0</w:t>
            </w:r>
          </w:p>
        </w:tc>
        <w:tc>
          <w:tcPr>
            <w:tcW w:w="1320" w:type="dxa"/>
            <w:vAlign w:val="bottom"/>
            <w:shd w:val="clear" w:color="auto" w:fill="E5E9E3"/>
          </w:tcPr>
          <w:p>
            <w:pPr>
              <w:jc w:val="center"/>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22"/>
        </w:trPr>
        <w:tc>
          <w:tcPr>
            <w:tcW w:w="1860" w:type="dxa"/>
            <w:vAlign w:val="bottom"/>
          </w:tcPr>
          <w:p>
            <w:pPr>
              <w:ind w:left="60"/>
              <w:spacing w:after="0"/>
              <w:rPr>
                <w:sz w:val="20"/>
                <w:szCs w:val="20"/>
                <w:color w:val="auto"/>
              </w:rPr>
            </w:pPr>
            <w:r>
              <w:rPr>
                <w:rFonts w:ascii="Arial" w:cs="Arial" w:eastAsia="Arial" w:hAnsi="Arial"/>
                <w:sz w:val="17"/>
                <w:szCs w:val="17"/>
                <w:color w:val="auto"/>
              </w:rPr>
              <w:t>Non-GAAP Operating</w:t>
            </w: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860" w:type="dxa"/>
            <w:vAlign w:val="bottom"/>
          </w:tcPr>
          <w:p>
            <w:pPr>
              <w:ind w:left="60"/>
              <w:spacing w:after="0" w:line="251" w:lineRule="exact"/>
              <w:rPr>
                <w:sz w:val="20"/>
                <w:szCs w:val="20"/>
                <w:color w:val="auto"/>
              </w:rPr>
            </w:pPr>
            <w:r>
              <w:rPr>
                <w:rFonts w:ascii="Arial" w:cs="Arial" w:eastAsia="Arial" w:hAnsi="Arial"/>
                <w:sz w:val="17"/>
                <w:szCs w:val="17"/>
                <w:color w:val="auto"/>
              </w:rPr>
              <w:t>Margin</w:t>
            </w:r>
            <w:r>
              <w:rPr>
                <w:rFonts w:ascii="Arial" w:cs="Arial" w:eastAsia="Arial" w:hAnsi="Arial"/>
                <w:sz w:val="28"/>
                <w:szCs w:val="28"/>
                <w:color w:val="auto"/>
                <w:vertAlign w:val="superscript"/>
              </w:rPr>
              <w:t>(4)</w:t>
            </w:r>
          </w:p>
        </w:tc>
        <w:tc>
          <w:tcPr>
            <w:tcW w:w="860" w:type="dxa"/>
            <w:vAlign w:val="bottom"/>
          </w:tcPr>
          <w:p>
            <w:pPr>
              <w:jc w:val="center"/>
              <w:spacing w:after="0"/>
              <w:rPr>
                <w:sz w:val="20"/>
                <w:szCs w:val="20"/>
                <w:color w:val="auto"/>
              </w:rPr>
            </w:pPr>
            <w:r>
              <w:rPr>
                <w:rFonts w:ascii="Arial" w:cs="Arial" w:eastAsia="Arial" w:hAnsi="Arial"/>
                <w:sz w:val="17"/>
                <w:szCs w:val="17"/>
                <w:color w:val="auto"/>
                <w:w w:val="99"/>
              </w:rPr>
              <w:t>50%</w:t>
            </w:r>
          </w:p>
        </w:tc>
        <w:tc>
          <w:tcPr>
            <w:tcW w:w="1340" w:type="dxa"/>
            <w:vAlign w:val="bottom"/>
          </w:tcPr>
          <w:p>
            <w:pPr>
              <w:jc w:val="right"/>
              <w:ind w:right="195"/>
              <w:spacing w:after="0"/>
              <w:rPr>
                <w:sz w:val="20"/>
                <w:szCs w:val="20"/>
                <w:color w:val="auto"/>
              </w:rPr>
            </w:pPr>
            <w:r>
              <w:rPr>
                <w:rFonts w:ascii="Arial" w:cs="Arial" w:eastAsia="Arial" w:hAnsi="Arial"/>
                <w:sz w:val="17"/>
                <w:szCs w:val="17"/>
                <w:color w:val="auto"/>
              </w:rPr>
              <w:t>9.0%</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10.0%</w:t>
            </w:r>
          </w:p>
        </w:tc>
        <w:tc>
          <w:tcPr>
            <w:tcW w:w="1300" w:type="dxa"/>
            <w:vAlign w:val="bottom"/>
          </w:tcPr>
          <w:p>
            <w:pPr>
              <w:jc w:val="right"/>
              <w:ind w:right="155"/>
              <w:spacing w:after="0"/>
              <w:rPr>
                <w:sz w:val="20"/>
                <w:szCs w:val="20"/>
                <w:color w:val="auto"/>
              </w:rPr>
            </w:pPr>
            <w:r>
              <w:rPr>
                <w:rFonts w:ascii="Arial" w:cs="Arial" w:eastAsia="Arial" w:hAnsi="Arial"/>
                <w:sz w:val="17"/>
                <w:szCs w:val="17"/>
                <w:color w:val="auto"/>
              </w:rPr>
              <w:t>10.5%</w:t>
            </w:r>
          </w:p>
        </w:tc>
        <w:tc>
          <w:tcPr>
            <w:tcW w:w="1380" w:type="dxa"/>
            <w:vAlign w:val="bottom"/>
          </w:tcPr>
          <w:p>
            <w:pPr>
              <w:jc w:val="right"/>
              <w:ind w:right="215"/>
              <w:spacing w:after="0"/>
              <w:rPr>
                <w:sz w:val="20"/>
                <w:szCs w:val="20"/>
                <w:color w:val="auto"/>
              </w:rPr>
            </w:pPr>
            <w:r>
              <w:rPr>
                <w:rFonts w:ascii="Arial" w:cs="Arial" w:eastAsia="Arial" w:hAnsi="Arial"/>
                <w:sz w:val="17"/>
                <w:szCs w:val="17"/>
                <w:b w:val="1"/>
                <w:bCs w:val="1"/>
                <w:color w:val="auto"/>
              </w:rPr>
              <w:t>10.61%</w:t>
            </w:r>
          </w:p>
        </w:tc>
        <w:tc>
          <w:tcPr>
            <w:tcW w:w="1320" w:type="dxa"/>
            <w:vAlign w:val="bottom"/>
          </w:tcPr>
          <w:p>
            <w:pPr>
              <w:jc w:val="center"/>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95"/>
        </w:trPr>
        <w:tc>
          <w:tcPr>
            <w:tcW w:w="1860" w:type="dxa"/>
            <w:vAlign w:val="bottom"/>
            <w:shd w:val="clear" w:color="auto" w:fill="819F7C"/>
          </w:tcPr>
          <w:p>
            <w:pPr>
              <w:spacing w:after="0"/>
              <w:rPr>
                <w:sz w:val="8"/>
                <w:szCs w:val="8"/>
                <w:color w:val="auto"/>
              </w:rPr>
            </w:pPr>
          </w:p>
        </w:tc>
        <w:tc>
          <w:tcPr>
            <w:tcW w:w="860" w:type="dxa"/>
            <w:vAlign w:val="bottom"/>
            <w:shd w:val="clear" w:color="auto" w:fill="819F7C"/>
          </w:tcPr>
          <w:p>
            <w:pPr>
              <w:spacing w:after="0"/>
              <w:rPr>
                <w:sz w:val="8"/>
                <w:szCs w:val="8"/>
                <w:color w:val="auto"/>
              </w:rPr>
            </w:pPr>
          </w:p>
        </w:tc>
        <w:tc>
          <w:tcPr>
            <w:tcW w:w="1340" w:type="dxa"/>
            <w:vAlign w:val="bottom"/>
            <w:shd w:val="clear" w:color="auto" w:fill="819F7C"/>
          </w:tcPr>
          <w:p>
            <w:pPr>
              <w:spacing w:after="0"/>
              <w:rPr>
                <w:sz w:val="8"/>
                <w:szCs w:val="8"/>
                <w:color w:val="auto"/>
              </w:rPr>
            </w:pPr>
          </w:p>
        </w:tc>
        <w:tc>
          <w:tcPr>
            <w:tcW w:w="1120" w:type="dxa"/>
            <w:vAlign w:val="bottom"/>
            <w:shd w:val="clear" w:color="auto" w:fill="819F7C"/>
          </w:tcPr>
          <w:p>
            <w:pPr>
              <w:spacing w:after="0"/>
              <w:rPr>
                <w:sz w:val="8"/>
                <w:szCs w:val="8"/>
                <w:color w:val="auto"/>
              </w:rPr>
            </w:pPr>
          </w:p>
        </w:tc>
        <w:tc>
          <w:tcPr>
            <w:tcW w:w="1300" w:type="dxa"/>
            <w:vAlign w:val="bottom"/>
            <w:shd w:val="clear" w:color="auto" w:fill="819F7C"/>
          </w:tcPr>
          <w:p>
            <w:pPr>
              <w:spacing w:after="0"/>
              <w:rPr>
                <w:sz w:val="8"/>
                <w:szCs w:val="8"/>
                <w:color w:val="auto"/>
              </w:rPr>
            </w:pPr>
          </w:p>
        </w:tc>
        <w:tc>
          <w:tcPr>
            <w:tcW w:w="1380" w:type="dxa"/>
            <w:vAlign w:val="bottom"/>
            <w:shd w:val="clear" w:color="auto" w:fill="819F7C"/>
          </w:tcPr>
          <w:p>
            <w:pPr>
              <w:spacing w:after="0"/>
              <w:rPr>
                <w:sz w:val="8"/>
                <w:szCs w:val="8"/>
                <w:color w:val="auto"/>
              </w:rPr>
            </w:pPr>
          </w:p>
        </w:tc>
        <w:tc>
          <w:tcPr>
            <w:tcW w:w="132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0" w:hanging="286"/>
        <w:spacing w:after="0"/>
        <w:tabs>
          <w:tab w:leader="none" w:pos="12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Below this amount, no bonuses would have been earned with respect to the applicable performance metric.</w:t>
      </w:r>
    </w:p>
    <w:p>
      <w:pPr>
        <w:spacing w:after="0" w:line="53" w:lineRule="exact"/>
        <w:rPr>
          <w:rFonts w:ascii="Arial" w:cs="Arial" w:eastAsia="Arial" w:hAnsi="Arial"/>
          <w:sz w:val="13"/>
          <w:szCs w:val="13"/>
          <w:color w:val="auto"/>
        </w:rPr>
      </w:pPr>
    </w:p>
    <w:p>
      <w:pPr>
        <w:ind w:left="1200" w:hanging="286"/>
        <w:spacing w:after="0"/>
        <w:tabs>
          <w:tab w:leader="none" w:pos="12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Achievement of this goal would have resulted in a payout at 100% of a participant’s target bonus opportunity for the applicable performance metric.</w:t>
      </w:r>
    </w:p>
    <w:p>
      <w:pPr>
        <w:spacing w:after="0" w:line="53" w:lineRule="exact"/>
        <w:rPr>
          <w:rFonts w:ascii="Arial" w:cs="Arial" w:eastAsia="Arial" w:hAnsi="Arial"/>
          <w:sz w:val="13"/>
          <w:szCs w:val="13"/>
          <w:color w:val="auto"/>
        </w:rPr>
      </w:pPr>
    </w:p>
    <w:p>
      <w:pPr>
        <w:ind w:left="1200" w:right="940" w:hanging="286"/>
        <w:spacing w:after="0" w:line="281" w:lineRule="auto"/>
        <w:tabs>
          <w:tab w:leader="none" w:pos="12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Represents 105% of the applicable target performance goal. Achievement of this goal would have resulted in a maximum payout at 120% of a participant’s target bonus opportunity for the applicable performance metric.</w:t>
      </w:r>
    </w:p>
    <w:p>
      <w:pPr>
        <w:ind w:left="1200" w:right="940" w:hanging="286"/>
        <w:spacing w:after="0" w:line="294" w:lineRule="auto"/>
        <w:tabs>
          <w:tab w:leader="none" w:pos="12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Non-GAAP operating margin excluded share-based compensation expenses, restructuring and other related costs, and amortization of intangibles, as shown on </w:t>
      </w:r>
      <w:r>
        <w:rPr>
          <w:rFonts w:ascii="Arial" w:cs="Arial" w:eastAsia="Arial" w:hAnsi="Arial"/>
          <w:sz w:val="13"/>
          <w:szCs w:val="13"/>
          <w:b w:val="1"/>
          <w:bCs w:val="1"/>
          <w:color w:val="auto"/>
        </w:rPr>
        <w:t>Appendix A</w:t>
      </w:r>
      <w:r>
        <w:rPr>
          <w:rFonts w:ascii="Arial" w:cs="Arial" w:eastAsia="Arial" w:hAnsi="Arial"/>
          <w:sz w:val="13"/>
          <w:szCs w:val="13"/>
          <w:color w:val="auto"/>
        </w:rPr>
        <w: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41</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0"/>
        <w:spacing w:after="0" w:line="242" w:lineRule="auto"/>
        <w:rPr>
          <w:sz w:val="20"/>
          <w:szCs w:val="20"/>
          <w:color w:val="auto"/>
        </w:rPr>
      </w:pPr>
      <w:r>
        <w:rPr>
          <w:rFonts w:ascii="Arial" w:cs="Arial" w:eastAsia="Arial" w:hAnsi="Arial"/>
          <w:sz w:val="18"/>
          <w:szCs w:val="18"/>
          <w:color w:val="auto"/>
        </w:rPr>
        <w:t>In August 2024, consistent with our executive compensation philosophy and commitment to pay for performance, the Compensation Committee determined that maximum bonuses would be awarded to our Named Officers under the Fiscal 2024 Bonus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describes the target, maximum and actual bonus amounts for each of our Named Officers under the Fiscal 2024 Bonus Plan.</w:t>
      </w:r>
    </w:p>
    <w:p>
      <w:pPr>
        <w:spacing w:after="0" w:line="7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tbl>
      <w:tblPr>
        <w:tblLayout w:type="fixed"/>
        <w:tblInd w:w="60" w:type="dxa"/>
        <w:tblCellMar>
          <w:top w:w="0" w:type="dxa"/>
          <w:left w:w="0" w:type="dxa"/>
          <w:bottom w:w="0" w:type="dxa"/>
          <w:right w:w="0" w:type="dxa"/>
        </w:tblCellMar>
      </w:tblPr>
      <w:tr>
        <w:trPr>
          <w:trHeight w:val="261"/>
        </w:trPr>
        <w:tc>
          <w:tcPr>
            <w:tcW w:w="1620" w:type="dxa"/>
            <w:vAlign w:val="bottom"/>
            <w:shd w:val="clear" w:color="auto" w:fill="819F7C"/>
          </w:tcPr>
          <w:p>
            <w:pPr>
              <w:spacing w:after="0"/>
              <w:rPr>
                <w:sz w:val="22"/>
                <w:szCs w:val="22"/>
                <w:color w:val="auto"/>
              </w:rPr>
            </w:pPr>
          </w:p>
        </w:tc>
        <w:tc>
          <w:tcPr>
            <w:tcW w:w="380" w:type="dxa"/>
            <w:vAlign w:val="bottom"/>
            <w:shd w:val="clear" w:color="auto" w:fill="819F7C"/>
          </w:tcPr>
          <w:p>
            <w:pPr>
              <w:spacing w:after="0"/>
              <w:rPr>
                <w:sz w:val="22"/>
                <w:szCs w:val="22"/>
                <w:color w:val="auto"/>
              </w:rPr>
            </w:pPr>
          </w:p>
        </w:tc>
        <w:tc>
          <w:tcPr>
            <w:tcW w:w="880" w:type="dxa"/>
            <w:vAlign w:val="bottom"/>
            <w:shd w:val="clear" w:color="auto" w:fill="819F7C"/>
          </w:tcPr>
          <w:p>
            <w:pPr>
              <w:spacing w:after="0"/>
              <w:rPr>
                <w:sz w:val="22"/>
                <w:szCs w:val="22"/>
                <w:color w:val="auto"/>
              </w:rPr>
            </w:pPr>
          </w:p>
        </w:tc>
        <w:tc>
          <w:tcPr>
            <w:tcW w:w="1200" w:type="dxa"/>
            <w:vAlign w:val="bottom"/>
            <w:shd w:val="clear" w:color="auto" w:fill="819F7C"/>
          </w:tcPr>
          <w:p>
            <w:pPr>
              <w:spacing w:after="0"/>
              <w:rPr>
                <w:sz w:val="22"/>
                <w:szCs w:val="22"/>
                <w:color w:val="auto"/>
              </w:rPr>
            </w:pPr>
          </w:p>
        </w:tc>
        <w:tc>
          <w:tcPr>
            <w:tcW w:w="520" w:type="dxa"/>
            <w:vAlign w:val="bottom"/>
            <w:shd w:val="clear" w:color="auto" w:fill="819F7C"/>
          </w:tcPr>
          <w:p>
            <w:pPr>
              <w:spacing w:after="0"/>
              <w:rPr>
                <w:sz w:val="22"/>
                <w:szCs w:val="22"/>
                <w:color w:val="auto"/>
              </w:rPr>
            </w:pPr>
          </w:p>
        </w:tc>
        <w:tc>
          <w:tcPr>
            <w:tcW w:w="860" w:type="dxa"/>
            <w:vAlign w:val="bottom"/>
            <w:shd w:val="clear" w:color="auto" w:fill="819F7C"/>
          </w:tcPr>
          <w:p>
            <w:pPr>
              <w:spacing w:after="0"/>
              <w:rPr>
                <w:sz w:val="22"/>
                <w:szCs w:val="22"/>
                <w:color w:val="auto"/>
              </w:rPr>
            </w:pPr>
          </w:p>
        </w:tc>
        <w:tc>
          <w:tcPr>
            <w:tcW w:w="1380" w:type="dxa"/>
            <w:vAlign w:val="bottom"/>
            <w:shd w:val="clear" w:color="auto" w:fill="819F7C"/>
          </w:tcPr>
          <w:p>
            <w:pPr>
              <w:spacing w:after="0"/>
              <w:rPr>
                <w:sz w:val="22"/>
                <w:szCs w:val="22"/>
                <w:color w:val="auto"/>
              </w:rPr>
            </w:pPr>
          </w:p>
        </w:tc>
        <w:tc>
          <w:tcPr>
            <w:tcW w:w="320" w:type="dxa"/>
            <w:vAlign w:val="bottom"/>
            <w:shd w:val="clear" w:color="auto" w:fill="819F7C"/>
          </w:tcPr>
          <w:p>
            <w:pPr>
              <w:spacing w:after="0"/>
              <w:rPr>
                <w:sz w:val="22"/>
                <w:szCs w:val="22"/>
                <w:color w:val="auto"/>
              </w:rPr>
            </w:pPr>
          </w:p>
        </w:tc>
        <w:tc>
          <w:tcPr>
            <w:tcW w:w="860" w:type="dxa"/>
            <w:vAlign w:val="bottom"/>
            <w:shd w:val="clear" w:color="auto" w:fill="819F7C"/>
          </w:tcPr>
          <w:p>
            <w:pPr>
              <w:spacing w:after="0"/>
              <w:rPr>
                <w:sz w:val="22"/>
                <w:szCs w:val="22"/>
                <w:color w:val="auto"/>
              </w:rPr>
            </w:pP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FY24 Actual</w:t>
            </w:r>
          </w:p>
        </w:tc>
      </w:tr>
      <w:tr>
        <w:trPr>
          <w:trHeight w:val="162"/>
        </w:trPr>
        <w:tc>
          <w:tcPr>
            <w:tcW w:w="1620" w:type="dxa"/>
            <w:vAlign w:val="bottom"/>
            <w:shd w:val="clear" w:color="auto" w:fill="819F7C"/>
          </w:tcPr>
          <w:p>
            <w:pPr>
              <w:spacing w:after="0"/>
              <w:rPr>
                <w:sz w:val="14"/>
                <w:szCs w:val="14"/>
                <w:color w:val="auto"/>
              </w:rPr>
            </w:pPr>
          </w:p>
        </w:tc>
        <w:tc>
          <w:tcPr>
            <w:tcW w:w="380" w:type="dxa"/>
            <w:vAlign w:val="bottom"/>
            <w:shd w:val="clear" w:color="auto" w:fill="819F7C"/>
          </w:tcPr>
          <w:p>
            <w:pPr>
              <w:spacing w:after="0"/>
              <w:rPr>
                <w:sz w:val="14"/>
                <w:szCs w:val="14"/>
                <w:color w:val="auto"/>
              </w:rPr>
            </w:pPr>
          </w:p>
        </w:tc>
        <w:tc>
          <w:tcPr>
            <w:tcW w:w="880" w:type="dxa"/>
            <w:vAlign w:val="bottom"/>
            <w:shd w:val="clear" w:color="auto" w:fill="819F7C"/>
          </w:tcPr>
          <w:p>
            <w:pPr>
              <w:spacing w:after="0"/>
              <w:rPr>
                <w:sz w:val="14"/>
                <w:szCs w:val="14"/>
                <w:color w:val="auto"/>
              </w:rPr>
            </w:pPr>
          </w:p>
        </w:tc>
        <w:tc>
          <w:tcPr>
            <w:tcW w:w="12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FY24 Target</w:t>
            </w:r>
          </w:p>
        </w:tc>
        <w:tc>
          <w:tcPr>
            <w:tcW w:w="520" w:type="dxa"/>
            <w:vAlign w:val="bottom"/>
            <w:shd w:val="clear" w:color="auto" w:fill="819F7C"/>
          </w:tcPr>
          <w:p>
            <w:pPr>
              <w:spacing w:after="0"/>
              <w:rPr>
                <w:sz w:val="14"/>
                <w:szCs w:val="14"/>
                <w:color w:val="auto"/>
              </w:rPr>
            </w:pPr>
          </w:p>
        </w:tc>
        <w:tc>
          <w:tcPr>
            <w:tcW w:w="860" w:type="dxa"/>
            <w:vAlign w:val="bottom"/>
            <w:shd w:val="clear" w:color="auto" w:fill="819F7C"/>
          </w:tcPr>
          <w:p>
            <w:pPr>
              <w:spacing w:after="0"/>
              <w:rPr>
                <w:sz w:val="14"/>
                <w:szCs w:val="14"/>
                <w:color w:val="auto"/>
              </w:rPr>
            </w:pPr>
          </w:p>
        </w:tc>
        <w:tc>
          <w:tcPr>
            <w:tcW w:w="13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FY24 Maximum</w:t>
            </w:r>
          </w:p>
        </w:tc>
        <w:tc>
          <w:tcPr>
            <w:tcW w:w="320" w:type="dxa"/>
            <w:vAlign w:val="bottom"/>
            <w:shd w:val="clear" w:color="auto" w:fill="819F7C"/>
          </w:tcPr>
          <w:p>
            <w:pPr>
              <w:spacing w:after="0"/>
              <w:rPr>
                <w:sz w:val="14"/>
                <w:szCs w:val="14"/>
                <w:color w:val="auto"/>
              </w:rPr>
            </w:pPr>
          </w:p>
        </w:tc>
        <w:tc>
          <w:tcPr>
            <w:tcW w:w="860" w:type="dxa"/>
            <w:vAlign w:val="bottom"/>
            <w:shd w:val="clear" w:color="auto" w:fill="819F7C"/>
          </w:tcPr>
          <w:p>
            <w:pPr>
              <w:spacing w:after="0"/>
              <w:rPr>
                <w:sz w:val="14"/>
                <w:szCs w:val="14"/>
                <w:color w:val="auto"/>
              </w:rPr>
            </w:pP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Bonus</w:t>
            </w:r>
          </w:p>
        </w:tc>
      </w:tr>
      <w:tr>
        <w:trPr>
          <w:trHeight w:val="162"/>
        </w:trPr>
        <w:tc>
          <w:tcPr>
            <w:tcW w:w="1620" w:type="dxa"/>
            <w:vAlign w:val="bottom"/>
            <w:shd w:val="clear" w:color="auto" w:fill="819F7C"/>
          </w:tcPr>
          <w:p>
            <w:pPr>
              <w:spacing w:after="0"/>
              <w:rPr>
                <w:sz w:val="14"/>
                <w:szCs w:val="14"/>
                <w:color w:val="auto"/>
              </w:rPr>
            </w:pPr>
          </w:p>
        </w:tc>
        <w:tc>
          <w:tcPr>
            <w:tcW w:w="1260" w:type="dxa"/>
            <w:vAlign w:val="bottom"/>
            <w:gridSpan w:val="2"/>
            <w:shd w:val="clear" w:color="auto" w:fill="819F7C"/>
          </w:tcPr>
          <w:p>
            <w:pPr>
              <w:ind w:left="240"/>
              <w:spacing w:after="0"/>
              <w:rPr>
                <w:sz w:val="20"/>
                <w:szCs w:val="20"/>
                <w:color w:val="auto"/>
              </w:rPr>
            </w:pPr>
            <w:r>
              <w:rPr>
                <w:rFonts w:ascii="Arial" w:cs="Arial" w:eastAsia="Arial" w:hAnsi="Arial"/>
                <w:sz w:val="14"/>
                <w:szCs w:val="14"/>
                <w:b w:val="1"/>
                <w:bCs w:val="1"/>
                <w:color w:val="FFFFFF"/>
              </w:rPr>
              <w:t>FY24 Target</w:t>
            </w:r>
          </w:p>
        </w:tc>
        <w:tc>
          <w:tcPr>
            <w:tcW w:w="12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Bonus</w:t>
            </w:r>
          </w:p>
        </w:tc>
        <w:tc>
          <w:tcPr>
            <w:tcW w:w="1380" w:type="dxa"/>
            <w:vAlign w:val="bottom"/>
            <w:gridSpan w:val="2"/>
            <w:shd w:val="clear" w:color="auto" w:fill="819F7C"/>
          </w:tcPr>
          <w:p>
            <w:pPr>
              <w:jc w:val="center"/>
              <w:spacing w:after="0"/>
              <w:rPr>
                <w:sz w:val="20"/>
                <w:szCs w:val="20"/>
                <w:color w:val="auto"/>
              </w:rPr>
            </w:pPr>
            <w:r>
              <w:rPr>
                <w:rFonts w:ascii="Arial" w:cs="Arial" w:eastAsia="Arial" w:hAnsi="Arial"/>
                <w:sz w:val="14"/>
                <w:szCs w:val="14"/>
                <w:b w:val="1"/>
                <w:bCs w:val="1"/>
                <w:color w:val="FFFFFF"/>
              </w:rPr>
              <w:t>FY24 Maximum</w:t>
            </w:r>
          </w:p>
        </w:tc>
        <w:tc>
          <w:tcPr>
            <w:tcW w:w="13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Bonus</w:t>
            </w:r>
          </w:p>
        </w:tc>
        <w:tc>
          <w:tcPr>
            <w:tcW w:w="320" w:type="dxa"/>
            <w:vAlign w:val="bottom"/>
            <w:shd w:val="clear" w:color="auto" w:fill="819F7C"/>
          </w:tcPr>
          <w:p>
            <w:pPr>
              <w:spacing w:after="0"/>
              <w:rPr>
                <w:sz w:val="14"/>
                <w:szCs w:val="14"/>
                <w:color w:val="auto"/>
              </w:rPr>
            </w:pPr>
          </w:p>
        </w:tc>
        <w:tc>
          <w:tcPr>
            <w:tcW w:w="860" w:type="dxa"/>
            <w:vAlign w:val="bottom"/>
            <w:shd w:val="clear" w:color="auto" w:fill="819F7C"/>
          </w:tcPr>
          <w:p>
            <w:pPr>
              <w:spacing w:after="0"/>
              <w:rPr>
                <w:sz w:val="14"/>
                <w:szCs w:val="14"/>
                <w:color w:val="auto"/>
              </w:rPr>
            </w:pP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 of Target</w:t>
            </w:r>
          </w:p>
        </w:tc>
      </w:tr>
      <w:tr>
        <w:trPr>
          <w:trHeight w:val="162"/>
        </w:trPr>
        <w:tc>
          <w:tcPr>
            <w:tcW w:w="1620" w:type="dxa"/>
            <w:vAlign w:val="bottom"/>
            <w:shd w:val="clear" w:color="auto" w:fill="819F7C"/>
          </w:tcPr>
          <w:p>
            <w:pPr>
              <w:spacing w:after="0"/>
              <w:rPr>
                <w:sz w:val="14"/>
                <w:szCs w:val="14"/>
                <w:color w:val="auto"/>
              </w:rPr>
            </w:pPr>
          </w:p>
        </w:tc>
        <w:tc>
          <w:tcPr>
            <w:tcW w:w="380" w:type="dxa"/>
            <w:vAlign w:val="bottom"/>
            <w:shd w:val="clear" w:color="auto" w:fill="819F7C"/>
          </w:tcPr>
          <w:p>
            <w:pPr>
              <w:spacing w:after="0"/>
              <w:rPr>
                <w:sz w:val="14"/>
                <w:szCs w:val="14"/>
                <w:color w:val="auto"/>
              </w:rPr>
            </w:pPr>
          </w:p>
        </w:tc>
        <w:tc>
          <w:tcPr>
            <w:tcW w:w="880" w:type="dxa"/>
            <w:vAlign w:val="bottom"/>
            <w:shd w:val="clear" w:color="auto" w:fill="819F7C"/>
          </w:tcPr>
          <w:p>
            <w:pPr>
              <w:jc w:val="right"/>
              <w:ind w:right="299"/>
              <w:spacing w:after="0"/>
              <w:rPr>
                <w:sz w:val="20"/>
                <w:szCs w:val="20"/>
                <w:color w:val="auto"/>
              </w:rPr>
            </w:pPr>
            <w:r>
              <w:rPr>
                <w:rFonts w:ascii="Arial" w:cs="Arial" w:eastAsia="Arial" w:hAnsi="Arial"/>
                <w:sz w:val="14"/>
                <w:szCs w:val="14"/>
                <w:b w:val="1"/>
                <w:bCs w:val="1"/>
                <w:color w:val="FFFFFF"/>
              </w:rPr>
              <w:t>Bonus</w:t>
            </w:r>
          </w:p>
        </w:tc>
        <w:tc>
          <w:tcPr>
            <w:tcW w:w="120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Opportunity</w:t>
            </w:r>
          </w:p>
        </w:tc>
        <w:tc>
          <w:tcPr>
            <w:tcW w:w="1380" w:type="dxa"/>
            <w:vAlign w:val="bottom"/>
            <w:gridSpan w:val="2"/>
            <w:shd w:val="clear" w:color="auto" w:fill="819F7C"/>
          </w:tcPr>
          <w:p>
            <w:pPr>
              <w:jc w:val="center"/>
              <w:spacing w:after="0"/>
              <w:rPr>
                <w:sz w:val="20"/>
                <w:szCs w:val="20"/>
                <w:color w:val="auto"/>
              </w:rPr>
            </w:pPr>
            <w:r>
              <w:rPr>
                <w:rFonts w:ascii="Arial" w:cs="Arial" w:eastAsia="Arial" w:hAnsi="Arial"/>
                <w:sz w:val="14"/>
                <w:szCs w:val="14"/>
                <w:b w:val="1"/>
                <w:bCs w:val="1"/>
                <w:color w:val="FFFFFF"/>
              </w:rPr>
              <w:t>Bonus</w:t>
            </w:r>
          </w:p>
        </w:tc>
        <w:tc>
          <w:tcPr>
            <w:tcW w:w="138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Opportunity</w:t>
            </w:r>
          </w:p>
        </w:tc>
        <w:tc>
          <w:tcPr>
            <w:tcW w:w="1180" w:type="dxa"/>
            <w:vAlign w:val="bottom"/>
            <w:gridSpan w:val="2"/>
            <w:shd w:val="clear" w:color="auto" w:fill="819F7C"/>
          </w:tcPr>
          <w:p>
            <w:pPr>
              <w:jc w:val="right"/>
              <w:ind w:right="99"/>
              <w:spacing w:after="0"/>
              <w:rPr>
                <w:sz w:val="20"/>
                <w:szCs w:val="20"/>
                <w:color w:val="auto"/>
              </w:rPr>
            </w:pPr>
            <w:r>
              <w:rPr>
                <w:rFonts w:ascii="Arial" w:cs="Arial" w:eastAsia="Arial" w:hAnsi="Arial"/>
                <w:sz w:val="14"/>
                <w:szCs w:val="14"/>
                <w:b w:val="1"/>
                <w:bCs w:val="1"/>
                <w:color w:val="FFFFFF"/>
              </w:rPr>
              <w:t>FY24 Actual</w:t>
            </w: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Bonus</w:t>
            </w:r>
          </w:p>
        </w:tc>
      </w:tr>
      <w:tr>
        <w:trPr>
          <w:trHeight w:val="205"/>
        </w:trPr>
        <w:tc>
          <w:tcPr>
            <w:tcW w:w="1620" w:type="dxa"/>
            <w:vAlign w:val="bottom"/>
            <w:tcBorders>
              <w:bottom w:val="single" w:sz="8" w:color="819F7C"/>
            </w:tcBorders>
            <w:shd w:val="clear" w:color="auto" w:fill="819F7C"/>
          </w:tcPr>
          <w:p>
            <w:pPr>
              <w:ind w:left="60"/>
              <w:spacing w:after="0"/>
              <w:rPr>
                <w:sz w:val="20"/>
                <w:szCs w:val="20"/>
                <w:color w:val="auto"/>
              </w:rPr>
            </w:pPr>
            <w:r>
              <w:rPr>
                <w:rFonts w:ascii="Arial" w:cs="Arial" w:eastAsia="Arial" w:hAnsi="Arial"/>
                <w:sz w:val="14"/>
                <w:szCs w:val="14"/>
                <w:b w:val="1"/>
                <w:bCs w:val="1"/>
                <w:color w:val="FFFFFF"/>
              </w:rPr>
              <w:t>Name</w:t>
            </w:r>
          </w:p>
        </w:tc>
        <w:tc>
          <w:tcPr>
            <w:tcW w:w="1260" w:type="dxa"/>
            <w:vAlign w:val="bottom"/>
            <w:tcBorders>
              <w:bottom w:val="single" w:sz="8" w:color="819F7C"/>
            </w:tcBorders>
            <w:gridSpan w:val="2"/>
            <w:shd w:val="clear" w:color="auto" w:fill="819F7C"/>
          </w:tcPr>
          <w:p>
            <w:pPr>
              <w:jc w:val="right"/>
              <w:ind w:right="99"/>
              <w:spacing w:after="0"/>
              <w:rPr>
                <w:sz w:val="20"/>
                <w:szCs w:val="20"/>
                <w:color w:val="auto"/>
              </w:rPr>
            </w:pPr>
            <w:r>
              <w:rPr>
                <w:rFonts w:ascii="Arial" w:cs="Arial" w:eastAsia="Arial" w:hAnsi="Arial"/>
                <w:sz w:val="14"/>
                <w:szCs w:val="14"/>
                <w:b w:val="1"/>
                <w:bCs w:val="1"/>
                <w:color w:val="FFFFFF"/>
              </w:rPr>
              <w:t>Opportunity</w:t>
            </w:r>
          </w:p>
        </w:tc>
        <w:tc>
          <w:tcPr>
            <w:tcW w:w="120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4"/>
                <w:szCs w:val="14"/>
                <w:b w:val="1"/>
                <w:bCs w:val="1"/>
                <w:color w:val="FFFFFF"/>
              </w:rPr>
              <w:t>(% of Salary)</w:t>
            </w:r>
          </w:p>
        </w:tc>
        <w:tc>
          <w:tcPr>
            <w:tcW w:w="1380" w:type="dxa"/>
            <w:vAlign w:val="bottom"/>
            <w:tcBorders>
              <w:bottom w:val="single" w:sz="8" w:color="819F7C"/>
            </w:tcBorders>
            <w:gridSpan w:val="2"/>
            <w:shd w:val="clear" w:color="auto" w:fill="819F7C"/>
          </w:tcPr>
          <w:p>
            <w:pPr>
              <w:jc w:val="center"/>
              <w:spacing w:after="0"/>
              <w:rPr>
                <w:sz w:val="20"/>
                <w:szCs w:val="20"/>
                <w:color w:val="auto"/>
              </w:rPr>
            </w:pPr>
            <w:r>
              <w:rPr>
                <w:rFonts w:ascii="Arial" w:cs="Arial" w:eastAsia="Arial" w:hAnsi="Arial"/>
                <w:sz w:val="14"/>
                <w:szCs w:val="14"/>
                <w:b w:val="1"/>
                <w:bCs w:val="1"/>
                <w:color w:val="FFFFFF"/>
              </w:rPr>
              <w:t>Opportunity</w:t>
            </w:r>
          </w:p>
        </w:tc>
        <w:tc>
          <w:tcPr>
            <w:tcW w:w="1380" w:type="dxa"/>
            <w:vAlign w:val="bottom"/>
            <w:tcBorders>
              <w:bottom w:val="single" w:sz="8" w:color="819F7C"/>
            </w:tcBorders>
            <w:shd w:val="clear" w:color="auto" w:fill="819F7C"/>
          </w:tcPr>
          <w:p>
            <w:pPr>
              <w:jc w:val="center"/>
              <w:spacing w:after="0"/>
              <w:rPr>
                <w:sz w:val="20"/>
                <w:szCs w:val="20"/>
                <w:color w:val="auto"/>
              </w:rPr>
            </w:pPr>
            <w:r>
              <w:rPr>
                <w:rFonts w:ascii="Arial" w:cs="Arial" w:eastAsia="Arial" w:hAnsi="Arial"/>
                <w:sz w:val="14"/>
                <w:szCs w:val="14"/>
                <w:b w:val="1"/>
                <w:bCs w:val="1"/>
                <w:color w:val="FFFFFF"/>
              </w:rPr>
              <w:t>(% of Salary)</w:t>
            </w:r>
          </w:p>
        </w:tc>
        <w:tc>
          <w:tcPr>
            <w:tcW w:w="320" w:type="dxa"/>
            <w:vAlign w:val="bottom"/>
            <w:tcBorders>
              <w:bottom w:val="single" w:sz="8" w:color="819F7C"/>
            </w:tcBorders>
            <w:shd w:val="clear" w:color="auto" w:fill="819F7C"/>
          </w:tcPr>
          <w:p>
            <w:pPr>
              <w:spacing w:after="0"/>
              <w:rPr>
                <w:sz w:val="17"/>
                <w:szCs w:val="17"/>
                <w:color w:val="auto"/>
              </w:rPr>
            </w:pPr>
          </w:p>
        </w:tc>
        <w:tc>
          <w:tcPr>
            <w:tcW w:w="860" w:type="dxa"/>
            <w:vAlign w:val="bottom"/>
            <w:tcBorders>
              <w:bottom w:val="single" w:sz="8" w:color="819F7C"/>
            </w:tcBorders>
            <w:shd w:val="clear" w:color="auto" w:fill="819F7C"/>
          </w:tcPr>
          <w:p>
            <w:pPr>
              <w:jc w:val="right"/>
              <w:ind w:right="279"/>
              <w:spacing w:after="0"/>
              <w:rPr>
                <w:sz w:val="20"/>
                <w:szCs w:val="20"/>
                <w:color w:val="auto"/>
              </w:rPr>
            </w:pPr>
            <w:r>
              <w:rPr>
                <w:rFonts w:ascii="Arial" w:cs="Arial" w:eastAsia="Arial" w:hAnsi="Arial"/>
                <w:sz w:val="14"/>
                <w:szCs w:val="14"/>
                <w:b w:val="1"/>
                <w:bCs w:val="1"/>
                <w:color w:val="FFFFFF"/>
              </w:rPr>
              <w:t>Bonus</w:t>
            </w:r>
          </w:p>
        </w:tc>
        <w:tc>
          <w:tcPr>
            <w:tcW w:w="1160" w:type="dxa"/>
            <w:vAlign w:val="bottom"/>
            <w:tcBorders>
              <w:bottom w:val="single" w:sz="8" w:color="819F7C"/>
            </w:tcBorders>
            <w:shd w:val="clear" w:color="auto" w:fill="819F7C"/>
          </w:tcPr>
          <w:p>
            <w:pPr>
              <w:jc w:val="right"/>
              <w:ind w:right="42"/>
              <w:spacing w:after="0"/>
              <w:rPr>
                <w:sz w:val="20"/>
                <w:szCs w:val="20"/>
                <w:color w:val="auto"/>
              </w:rPr>
            </w:pPr>
            <w:r>
              <w:rPr>
                <w:rFonts w:ascii="Arial" w:cs="Arial" w:eastAsia="Arial" w:hAnsi="Arial"/>
                <w:sz w:val="14"/>
                <w:szCs w:val="14"/>
                <w:b w:val="1"/>
                <w:bCs w:val="1"/>
                <w:color w:val="FFFFFF"/>
              </w:rPr>
              <w:t>Opportunity)</w:t>
            </w:r>
          </w:p>
        </w:tc>
      </w:tr>
      <w:tr>
        <w:trPr>
          <w:trHeight w:val="250"/>
        </w:trPr>
        <w:tc>
          <w:tcPr>
            <w:tcW w:w="1620" w:type="dxa"/>
            <w:vAlign w:val="bottom"/>
            <w:tcBorders>
              <w:bottom w:val="single" w:sz="8" w:color="E5E9E3"/>
            </w:tcBorders>
            <w:shd w:val="clear" w:color="auto" w:fill="E5E9E3"/>
          </w:tcPr>
          <w:p>
            <w:pPr>
              <w:ind w:left="60"/>
              <w:spacing w:after="0"/>
              <w:rPr>
                <w:sz w:val="20"/>
                <w:szCs w:val="20"/>
                <w:color w:val="auto"/>
              </w:rPr>
            </w:pPr>
            <w:r>
              <w:rPr>
                <w:rFonts w:ascii="Arial" w:cs="Arial" w:eastAsia="Arial" w:hAnsi="Arial"/>
                <w:sz w:val="17"/>
                <w:szCs w:val="17"/>
                <w:color w:val="auto"/>
              </w:rPr>
              <w:t>Seamus Grady</w:t>
            </w:r>
          </w:p>
        </w:tc>
        <w:tc>
          <w:tcPr>
            <w:tcW w:w="1260" w:type="dxa"/>
            <w:vAlign w:val="bottom"/>
            <w:tcBorders>
              <w:bottom w:val="single" w:sz="8" w:color="E5E9E3"/>
            </w:tcBorders>
            <w:gridSpan w:val="2"/>
            <w:shd w:val="clear" w:color="auto" w:fill="E5E9E3"/>
          </w:tcPr>
          <w:p>
            <w:pPr>
              <w:ind w:left="240"/>
              <w:spacing w:after="0"/>
              <w:rPr>
                <w:sz w:val="20"/>
                <w:szCs w:val="20"/>
                <w:color w:val="auto"/>
              </w:rPr>
            </w:pPr>
            <w:r>
              <w:rPr>
                <w:rFonts w:ascii="Arial" w:cs="Arial" w:eastAsia="Arial" w:hAnsi="Arial"/>
                <w:sz w:val="17"/>
                <w:szCs w:val="17"/>
                <w:color w:val="auto"/>
              </w:rPr>
              <w:t>$1,625,000</w:t>
            </w:r>
          </w:p>
        </w:tc>
        <w:tc>
          <w:tcPr>
            <w:tcW w:w="1200" w:type="dxa"/>
            <w:vAlign w:val="bottom"/>
            <w:tcBorders>
              <w:bottom w:val="single" w:sz="8" w:color="E5E9E3"/>
            </w:tcBorders>
            <w:shd w:val="clear" w:color="auto" w:fill="E5E9E3"/>
          </w:tcPr>
          <w:p>
            <w:pPr>
              <w:jc w:val="right"/>
              <w:ind w:right="81"/>
              <w:spacing w:after="0"/>
              <w:rPr>
                <w:sz w:val="20"/>
                <w:szCs w:val="20"/>
                <w:color w:val="auto"/>
              </w:rPr>
            </w:pPr>
            <w:r>
              <w:rPr>
                <w:rFonts w:ascii="Arial" w:cs="Arial" w:eastAsia="Arial" w:hAnsi="Arial"/>
                <w:sz w:val="17"/>
                <w:szCs w:val="17"/>
                <w:color w:val="auto"/>
              </w:rPr>
              <w:t>130%</w:t>
            </w:r>
          </w:p>
        </w:tc>
        <w:tc>
          <w:tcPr>
            <w:tcW w:w="1380" w:type="dxa"/>
            <w:vAlign w:val="bottom"/>
            <w:tcBorders>
              <w:bottom w:val="single" w:sz="8" w:color="E5E9E3"/>
            </w:tcBorders>
            <w:gridSpan w:val="2"/>
            <w:shd w:val="clear" w:color="auto" w:fill="E5E9E3"/>
          </w:tcPr>
          <w:p>
            <w:pPr>
              <w:ind w:left="360"/>
              <w:spacing w:after="0"/>
              <w:rPr>
                <w:sz w:val="20"/>
                <w:szCs w:val="20"/>
                <w:color w:val="auto"/>
              </w:rPr>
            </w:pPr>
            <w:r>
              <w:rPr>
                <w:rFonts w:ascii="Arial" w:cs="Arial" w:eastAsia="Arial" w:hAnsi="Arial"/>
                <w:sz w:val="17"/>
                <w:szCs w:val="17"/>
                <w:color w:val="auto"/>
              </w:rPr>
              <w:t>$1,950,000</w:t>
            </w:r>
          </w:p>
        </w:tc>
        <w:tc>
          <w:tcPr>
            <w:tcW w:w="1380" w:type="dxa"/>
            <w:vAlign w:val="bottom"/>
            <w:tcBorders>
              <w:bottom w:val="single" w:sz="8" w:color="E5E9E3"/>
            </w:tcBorders>
            <w:shd w:val="clear" w:color="auto" w:fill="E5E9E3"/>
          </w:tcPr>
          <w:p>
            <w:pPr>
              <w:jc w:val="right"/>
              <w:ind w:right="81"/>
              <w:spacing w:after="0"/>
              <w:rPr>
                <w:sz w:val="20"/>
                <w:szCs w:val="20"/>
                <w:color w:val="auto"/>
              </w:rPr>
            </w:pPr>
            <w:r>
              <w:rPr>
                <w:rFonts w:ascii="Arial" w:cs="Arial" w:eastAsia="Arial" w:hAnsi="Arial"/>
                <w:sz w:val="17"/>
                <w:szCs w:val="17"/>
                <w:color w:val="auto"/>
              </w:rPr>
              <w:t>156%</w:t>
            </w:r>
          </w:p>
        </w:tc>
        <w:tc>
          <w:tcPr>
            <w:tcW w:w="1180" w:type="dxa"/>
            <w:vAlign w:val="bottom"/>
            <w:tcBorders>
              <w:bottom w:val="single" w:sz="8" w:color="E5E9E3"/>
            </w:tcBorders>
            <w:gridSpan w:val="2"/>
            <w:shd w:val="clear" w:color="auto" w:fill="E5E9E3"/>
          </w:tcPr>
          <w:p>
            <w:pPr>
              <w:ind w:left="160"/>
              <w:spacing w:after="0"/>
              <w:rPr>
                <w:sz w:val="20"/>
                <w:szCs w:val="20"/>
                <w:color w:val="auto"/>
              </w:rPr>
            </w:pPr>
            <w:r>
              <w:rPr>
                <w:rFonts w:ascii="Arial" w:cs="Arial" w:eastAsia="Arial" w:hAnsi="Arial"/>
                <w:sz w:val="17"/>
                <w:szCs w:val="17"/>
                <w:color w:val="auto"/>
              </w:rPr>
              <w:t>$1,944,313</w:t>
            </w:r>
          </w:p>
        </w:tc>
        <w:tc>
          <w:tcPr>
            <w:tcW w:w="1160" w:type="dxa"/>
            <w:vAlign w:val="bottom"/>
            <w:tcBorders>
              <w:bottom w:val="single" w:sz="8" w:color="E5E9E3"/>
            </w:tcBorders>
            <w:shd w:val="clear" w:color="auto" w:fill="E5E9E3"/>
          </w:tcPr>
          <w:p>
            <w:pPr>
              <w:jc w:val="right"/>
              <w:ind w:right="42"/>
              <w:spacing w:after="0"/>
              <w:rPr>
                <w:sz w:val="20"/>
                <w:szCs w:val="20"/>
                <w:color w:val="auto"/>
              </w:rPr>
            </w:pPr>
            <w:r>
              <w:rPr>
                <w:rFonts w:ascii="Arial" w:cs="Arial" w:eastAsia="Arial" w:hAnsi="Arial"/>
                <w:sz w:val="17"/>
                <w:szCs w:val="17"/>
                <w:color w:val="auto"/>
              </w:rPr>
              <w:t>119%</w:t>
            </w:r>
          </w:p>
        </w:tc>
      </w:tr>
      <w:tr>
        <w:trPr>
          <w:trHeight w:val="243"/>
        </w:trPr>
        <w:tc>
          <w:tcPr>
            <w:tcW w:w="1620" w:type="dxa"/>
            <w:vAlign w:val="bottom"/>
          </w:tcPr>
          <w:p>
            <w:pPr>
              <w:ind w:left="60"/>
              <w:spacing w:after="0"/>
              <w:rPr>
                <w:sz w:val="20"/>
                <w:szCs w:val="20"/>
                <w:color w:val="auto"/>
              </w:rPr>
            </w:pPr>
            <w:r>
              <w:rPr>
                <w:rFonts w:ascii="Arial" w:cs="Arial" w:eastAsia="Arial" w:hAnsi="Arial"/>
                <w:sz w:val="17"/>
                <w:szCs w:val="17"/>
                <w:color w:val="auto"/>
              </w:rPr>
              <w:t>Dr. Harpal Gill</w:t>
            </w:r>
          </w:p>
        </w:tc>
        <w:tc>
          <w:tcPr>
            <w:tcW w:w="1260" w:type="dxa"/>
            <w:vAlign w:val="bottom"/>
            <w:gridSpan w:val="2"/>
          </w:tcPr>
          <w:p>
            <w:pPr>
              <w:ind w:left="240"/>
              <w:spacing w:after="0"/>
              <w:rPr>
                <w:sz w:val="20"/>
                <w:szCs w:val="20"/>
                <w:color w:val="auto"/>
              </w:rPr>
            </w:pPr>
            <w:r>
              <w:rPr>
                <w:rFonts w:ascii="Arial" w:cs="Arial" w:eastAsia="Arial" w:hAnsi="Arial"/>
                <w:sz w:val="17"/>
                <w:szCs w:val="17"/>
                <w:color w:val="auto"/>
              </w:rPr>
              <w:t>$1,378,000</w:t>
            </w:r>
          </w:p>
        </w:tc>
        <w:tc>
          <w:tcPr>
            <w:tcW w:w="1200" w:type="dxa"/>
            <w:vAlign w:val="bottom"/>
          </w:tcPr>
          <w:p>
            <w:pPr>
              <w:jc w:val="right"/>
              <w:ind w:right="81"/>
              <w:spacing w:after="0"/>
              <w:rPr>
                <w:sz w:val="20"/>
                <w:szCs w:val="20"/>
                <w:color w:val="auto"/>
              </w:rPr>
            </w:pPr>
            <w:r>
              <w:rPr>
                <w:rFonts w:ascii="Arial" w:cs="Arial" w:eastAsia="Arial" w:hAnsi="Arial"/>
                <w:sz w:val="17"/>
                <w:szCs w:val="17"/>
                <w:color w:val="auto"/>
              </w:rPr>
              <w:t>130%</w:t>
            </w:r>
          </w:p>
        </w:tc>
        <w:tc>
          <w:tcPr>
            <w:tcW w:w="1380" w:type="dxa"/>
            <w:vAlign w:val="bottom"/>
            <w:gridSpan w:val="2"/>
          </w:tcPr>
          <w:p>
            <w:pPr>
              <w:ind w:left="360"/>
              <w:spacing w:after="0"/>
              <w:rPr>
                <w:sz w:val="20"/>
                <w:szCs w:val="20"/>
                <w:color w:val="auto"/>
              </w:rPr>
            </w:pPr>
            <w:r>
              <w:rPr>
                <w:rFonts w:ascii="Arial" w:cs="Arial" w:eastAsia="Arial" w:hAnsi="Arial"/>
                <w:sz w:val="17"/>
                <w:szCs w:val="17"/>
                <w:color w:val="auto"/>
              </w:rPr>
              <w:t>$1,653,600</w:t>
            </w:r>
          </w:p>
        </w:tc>
        <w:tc>
          <w:tcPr>
            <w:tcW w:w="1380" w:type="dxa"/>
            <w:vAlign w:val="bottom"/>
          </w:tcPr>
          <w:p>
            <w:pPr>
              <w:jc w:val="right"/>
              <w:ind w:right="81"/>
              <w:spacing w:after="0"/>
              <w:rPr>
                <w:sz w:val="20"/>
                <w:szCs w:val="20"/>
                <w:color w:val="auto"/>
              </w:rPr>
            </w:pPr>
            <w:r>
              <w:rPr>
                <w:rFonts w:ascii="Arial" w:cs="Arial" w:eastAsia="Arial" w:hAnsi="Arial"/>
                <w:sz w:val="17"/>
                <w:szCs w:val="17"/>
                <w:color w:val="auto"/>
              </w:rPr>
              <w:t>156%</w:t>
            </w:r>
          </w:p>
        </w:tc>
        <w:tc>
          <w:tcPr>
            <w:tcW w:w="1180" w:type="dxa"/>
            <w:vAlign w:val="bottom"/>
            <w:gridSpan w:val="2"/>
          </w:tcPr>
          <w:p>
            <w:pPr>
              <w:ind w:left="160"/>
              <w:spacing w:after="0"/>
              <w:rPr>
                <w:sz w:val="20"/>
                <w:szCs w:val="20"/>
                <w:color w:val="auto"/>
              </w:rPr>
            </w:pPr>
            <w:r>
              <w:rPr>
                <w:rFonts w:ascii="Arial" w:cs="Arial" w:eastAsia="Arial" w:hAnsi="Arial"/>
                <w:sz w:val="17"/>
                <w:szCs w:val="17"/>
                <w:color w:val="auto"/>
              </w:rPr>
              <w:t>$1,648,777</w:t>
            </w:r>
          </w:p>
        </w:tc>
        <w:tc>
          <w:tcPr>
            <w:tcW w:w="1160" w:type="dxa"/>
            <w:vAlign w:val="bottom"/>
          </w:tcPr>
          <w:p>
            <w:pPr>
              <w:jc w:val="right"/>
              <w:ind w:right="42"/>
              <w:spacing w:after="0"/>
              <w:rPr>
                <w:sz w:val="20"/>
                <w:szCs w:val="20"/>
                <w:color w:val="auto"/>
              </w:rPr>
            </w:pPr>
            <w:r>
              <w:rPr>
                <w:rFonts w:ascii="Arial" w:cs="Arial" w:eastAsia="Arial" w:hAnsi="Arial"/>
                <w:sz w:val="17"/>
                <w:szCs w:val="17"/>
                <w:color w:val="auto"/>
              </w:rPr>
              <w:t>119%</w:t>
            </w:r>
          </w:p>
        </w:tc>
      </w:tr>
      <w:tr>
        <w:trPr>
          <w:trHeight w:val="27"/>
        </w:trPr>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620" w:type="dxa"/>
            <w:vAlign w:val="bottom"/>
            <w:tcBorders>
              <w:bottom w:val="single" w:sz="8" w:color="E5E9E3"/>
            </w:tcBorders>
            <w:shd w:val="clear" w:color="auto" w:fill="E5E9E3"/>
          </w:tcPr>
          <w:p>
            <w:pPr>
              <w:ind w:left="60"/>
              <w:spacing w:after="0"/>
              <w:rPr>
                <w:sz w:val="20"/>
                <w:szCs w:val="20"/>
                <w:color w:val="auto"/>
              </w:rPr>
            </w:pPr>
            <w:r>
              <w:rPr>
                <w:rFonts w:ascii="Arial" w:cs="Arial" w:eastAsia="Arial" w:hAnsi="Arial"/>
                <w:sz w:val="17"/>
                <w:szCs w:val="17"/>
                <w:color w:val="auto"/>
              </w:rPr>
              <w:t>Csaba Sverha</w:t>
            </w:r>
          </w:p>
        </w:tc>
        <w:tc>
          <w:tcPr>
            <w:tcW w:w="380" w:type="dxa"/>
            <w:vAlign w:val="bottom"/>
            <w:tcBorders>
              <w:bottom w:val="single" w:sz="8" w:color="E5E9E3"/>
            </w:tcBorders>
            <w:shd w:val="clear" w:color="auto" w:fill="E5E9E3"/>
          </w:tcPr>
          <w:p>
            <w:pPr>
              <w:ind w:left="2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E5E9E3"/>
            </w:tcBorders>
            <w:shd w:val="clear" w:color="auto" w:fill="E5E9E3"/>
          </w:tcPr>
          <w:p>
            <w:pPr>
              <w:jc w:val="right"/>
              <w:ind w:right="99"/>
              <w:spacing w:after="0"/>
              <w:rPr>
                <w:sz w:val="20"/>
                <w:szCs w:val="20"/>
                <w:color w:val="auto"/>
              </w:rPr>
            </w:pPr>
            <w:r>
              <w:rPr>
                <w:rFonts w:ascii="Arial" w:cs="Arial" w:eastAsia="Arial" w:hAnsi="Arial"/>
                <w:sz w:val="17"/>
                <w:szCs w:val="17"/>
                <w:color w:val="auto"/>
              </w:rPr>
              <w:t>501,500</w:t>
            </w:r>
          </w:p>
        </w:tc>
        <w:tc>
          <w:tcPr>
            <w:tcW w:w="1200" w:type="dxa"/>
            <w:vAlign w:val="bottom"/>
            <w:tcBorders>
              <w:bottom w:val="single" w:sz="8" w:color="E5E9E3"/>
            </w:tcBorders>
            <w:shd w:val="clear" w:color="auto" w:fill="E5E9E3"/>
          </w:tcPr>
          <w:p>
            <w:pPr>
              <w:jc w:val="right"/>
              <w:ind w:right="81"/>
              <w:spacing w:after="0"/>
              <w:rPr>
                <w:sz w:val="20"/>
                <w:szCs w:val="20"/>
                <w:color w:val="auto"/>
              </w:rPr>
            </w:pPr>
            <w:r>
              <w:rPr>
                <w:rFonts w:ascii="Arial" w:cs="Arial" w:eastAsia="Arial" w:hAnsi="Arial"/>
                <w:sz w:val="17"/>
                <w:szCs w:val="17"/>
                <w:color w:val="auto"/>
              </w:rPr>
              <w:t>85%</w:t>
            </w:r>
          </w:p>
        </w:tc>
        <w:tc>
          <w:tcPr>
            <w:tcW w:w="520" w:type="dxa"/>
            <w:vAlign w:val="bottom"/>
            <w:tcBorders>
              <w:bottom w:val="single" w:sz="8" w:color="E5E9E3"/>
            </w:tcBorders>
            <w:shd w:val="clear" w:color="auto" w:fill="E5E9E3"/>
          </w:tcPr>
          <w:p>
            <w:pPr>
              <w:ind w:left="3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E5E9E3"/>
            </w:tcBorders>
            <w:shd w:val="clear" w:color="auto" w:fill="E5E9E3"/>
          </w:tcPr>
          <w:p>
            <w:pPr>
              <w:jc w:val="right"/>
              <w:ind w:right="95"/>
              <w:spacing w:after="0"/>
              <w:rPr>
                <w:sz w:val="20"/>
                <w:szCs w:val="20"/>
                <w:color w:val="auto"/>
              </w:rPr>
            </w:pPr>
            <w:r>
              <w:rPr>
                <w:rFonts w:ascii="Arial" w:cs="Arial" w:eastAsia="Arial" w:hAnsi="Arial"/>
                <w:sz w:val="17"/>
                <w:szCs w:val="17"/>
                <w:color w:val="auto"/>
              </w:rPr>
              <w:t>601,800</w:t>
            </w:r>
          </w:p>
        </w:tc>
        <w:tc>
          <w:tcPr>
            <w:tcW w:w="1380" w:type="dxa"/>
            <w:vAlign w:val="bottom"/>
            <w:tcBorders>
              <w:bottom w:val="single" w:sz="8" w:color="E5E9E3"/>
            </w:tcBorders>
            <w:shd w:val="clear" w:color="auto" w:fill="E5E9E3"/>
          </w:tcPr>
          <w:p>
            <w:pPr>
              <w:jc w:val="right"/>
              <w:ind w:right="81"/>
              <w:spacing w:after="0"/>
              <w:rPr>
                <w:sz w:val="20"/>
                <w:szCs w:val="20"/>
                <w:color w:val="auto"/>
              </w:rPr>
            </w:pPr>
            <w:r>
              <w:rPr>
                <w:rFonts w:ascii="Arial" w:cs="Arial" w:eastAsia="Arial" w:hAnsi="Arial"/>
                <w:sz w:val="17"/>
                <w:szCs w:val="17"/>
                <w:color w:val="auto"/>
              </w:rPr>
              <w:t>102%</w:t>
            </w:r>
          </w:p>
        </w:tc>
        <w:tc>
          <w:tcPr>
            <w:tcW w:w="320" w:type="dxa"/>
            <w:vAlign w:val="bottom"/>
            <w:tcBorders>
              <w:bottom w:val="single" w:sz="8" w:color="E5E9E3"/>
            </w:tcBorders>
            <w:shd w:val="clear" w:color="auto" w:fill="E5E9E3"/>
          </w:tcPr>
          <w:p>
            <w:pPr>
              <w:ind w:left="1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E5E9E3"/>
            </w:tcBorders>
            <w:shd w:val="clear" w:color="auto" w:fill="E5E9E3"/>
          </w:tcPr>
          <w:p>
            <w:pPr>
              <w:jc w:val="right"/>
              <w:ind w:right="99"/>
              <w:spacing w:after="0"/>
              <w:rPr>
                <w:sz w:val="20"/>
                <w:szCs w:val="20"/>
                <w:color w:val="auto"/>
              </w:rPr>
            </w:pPr>
            <w:r>
              <w:rPr>
                <w:rFonts w:ascii="Arial" w:cs="Arial" w:eastAsia="Arial" w:hAnsi="Arial"/>
                <w:sz w:val="17"/>
                <w:szCs w:val="17"/>
                <w:color w:val="auto"/>
              </w:rPr>
              <w:t>600,045</w:t>
            </w:r>
          </w:p>
        </w:tc>
        <w:tc>
          <w:tcPr>
            <w:tcW w:w="1160" w:type="dxa"/>
            <w:vAlign w:val="bottom"/>
            <w:tcBorders>
              <w:bottom w:val="single" w:sz="8" w:color="E5E9E3"/>
            </w:tcBorders>
            <w:shd w:val="clear" w:color="auto" w:fill="E5E9E3"/>
          </w:tcPr>
          <w:p>
            <w:pPr>
              <w:jc w:val="right"/>
              <w:ind w:right="42"/>
              <w:spacing w:after="0"/>
              <w:rPr>
                <w:sz w:val="20"/>
                <w:szCs w:val="20"/>
                <w:color w:val="auto"/>
              </w:rPr>
            </w:pPr>
            <w:r>
              <w:rPr>
                <w:rFonts w:ascii="Arial" w:cs="Arial" w:eastAsia="Arial" w:hAnsi="Arial"/>
                <w:sz w:val="17"/>
                <w:szCs w:val="17"/>
                <w:color w:val="auto"/>
              </w:rPr>
              <w:t>119%</w:t>
            </w:r>
          </w:p>
        </w:tc>
      </w:tr>
      <w:tr>
        <w:trPr>
          <w:trHeight w:val="230"/>
        </w:trPr>
        <w:tc>
          <w:tcPr>
            <w:tcW w:w="1620" w:type="dxa"/>
            <w:vAlign w:val="bottom"/>
          </w:tcPr>
          <w:p>
            <w:pPr>
              <w:ind w:left="60"/>
              <w:spacing w:after="0"/>
              <w:rPr>
                <w:sz w:val="20"/>
                <w:szCs w:val="20"/>
                <w:color w:val="auto"/>
              </w:rPr>
            </w:pPr>
            <w:r>
              <w:rPr>
                <w:rFonts w:ascii="Arial" w:cs="Arial" w:eastAsia="Arial" w:hAnsi="Arial"/>
                <w:sz w:val="17"/>
                <w:szCs w:val="17"/>
                <w:color w:val="auto"/>
              </w:rPr>
              <w:t>Edward T. Archer</w:t>
            </w:r>
          </w:p>
        </w:tc>
        <w:tc>
          <w:tcPr>
            <w:tcW w:w="380" w:type="dxa"/>
            <w:vAlign w:val="bottom"/>
          </w:tcPr>
          <w:p>
            <w:pPr>
              <w:ind w:left="2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9"/>
              <w:spacing w:after="0"/>
              <w:rPr>
                <w:sz w:val="20"/>
                <w:szCs w:val="20"/>
                <w:color w:val="auto"/>
              </w:rPr>
            </w:pPr>
            <w:r>
              <w:rPr>
                <w:rFonts w:ascii="Arial" w:cs="Arial" w:eastAsia="Arial" w:hAnsi="Arial"/>
                <w:sz w:val="17"/>
                <w:szCs w:val="17"/>
                <w:color w:val="auto"/>
              </w:rPr>
              <w:t>408,000</w:t>
            </w:r>
          </w:p>
        </w:tc>
        <w:tc>
          <w:tcPr>
            <w:tcW w:w="1200" w:type="dxa"/>
            <w:vAlign w:val="bottom"/>
          </w:tcPr>
          <w:p>
            <w:pPr>
              <w:jc w:val="right"/>
              <w:ind w:right="81"/>
              <w:spacing w:after="0"/>
              <w:rPr>
                <w:sz w:val="20"/>
                <w:szCs w:val="20"/>
                <w:color w:val="auto"/>
              </w:rPr>
            </w:pPr>
            <w:r>
              <w:rPr>
                <w:rFonts w:ascii="Arial" w:cs="Arial" w:eastAsia="Arial" w:hAnsi="Arial"/>
                <w:sz w:val="17"/>
                <w:szCs w:val="17"/>
                <w:color w:val="auto"/>
              </w:rPr>
              <w:t>80%</w:t>
            </w:r>
          </w:p>
        </w:tc>
        <w:tc>
          <w:tcPr>
            <w:tcW w:w="520" w:type="dxa"/>
            <w:vAlign w:val="bottom"/>
          </w:tcPr>
          <w:p>
            <w:pPr>
              <w:ind w:left="3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5"/>
              <w:spacing w:after="0"/>
              <w:rPr>
                <w:sz w:val="20"/>
                <w:szCs w:val="20"/>
                <w:color w:val="auto"/>
              </w:rPr>
            </w:pPr>
            <w:r>
              <w:rPr>
                <w:rFonts w:ascii="Arial" w:cs="Arial" w:eastAsia="Arial" w:hAnsi="Arial"/>
                <w:sz w:val="17"/>
                <w:szCs w:val="17"/>
                <w:color w:val="auto"/>
              </w:rPr>
              <w:t>489,600</w:t>
            </w:r>
          </w:p>
        </w:tc>
        <w:tc>
          <w:tcPr>
            <w:tcW w:w="1380" w:type="dxa"/>
            <w:vAlign w:val="bottom"/>
          </w:tcPr>
          <w:p>
            <w:pPr>
              <w:jc w:val="right"/>
              <w:ind w:right="81"/>
              <w:spacing w:after="0"/>
              <w:rPr>
                <w:sz w:val="20"/>
                <w:szCs w:val="20"/>
                <w:color w:val="auto"/>
              </w:rPr>
            </w:pPr>
            <w:r>
              <w:rPr>
                <w:rFonts w:ascii="Arial" w:cs="Arial" w:eastAsia="Arial" w:hAnsi="Arial"/>
                <w:sz w:val="17"/>
                <w:szCs w:val="17"/>
                <w:color w:val="auto"/>
              </w:rPr>
              <w:t>96%</w:t>
            </w:r>
          </w:p>
        </w:tc>
        <w:tc>
          <w:tcPr>
            <w:tcW w:w="320" w:type="dxa"/>
            <w:vAlign w:val="bottom"/>
          </w:tcPr>
          <w:p>
            <w:pPr>
              <w:ind w:left="1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9"/>
              <w:spacing w:after="0"/>
              <w:rPr>
                <w:sz w:val="20"/>
                <w:szCs w:val="20"/>
                <w:color w:val="auto"/>
              </w:rPr>
            </w:pPr>
            <w:r>
              <w:rPr>
                <w:rFonts w:ascii="Arial" w:cs="Arial" w:eastAsia="Arial" w:hAnsi="Arial"/>
                <w:sz w:val="17"/>
                <w:szCs w:val="17"/>
                <w:color w:val="auto"/>
              </w:rPr>
              <w:t>488,172</w:t>
            </w:r>
          </w:p>
        </w:tc>
        <w:tc>
          <w:tcPr>
            <w:tcW w:w="1160" w:type="dxa"/>
            <w:vAlign w:val="bottom"/>
          </w:tcPr>
          <w:p>
            <w:pPr>
              <w:jc w:val="right"/>
              <w:ind w:right="42"/>
              <w:spacing w:after="0"/>
              <w:rPr>
                <w:sz w:val="20"/>
                <w:szCs w:val="20"/>
                <w:color w:val="auto"/>
              </w:rPr>
            </w:pPr>
            <w:r>
              <w:rPr>
                <w:rFonts w:ascii="Arial" w:cs="Arial" w:eastAsia="Arial" w:hAnsi="Arial"/>
                <w:sz w:val="17"/>
                <w:szCs w:val="17"/>
                <w:color w:val="auto"/>
              </w:rPr>
              <w:t>119%</w:t>
            </w:r>
          </w:p>
        </w:tc>
      </w:tr>
      <w:tr>
        <w:trPr>
          <w:trHeight w:val="94"/>
        </w:trPr>
        <w:tc>
          <w:tcPr>
            <w:tcW w:w="1620" w:type="dxa"/>
            <w:vAlign w:val="bottom"/>
            <w:shd w:val="clear" w:color="auto" w:fill="819F7C"/>
          </w:tcPr>
          <w:p>
            <w:pPr>
              <w:spacing w:after="0"/>
              <w:rPr>
                <w:sz w:val="8"/>
                <w:szCs w:val="8"/>
                <w:color w:val="auto"/>
              </w:rPr>
            </w:pPr>
          </w:p>
        </w:tc>
        <w:tc>
          <w:tcPr>
            <w:tcW w:w="380" w:type="dxa"/>
            <w:vAlign w:val="bottom"/>
            <w:shd w:val="clear" w:color="auto" w:fill="819F7C"/>
          </w:tcPr>
          <w:p>
            <w:pPr>
              <w:spacing w:after="0"/>
              <w:rPr>
                <w:sz w:val="8"/>
                <w:szCs w:val="8"/>
                <w:color w:val="auto"/>
              </w:rPr>
            </w:pPr>
          </w:p>
        </w:tc>
        <w:tc>
          <w:tcPr>
            <w:tcW w:w="880" w:type="dxa"/>
            <w:vAlign w:val="bottom"/>
            <w:shd w:val="clear" w:color="auto" w:fill="819F7C"/>
          </w:tcPr>
          <w:p>
            <w:pPr>
              <w:spacing w:after="0"/>
              <w:rPr>
                <w:sz w:val="8"/>
                <w:szCs w:val="8"/>
                <w:color w:val="auto"/>
              </w:rPr>
            </w:pPr>
          </w:p>
        </w:tc>
        <w:tc>
          <w:tcPr>
            <w:tcW w:w="1200" w:type="dxa"/>
            <w:vAlign w:val="bottom"/>
            <w:shd w:val="clear" w:color="auto" w:fill="819F7C"/>
          </w:tcPr>
          <w:p>
            <w:pPr>
              <w:spacing w:after="0"/>
              <w:rPr>
                <w:sz w:val="8"/>
                <w:szCs w:val="8"/>
                <w:color w:val="auto"/>
              </w:rPr>
            </w:pPr>
          </w:p>
        </w:tc>
        <w:tc>
          <w:tcPr>
            <w:tcW w:w="520" w:type="dxa"/>
            <w:vAlign w:val="bottom"/>
            <w:shd w:val="clear" w:color="auto" w:fill="819F7C"/>
          </w:tcPr>
          <w:p>
            <w:pPr>
              <w:spacing w:after="0"/>
              <w:rPr>
                <w:sz w:val="8"/>
                <w:szCs w:val="8"/>
                <w:color w:val="auto"/>
              </w:rPr>
            </w:pPr>
          </w:p>
        </w:tc>
        <w:tc>
          <w:tcPr>
            <w:tcW w:w="860" w:type="dxa"/>
            <w:vAlign w:val="bottom"/>
            <w:shd w:val="clear" w:color="auto" w:fill="819F7C"/>
          </w:tcPr>
          <w:p>
            <w:pPr>
              <w:spacing w:after="0"/>
              <w:rPr>
                <w:sz w:val="8"/>
                <w:szCs w:val="8"/>
                <w:color w:val="auto"/>
              </w:rPr>
            </w:pPr>
          </w:p>
        </w:tc>
        <w:tc>
          <w:tcPr>
            <w:tcW w:w="1380" w:type="dxa"/>
            <w:vAlign w:val="bottom"/>
            <w:shd w:val="clear" w:color="auto" w:fill="819F7C"/>
          </w:tcPr>
          <w:p>
            <w:pPr>
              <w:spacing w:after="0"/>
              <w:rPr>
                <w:sz w:val="8"/>
                <w:szCs w:val="8"/>
                <w:color w:val="auto"/>
              </w:rPr>
            </w:pPr>
          </w:p>
        </w:tc>
        <w:tc>
          <w:tcPr>
            <w:tcW w:w="320" w:type="dxa"/>
            <w:vAlign w:val="bottom"/>
            <w:shd w:val="clear" w:color="auto" w:fill="819F7C"/>
          </w:tcPr>
          <w:p>
            <w:pPr>
              <w:spacing w:after="0"/>
              <w:rPr>
                <w:sz w:val="8"/>
                <w:szCs w:val="8"/>
                <w:color w:val="auto"/>
              </w:rPr>
            </w:pPr>
          </w:p>
        </w:tc>
        <w:tc>
          <w:tcPr>
            <w:tcW w:w="860" w:type="dxa"/>
            <w:vAlign w:val="bottom"/>
            <w:shd w:val="clear" w:color="auto" w:fill="819F7C"/>
          </w:tcPr>
          <w:p>
            <w:pPr>
              <w:spacing w:after="0"/>
              <w:rPr>
                <w:sz w:val="8"/>
                <w:szCs w:val="8"/>
                <w:color w:val="auto"/>
              </w:rPr>
            </w:pPr>
          </w:p>
        </w:tc>
        <w:tc>
          <w:tcPr>
            <w:tcW w:w="1160" w:type="dxa"/>
            <w:vAlign w:val="bottom"/>
            <w:shd w:val="clear" w:color="auto" w:fill="819F7C"/>
          </w:tcPr>
          <w:p>
            <w:pPr>
              <w:spacing w:after="0"/>
              <w:rPr>
                <w:sz w:val="8"/>
                <w:szCs w:val="8"/>
                <w:color w:val="auto"/>
              </w:rPr>
            </w:pPr>
          </w:p>
        </w:tc>
      </w:tr>
    </w:tbl>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Equity Incentive Awards</w:t>
      </w:r>
    </w:p>
    <w:p>
      <w:pPr>
        <w:sectPr>
          <w:pgSz w:w="11900" w:h="16838" w:orient="portrait"/>
          <w:cols w:equalWidth="0" w:num="1">
            <w:col w:w="9240"/>
          </w:cols>
          <w:pgMar w:left="1300" w:top="114" w:right="1359" w:bottom="1440" w:gutter="0" w:footer="0" w:header="0"/>
          <w:type w:val="continuous"/>
        </w:sectPr>
      </w:pPr>
    </w:p>
    <w:p>
      <w:pPr>
        <w:spacing w:after="0" w:line="115"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Our equity incentive plans are a critical component of the compensation program that we believe incentivizes our executive officers and key employees to focus on building shareholder value through meeting long-term financial and strategic goals. We currently grant RSUs and PSUs to our executive officers under the 2020 Plan. We also adopted our 2017 Inducement Equity Incentive Plan in November 2017 solely for the granting of inducement share options and other equity awards to new employees. RSUs function as a retention incentive for our executives as they generally vest annually over a three or four-year period after the date of grant, subject to the executive’s continued service with us.</w:t>
      </w:r>
    </w:p>
    <w:p>
      <w:pPr>
        <w:spacing w:after="0" w:line="81"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color w:val="auto"/>
        </w:rPr>
        <w:t>In furtherance of our commitment to the executive compensation program’s philosophy to pay for performance and to help align more closely the interests of our executive officers with those of our shareholders and consistent with the practice it adopted in August 2016, the Compensation Committee granted PSUs to our Named Officers in August 2023 that will be earned, if at all, following a cumulative 2-year performance period covering fiscal 2024 and fiscal 2025. Any earned PSUs will vest in full on the date the Compensation Committee</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certifies achievement of the performance criteria described below. The Compensation Committee also granted time-based RSUs to our Named Officers in fiscal 2024.</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fiscal 2024, equity award grants to our Named Officers were weighted heavily toward performance, as shown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200" w:type="dxa"/>
            <w:vAlign w:val="bottom"/>
            <w:shd w:val="clear" w:color="auto" w:fill="819F7C"/>
          </w:tcPr>
          <w:p>
            <w:pPr>
              <w:spacing w:after="0"/>
              <w:rPr>
                <w:sz w:val="22"/>
                <w:szCs w:val="22"/>
                <w:color w:val="auto"/>
              </w:rPr>
            </w:pPr>
          </w:p>
        </w:tc>
        <w:tc>
          <w:tcPr>
            <w:tcW w:w="1780" w:type="dxa"/>
            <w:vAlign w:val="bottom"/>
            <w:shd w:val="clear" w:color="auto" w:fill="819F7C"/>
          </w:tcPr>
          <w:p>
            <w:pPr>
              <w:jc w:val="center"/>
              <w:ind w:left="1"/>
              <w:spacing w:after="0"/>
              <w:rPr>
                <w:sz w:val="20"/>
                <w:szCs w:val="20"/>
                <w:color w:val="auto"/>
              </w:rPr>
            </w:pPr>
            <w:r>
              <w:rPr>
                <w:rFonts w:ascii="Arial" w:cs="Arial" w:eastAsia="Arial" w:hAnsi="Arial"/>
                <w:sz w:val="14"/>
                <w:szCs w:val="14"/>
                <w:b w:val="1"/>
                <w:bCs w:val="1"/>
                <w:color w:val="FFFFFF"/>
              </w:rPr>
              <w:t>% of FY24</w:t>
            </w:r>
          </w:p>
        </w:tc>
        <w:tc>
          <w:tcPr>
            <w:tcW w:w="1460" w:type="dxa"/>
            <w:vAlign w:val="bottom"/>
            <w:shd w:val="clear" w:color="auto" w:fill="819F7C"/>
          </w:tcPr>
          <w:p>
            <w:pPr>
              <w:jc w:val="center"/>
              <w:ind w:right="101"/>
              <w:spacing w:after="0"/>
              <w:rPr>
                <w:sz w:val="20"/>
                <w:szCs w:val="20"/>
                <w:color w:val="auto"/>
              </w:rPr>
            </w:pPr>
            <w:r>
              <w:rPr>
                <w:rFonts w:ascii="Arial" w:cs="Arial" w:eastAsia="Arial" w:hAnsi="Arial"/>
                <w:sz w:val="14"/>
                <w:szCs w:val="14"/>
                <w:b w:val="1"/>
                <w:bCs w:val="1"/>
                <w:color w:val="FFFFFF"/>
              </w:rPr>
              <w:t>% of FY24</w:t>
            </w:r>
          </w:p>
        </w:tc>
      </w:tr>
      <w:tr>
        <w:trPr>
          <w:trHeight w:val="162"/>
        </w:trPr>
        <w:tc>
          <w:tcPr>
            <w:tcW w:w="1200" w:type="dxa"/>
            <w:vAlign w:val="bottom"/>
            <w:shd w:val="clear" w:color="auto" w:fill="819F7C"/>
          </w:tcPr>
          <w:p>
            <w:pPr>
              <w:spacing w:after="0"/>
              <w:rPr>
                <w:sz w:val="14"/>
                <w:szCs w:val="14"/>
                <w:color w:val="auto"/>
              </w:rPr>
            </w:pPr>
          </w:p>
        </w:tc>
        <w:tc>
          <w:tcPr>
            <w:tcW w:w="1780" w:type="dxa"/>
            <w:vAlign w:val="bottom"/>
            <w:shd w:val="clear" w:color="auto" w:fill="819F7C"/>
          </w:tcPr>
          <w:p>
            <w:pPr>
              <w:jc w:val="center"/>
              <w:ind w:left="61"/>
              <w:spacing w:after="0"/>
              <w:rPr>
                <w:sz w:val="20"/>
                <w:szCs w:val="20"/>
                <w:color w:val="auto"/>
              </w:rPr>
            </w:pPr>
            <w:r>
              <w:rPr>
                <w:rFonts w:ascii="Arial" w:cs="Arial" w:eastAsia="Arial" w:hAnsi="Arial"/>
                <w:sz w:val="14"/>
                <w:szCs w:val="14"/>
                <w:b w:val="1"/>
                <w:bCs w:val="1"/>
                <w:color w:val="FFFFFF"/>
              </w:rPr>
              <w:t>Performance-Based</w:t>
            </w:r>
          </w:p>
        </w:tc>
        <w:tc>
          <w:tcPr>
            <w:tcW w:w="1460" w:type="dxa"/>
            <w:vAlign w:val="bottom"/>
            <w:shd w:val="clear" w:color="auto" w:fill="819F7C"/>
          </w:tcPr>
          <w:p>
            <w:pPr>
              <w:jc w:val="center"/>
              <w:ind w:right="101"/>
              <w:spacing w:after="0"/>
              <w:rPr>
                <w:sz w:val="20"/>
                <w:szCs w:val="20"/>
                <w:color w:val="auto"/>
              </w:rPr>
            </w:pPr>
            <w:r>
              <w:rPr>
                <w:rFonts w:ascii="Arial" w:cs="Arial" w:eastAsia="Arial" w:hAnsi="Arial"/>
                <w:sz w:val="14"/>
                <w:szCs w:val="14"/>
                <w:b w:val="1"/>
                <w:bCs w:val="1"/>
                <w:color w:val="FFFFFF"/>
              </w:rPr>
              <w:t>Time-Based</w:t>
            </w:r>
          </w:p>
        </w:tc>
      </w:tr>
      <w:tr>
        <w:trPr>
          <w:trHeight w:val="162"/>
        </w:trPr>
        <w:tc>
          <w:tcPr>
            <w:tcW w:w="1200" w:type="dxa"/>
            <w:vAlign w:val="bottom"/>
            <w:shd w:val="clear" w:color="auto" w:fill="819F7C"/>
          </w:tcPr>
          <w:p>
            <w:pPr>
              <w:spacing w:after="0"/>
              <w:rPr>
                <w:sz w:val="14"/>
                <w:szCs w:val="14"/>
                <w:color w:val="auto"/>
              </w:rPr>
            </w:pPr>
          </w:p>
        </w:tc>
        <w:tc>
          <w:tcPr>
            <w:tcW w:w="1780" w:type="dxa"/>
            <w:vAlign w:val="bottom"/>
            <w:shd w:val="clear" w:color="auto" w:fill="819F7C"/>
          </w:tcPr>
          <w:p>
            <w:pPr>
              <w:jc w:val="center"/>
              <w:ind w:left="21"/>
              <w:spacing w:after="0"/>
              <w:rPr>
                <w:sz w:val="20"/>
                <w:szCs w:val="20"/>
                <w:color w:val="auto"/>
              </w:rPr>
            </w:pPr>
            <w:r>
              <w:rPr>
                <w:rFonts w:ascii="Arial" w:cs="Arial" w:eastAsia="Arial" w:hAnsi="Arial"/>
                <w:sz w:val="14"/>
                <w:szCs w:val="14"/>
                <w:b w:val="1"/>
                <w:bCs w:val="1"/>
                <w:color w:val="FFFFFF"/>
              </w:rPr>
              <w:t>Equity Awards</w:t>
            </w:r>
          </w:p>
        </w:tc>
        <w:tc>
          <w:tcPr>
            <w:tcW w:w="1460" w:type="dxa"/>
            <w:vAlign w:val="bottom"/>
            <w:shd w:val="clear" w:color="auto" w:fill="819F7C"/>
          </w:tcPr>
          <w:p>
            <w:pPr>
              <w:jc w:val="center"/>
              <w:ind w:right="101"/>
              <w:spacing w:after="0"/>
              <w:rPr>
                <w:sz w:val="20"/>
                <w:szCs w:val="20"/>
                <w:color w:val="auto"/>
              </w:rPr>
            </w:pPr>
            <w:r>
              <w:rPr>
                <w:rFonts w:ascii="Arial" w:cs="Arial" w:eastAsia="Arial" w:hAnsi="Arial"/>
                <w:sz w:val="14"/>
                <w:szCs w:val="14"/>
                <w:b w:val="1"/>
                <w:bCs w:val="1"/>
                <w:color w:val="FFFFFF"/>
              </w:rPr>
              <w:t>Equity Awards</w:t>
            </w:r>
          </w:p>
        </w:tc>
      </w:tr>
      <w:tr>
        <w:trPr>
          <w:trHeight w:val="205"/>
        </w:trPr>
        <w:tc>
          <w:tcPr>
            <w:tcW w:w="120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1780" w:type="dxa"/>
            <w:vAlign w:val="bottom"/>
            <w:tcBorders>
              <w:bottom w:val="single" w:sz="8" w:color="819F7C"/>
            </w:tcBorders>
            <w:shd w:val="clear" w:color="auto" w:fill="819F7C"/>
          </w:tcPr>
          <w:p>
            <w:pPr>
              <w:jc w:val="center"/>
              <w:ind w:left="41"/>
              <w:spacing w:after="0"/>
              <w:rPr>
                <w:sz w:val="20"/>
                <w:szCs w:val="20"/>
                <w:color w:val="auto"/>
              </w:rPr>
            </w:pPr>
            <w:r>
              <w:rPr>
                <w:rFonts w:ascii="Arial" w:cs="Arial" w:eastAsia="Arial" w:hAnsi="Arial"/>
                <w:sz w:val="14"/>
                <w:szCs w:val="14"/>
                <w:b w:val="1"/>
                <w:bCs w:val="1"/>
                <w:color w:val="FFFFFF"/>
              </w:rPr>
              <w:t>(PSUs)</w:t>
            </w:r>
          </w:p>
        </w:tc>
        <w:tc>
          <w:tcPr>
            <w:tcW w:w="1460" w:type="dxa"/>
            <w:vAlign w:val="bottom"/>
            <w:tcBorders>
              <w:bottom w:val="single" w:sz="8" w:color="819F7C"/>
            </w:tcBorders>
            <w:shd w:val="clear" w:color="auto" w:fill="819F7C"/>
          </w:tcPr>
          <w:p>
            <w:pPr>
              <w:jc w:val="center"/>
              <w:ind w:right="61"/>
              <w:spacing w:after="0"/>
              <w:rPr>
                <w:sz w:val="20"/>
                <w:szCs w:val="20"/>
                <w:color w:val="auto"/>
              </w:rPr>
            </w:pPr>
            <w:r>
              <w:rPr>
                <w:rFonts w:ascii="Arial" w:cs="Arial" w:eastAsia="Arial" w:hAnsi="Arial"/>
                <w:sz w:val="14"/>
                <w:szCs w:val="14"/>
                <w:b w:val="1"/>
                <w:bCs w:val="1"/>
                <w:color w:val="FFFFFF"/>
              </w:rPr>
              <w:t>(RSUs)</w:t>
            </w:r>
          </w:p>
        </w:tc>
      </w:tr>
      <w:tr>
        <w:trPr>
          <w:trHeight w:val="250"/>
        </w:trPr>
        <w:tc>
          <w:tcPr>
            <w:tcW w:w="12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Mr. Grady</w:t>
            </w:r>
          </w:p>
        </w:tc>
        <w:tc>
          <w:tcPr>
            <w:tcW w:w="1780" w:type="dxa"/>
            <w:vAlign w:val="bottom"/>
            <w:tcBorders>
              <w:bottom w:val="single" w:sz="8" w:color="E5E9E3"/>
            </w:tcBorders>
            <w:shd w:val="clear" w:color="auto" w:fill="E5E9E3"/>
          </w:tcPr>
          <w:p>
            <w:pPr>
              <w:jc w:val="center"/>
              <w:ind w:left="41"/>
              <w:spacing w:after="0"/>
              <w:rPr>
                <w:sz w:val="20"/>
                <w:szCs w:val="20"/>
                <w:color w:val="auto"/>
              </w:rPr>
            </w:pPr>
            <w:r>
              <w:rPr>
                <w:rFonts w:ascii="Arial" w:cs="Arial" w:eastAsia="Arial" w:hAnsi="Arial"/>
                <w:sz w:val="17"/>
                <w:szCs w:val="17"/>
                <w:color w:val="auto"/>
                <w:w w:val="99"/>
              </w:rPr>
              <w:t>67%</w:t>
            </w:r>
          </w:p>
        </w:tc>
        <w:tc>
          <w:tcPr>
            <w:tcW w:w="1460" w:type="dxa"/>
            <w:vAlign w:val="bottom"/>
            <w:tcBorders>
              <w:bottom w:val="single" w:sz="8" w:color="E5E9E3"/>
            </w:tcBorders>
            <w:shd w:val="clear" w:color="auto" w:fill="E5E9E3"/>
          </w:tcPr>
          <w:p>
            <w:pPr>
              <w:jc w:val="center"/>
              <w:ind w:right="81"/>
              <w:spacing w:after="0"/>
              <w:rPr>
                <w:sz w:val="20"/>
                <w:szCs w:val="20"/>
                <w:color w:val="auto"/>
              </w:rPr>
            </w:pPr>
            <w:r>
              <w:rPr>
                <w:rFonts w:ascii="Arial" w:cs="Arial" w:eastAsia="Arial" w:hAnsi="Arial"/>
                <w:sz w:val="17"/>
                <w:szCs w:val="17"/>
                <w:color w:val="auto"/>
                <w:w w:val="99"/>
              </w:rPr>
              <w:t>33%</w:t>
            </w:r>
          </w:p>
        </w:tc>
      </w:tr>
      <w:tr>
        <w:trPr>
          <w:trHeight w:val="243"/>
        </w:trPr>
        <w:tc>
          <w:tcPr>
            <w:tcW w:w="1200" w:type="dxa"/>
            <w:vAlign w:val="bottom"/>
          </w:tcPr>
          <w:p>
            <w:pPr>
              <w:ind w:left="80"/>
              <w:spacing w:after="0"/>
              <w:rPr>
                <w:sz w:val="20"/>
                <w:szCs w:val="20"/>
                <w:color w:val="auto"/>
              </w:rPr>
            </w:pPr>
            <w:r>
              <w:rPr>
                <w:rFonts w:ascii="Arial" w:cs="Arial" w:eastAsia="Arial" w:hAnsi="Arial"/>
                <w:sz w:val="17"/>
                <w:szCs w:val="17"/>
                <w:color w:val="auto"/>
              </w:rPr>
              <w:t>Dr. Gill</w:t>
            </w:r>
          </w:p>
        </w:tc>
        <w:tc>
          <w:tcPr>
            <w:tcW w:w="1780" w:type="dxa"/>
            <w:vAlign w:val="bottom"/>
          </w:tcPr>
          <w:p>
            <w:pPr>
              <w:jc w:val="center"/>
              <w:ind w:left="41"/>
              <w:spacing w:after="0"/>
              <w:rPr>
                <w:sz w:val="20"/>
                <w:szCs w:val="20"/>
                <w:color w:val="auto"/>
              </w:rPr>
            </w:pPr>
            <w:r>
              <w:rPr>
                <w:rFonts w:ascii="Arial" w:cs="Arial" w:eastAsia="Arial" w:hAnsi="Arial"/>
                <w:sz w:val="17"/>
                <w:szCs w:val="17"/>
                <w:color w:val="auto"/>
                <w:w w:val="99"/>
              </w:rPr>
              <w:t>67%</w:t>
            </w:r>
          </w:p>
        </w:tc>
        <w:tc>
          <w:tcPr>
            <w:tcW w:w="1460" w:type="dxa"/>
            <w:vAlign w:val="bottom"/>
          </w:tcPr>
          <w:p>
            <w:pPr>
              <w:jc w:val="center"/>
              <w:ind w:right="81"/>
              <w:spacing w:after="0"/>
              <w:rPr>
                <w:sz w:val="20"/>
                <w:szCs w:val="20"/>
                <w:color w:val="auto"/>
              </w:rPr>
            </w:pPr>
            <w:r>
              <w:rPr>
                <w:rFonts w:ascii="Arial" w:cs="Arial" w:eastAsia="Arial" w:hAnsi="Arial"/>
                <w:sz w:val="17"/>
                <w:szCs w:val="17"/>
                <w:color w:val="auto"/>
                <w:w w:val="99"/>
              </w:rPr>
              <w:t>33%</w:t>
            </w:r>
          </w:p>
        </w:tc>
      </w:tr>
      <w:tr>
        <w:trPr>
          <w:trHeight w:val="27"/>
        </w:trPr>
        <w:tc>
          <w:tcPr>
            <w:tcW w:w="1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2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Mr. Sverha</w:t>
            </w:r>
          </w:p>
        </w:tc>
        <w:tc>
          <w:tcPr>
            <w:tcW w:w="1780" w:type="dxa"/>
            <w:vAlign w:val="bottom"/>
            <w:tcBorders>
              <w:bottom w:val="single" w:sz="8" w:color="E5E9E3"/>
            </w:tcBorders>
            <w:shd w:val="clear" w:color="auto" w:fill="E5E9E3"/>
          </w:tcPr>
          <w:p>
            <w:pPr>
              <w:jc w:val="center"/>
              <w:ind w:left="41"/>
              <w:spacing w:after="0"/>
              <w:rPr>
                <w:sz w:val="20"/>
                <w:szCs w:val="20"/>
                <w:color w:val="auto"/>
              </w:rPr>
            </w:pPr>
            <w:r>
              <w:rPr>
                <w:rFonts w:ascii="Arial" w:cs="Arial" w:eastAsia="Arial" w:hAnsi="Arial"/>
                <w:sz w:val="17"/>
                <w:szCs w:val="17"/>
                <w:color w:val="auto"/>
                <w:w w:val="99"/>
              </w:rPr>
              <w:t>67%</w:t>
            </w:r>
          </w:p>
        </w:tc>
        <w:tc>
          <w:tcPr>
            <w:tcW w:w="1460" w:type="dxa"/>
            <w:vAlign w:val="bottom"/>
            <w:tcBorders>
              <w:bottom w:val="single" w:sz="8" w:color="E5E9E3"/>
            </w:tcBorders>
            <w:shd w:val="clear" w:color="auto" w:fill="E5E9E3"/>
          </w:tcPr>
          <w:p>
            <w:pPr>
              <w:jc w:val="center"/>
              <w:ind w:right="81"/>
              <w:spacing w:after="0"/>
              <w:rPr>
                <w:sz w:val="20"/>
                <w:szCs w:val="20"/>
                <w:color w:val="auto"/>
              </w:rPr>
            </w:pPr>
            <w:r>
              <w:rPr>
                <w:rFonts w:ascii="Arial" w:cs="Arial" w:eastAsia="Arial" w:hAnsi="Arial"/>
                <w:sz w:val="17"/>
                <w:szCs w:val="17"/>
                <w:color w:val="auto"/>
                <w:w w:val="99"/>
              </w:rPr>
              <w:t>33%</w:t>
            </w:r>
          </w:p>
        </w:tc>
      </w:tr>
      <w:tr>
        <w:trPr>
          <w:trHeight w:val="229"/>
        </w:trPr>
        <w:tc>
          <w:tcPr>
            <w:tcW w:w="1200" w:type="dxa"/>
            <w:vAlign w:val="bottom"/>
          </w:tcPr>
          <w:p>
            <w:pPr>
              <w:ind w:left="80"/>
              <w:spacing w:after="0"/>
              <w:rPr>
                <w:sz w:val="20"/>
                <w:szCs w:val="20"/>
                <w:color w:val="auto"/>
              </w:rPr>
            </w:pPr>
            <w:r>
              <w:rPr>
                <w:rFonts w:ascii="Arial" w:cs="Arial" w:eastAsia="Arial" w:hAnsi="Arial"/>
                <w:sz w:val="17"/>
                <w:szCs w:val="17"/>
                <w:color w:val="auto"/>
              </w:rPr>
              <w:t>Mr. Archer</w:t>
            </w:r>
          </w:p>
        </w:tc>
        <w:tc>
          <w:tcPr>
            <w:tcW w:w="1780" w:type="dxa"/>
            <w:vAlign w:val="bottom"/>
          </w:tcPr>
          <w:p>
            <w:pPr>
              <w:jc w:val="center"/>
              <w:ind w:left="41"/>
              <w:spacing w:after="0"/>
              <w:rPr>
                <w:sz w:val="20"/>
                <w:szCs w:val="20"/>
                <w:color w:val="auto"/>
              </w:rPr>
            </w:pPr>
            <w:r>
              <w:rPr>
                <w:rFonts w:ascii="Arial" w:cs="Arial" w:eastAsia="Arial" w:hAnsi="Arial"/>
                <w:sz w:val="17"/>
                <w:szCs w:val="17"/>
                <w:color w:val="auto"/>
                <w:w w:val="99"/>
              </w:rPr>
              <w:t>67%</w:t>
            </w:r>
          </w:p>
        </w:tc>
        <w:tc>
          <w:tcPr>
            <w:tcW w:w="1460" w:type="dxa"/>
            <w:vAlign w:val="bottom"/>
          </w:tcPr>
          <w:p>
            <w:pPr>
              <w:jc w:val="center"/>
              <w:ind w:right="81"/>
              <w:spacing w:after="0"/>
              <w:rPr>
                <w:sz w:val="20"/>
                <w:szCs w:val="20"/>
                <w:color w:val="auto"/>
              </w:rPr>
            </w:pPr>
            <w:r>
              <w:rPr>
                <w:rFonts w:ascii="Arial" w:cs="Arial" w:eastAsia="Arial" w:hAnsi="Arial"/>
                <w:sz w:val="17"/>
                <w:szCs w:val="17"/>
                <w:color w:val="auto"/>
                <w:w w:val="99"/>
              </w:rPr>
              <w:t>33%</w:t>
            </w:r>
          </w:p>
        </w:tc>
      </w:tr>
      <w:tr>
        <w:trPr>
          <w:trHeight w:val="95"/>
        </w:trPr>
        <w:tc>
          <w:tcPr>
            <w:tcW w:w="1200" w:type="dxa"/>
            <w:vAlign w:val="bottom"/>
            <w:shd w:val="clear" w:color="auto" w:fill="819F7C"/>
          </w:tcPr>
          <w:p>
            <w:pPr>
              <w:spacing w:after="0"/>
              <w:rPr>
                <w:sz w:val="8"/>
                <w:szCs w:val="8"/>
                <w:color w:val="auto"/>
              </w:rPr>
            </w:pPr>
          </w:p>
        </w:tc>
        <w:tc>
          <w:tcPr>
            <w:tcW w:w="1780" w:type="dxa"/>
            <w:vAlign w:val="bottom"/>
            <w:shd w:val="clear" w:color="auto" w:fill="819F7C"/>
          </w:tcPr>
          <w:p>
            <w:pPr>
              <w:spacing w:after="0"/>
              <w:rPr>
                <w:sz w:val="8"/>
                <w:szCs w:val="8"/>
                <w:color w:val="auto"/>
              </w:rPr>
            </w:pPr>
          </w:p>
        </w:tc>
        <w:tc>
          <w:tcPr>
            <w:tcW w:w="1460" w:type="dxa"/>
            <w:vAlign w:val="bottom"/>
            <w:shd w:val="clear" w:color="auto" w:fill="819F7C"/>
          </w:tcPr>
          <w:p>
            <w:pPr>
              <w:spacing w:after="0"/>
              <w:rPr>
                <w:sz w:val="8"/>
                <w:szCs w:val="8"/>
                <w:color w:val="auto"/>
              </w:rPr>
            </w:pPr>
          </w:p>
        </w:tc>
      </w:tr>
    </w:tbl>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believes that this mix of performance-based awards and service-based awards was appropriate to emphasize and more closely align pay with the achievement of important, key performance metrics that significantly can impact our business success.</w:t>
      </w:r>
    </w:p>
    <w:p>
      <w:pPr>
        <w:spacing w:after="0" w:line="314"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95"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42</w:t>
      </w:r>
      <w:r>
        <w:rPr>
          <w:sz w:val="20"/>
          <w:szCs w:val="20"/>
          <w:color w:val="auto"/>
        </w:rPr>
        <w:tab/>
      </w:r>
      <w:r>
        <w:rPr>
          <w:sz w:val="1"/>
          <w:szCs w:val="1"/>
          <w:color w:val="auto"/>
        </w:rPr>
        <w:drawing>
          <wp:inline distT="0" distB="0" distL="0" distR="0">
            <wp:extent cx="342900" cy="774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48" w:name="page49"/>
    <w:bookmarkEnd w:id="48"/>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The Compensation Committee bases long-term equity incentive award grants to executives on a number of factors, including the Market Data provided by Compensia, the executive’s vested and unvested equity holdings, the executive’s position and total compensation package, and the executive’s contribution to the success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920"/>
        <w:spacing w:after="0" w:line="242" w:lineRule="auto"/>
        <w:rPr>
          <w:sz w:val="20"/>
          <w:szCs w:val="20"/>
          <w:color w:val="auto"/>
        </w:rPr>
      </w:pPr>
      <w:r>
        <w:rPr>
          <w:rFonts w:ascii="Arial" w:cs="Arial" w:eastAsia="Arial" w:hAnsi="Arial"/>
          <w:sz w:val="18"/>
          <w:szCs w:val="18"/>
          <w:color w:val="auto"/>
        </w:rPr>
        <w:t>financial performance. In August 2023, the Compensation Committee granted the following dollar value (assuming achievement of the highest level of performance conditions where applicable) of RSUs, PSUs and “stretch” PSUs (“</w:t>
      </w:r>
      <w:r>
        <w:rPr>
          <w:rFonts w:ascii="Arial" w:cs="Arial" w:eastAsia="Arial" w:hAnsi="Arial"/>
          <w:sz w:val="18"/>
          <w:szCs w:val="18"/>
          <w:b w:val="1"/>
          <w:bCs w:val="1"/>
          <w:color w:val="auto"/>
        </w:rPr>
        <w:t>Stretch PSUs</w:t>
      </w:r>
      <w:r>
        <w:rPr>
          <w:rFonts w:ascii="Arial" w:cs="Arial" w:eastAsia="Arial" w:hAnsi="Arial"/>
          <w:sz w:val="18"/>
          <w:szCs w:val="18"/>
          <w:color w:val="auto"/>
        </w:rPr>
        <w:t>”) to our Named Officers:</w:t>
      </w:r>
    </w:p>
    <w:p>
      <w:pPr>
        <w:spacing w:after="0" w:line="305"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tbl>
      <w:tblPr>
        <w:tblLayout w:type="fixed"/>
        <w:tblInd w:w="1280" w:type="dxa"/>
        <w:tblCellMar>
          <w:top w:w="0" w:type="dxa"/>
          <w:left w:w="0" w:type="dxa"/>
          <w:bottom w:w="0" w:type="dxa"/>
          <w:right w:w="0" w:type="dxa"/>
        </w:tblCellMar>
      </w:tblPr>
      <w:tr>
        <w:trPr>
          <w:trHeight w:val="261"/>
        </w:trPr>
        <w:tc>
          <w:tcPr>
            <w:tcW w:w="2480" w:type="dxa"/>
            <w:vAlign w:val="bottom"/>
            <w:shd w:val="clear" w:color="auto" w:fill="819F7C"/>
          </w:tcPr>
          <w:p>
            <w:pPr>
              <w:spacing w:after="0"/>
              <w:rPr>
                <w:sz w:val="22"/>
                <w:szCs w:val="22"/>
                <w:color w:val="auto"/>
              </w:rPr>
            </w:pPr>
          </w:p>
        </w:tc>
        <w:tc>
          <w:tcPr>
            <w:tcW w:w="2340" w:type="dxa"/>
            <w:vAlign w:val="bottom"/>
            <w:gridSpan w:val="2"/>
            <w:shd w:val="clear" w:color="auto" w:fill="819F7C"/>
          </w:tcPr>
          <w:p>
            <w:pPr>
              <w:jc w:val="center"/>
              <w:ind w:left="597"/>
              <w:spacing w:after="0"/>
              <w:rPr>
                <w:sz w:val="20"/>
                <w:szCs w:val="20"/>
                <w:color w:val="auto"/>
              </w:rPr>
            </w:pPr>
            <w:r>
              <w:rPr>
                <w:rFonts w:ascii="Arial" w:cs="Arial" w:eastAsia="Arial" w:hAnsi="Arial"/>
                <w:sz w:val="14"/>
                <w:szCs w:val="14"/>
                <w:b w:val="1"/>
                <w:bCs w:val="1"/>
                <w:color w:val="FFFFFF"/>
              </w:rPr>
              <w:t>Grant Date</w:t>
            </w:r>
          </w:p>
        </w:tc>
        <w:tc>
          <w:tcPr>
            <w:tcW w:w="1700" w:type="dxa"/>
            <w:vAlign w:val="bottom"/>
            <w:gridSpan w:val="2"/>
            <w:shd w:val="clear" w:color="auto" w:fill="819F7C"/>
          </w:tcPr>
          <w:p>
            <w:pPr>
              <w:jc w:val="center"/>
              <w:spacing w:after="0"/>
              <w:rPr>
                <w:sz w:val="20"/>
                <w:szCs w:val="20"/>
                <w:color w:val="auto"/>
              </w:rPr>
            </w:pPr>
            <w:r>
              <w:rPr>
                <w:rFonts w:ascii="Arial" w:cs="Arial" w:eastAsia="Arial" w:hAnsi="Arial"/>
                <w:sz w:val="14"/>
                <w:szCs w:val="14"/>
                <w:b w:val="1"/>
                <w:bCs w:val="1"/>
                <w:color w:val="FFFFFF"/>
              </w:rPr>
              <w:t>Maximum</w:t>
            </w:r>
          </w:p>
        </w:tc>
        <w:tc>
          <w:tcPr>
            <w:tcW w:w="1920" w:type="dxa"/>
            <w:vAlign w:val="bottom"/>
            <w:gridSpan w:val="2"/>
            <w:shd w:val="clear" w:color="auto" w:fill="819F7C"/>
          </w:tcPr>
          <w:p>
            <w:pPr>
              <w:jc w:val="center"/>
              <w:ind w:left="160"/>
              <w:spacing w:after="0"/>
              <w:rPr>
                <w:sz w:val="20"/>
                <w:szCs w:val="20"/>
                <w:color w:val="auto"/>
              </w:rPr>
            </w:pPr>
            <w:r>
              <w:rPr>
                <w:rFonts w:ascii="Arial" w:cs="Arial" w:eastAsia="Arial" w:hAnsi="Arial"/>
                <w:sz w:val="14"/>
                <w:szCs w:val="14"/>
                <w:b w:val="1"/>
                <w:bCs w:val="1"/>
                <w:color w:val="FFFFFF"/>
              </w:rPr>
              <w:t>Maximum Grant Date</w:t>
            </w:r>
          </w:p>
        </w:tc>
      </w:tr>
      <w:tr>
        <w:trPr>
          <w:trHeight w:val="162"/>
        </w:trPr>
        <w:tc>
          <w:tcPr>
            <w:tcW w:w="2480" w:type="dxa"/>
            <w:vAlign w:val="bottom"/>
            <w:shd w:val="clear" w:color="auto" w:fill="819F7C"/>
          </w:tcPr>
          <w:p>
            <w:pPr>
              <w:spacing w:after="0"/>
              <w:rPr>
                <w:sz w:val="14"/>
                <w:szCs w:val="14"/>
                <w:color w:val="auto"/>
              </w:rPr>
            </w:pPr>
          </w:p>
        </w:tc>
        <w:tc>
          <w:tcPr>
            <w:tcW w:w="1220" w:type="dxa"/>
            <w:vAlign w:val="bottom"/>
            <w:shd w:val="clear" w:color="auto" w:fill="819F7C"/>
          </w:tcPr>
          <w:p>
            <w:pPr>
              <w:spacing w:after="0"/>
              <w:rPr>
                <w:sz w:val="14"/>
                <w:szCs w:val="14"/>
                <w:color w:val="auto"/>
              </w:rPr>
            </w:pPr>
          </w:p>
        </w:tc>
        <w:tc>
          <w:tcPr>
            <w:tcW w:w="1120" w:type="dxa"/>
            <w:vAlign w:val="bottom"/>
            <w:shd w:val="clear" w:color="auto" w:fill="819F7C"/>
          </w:tcPr>
          <w:p>
            <w:pPr>
              <w:jc w:val="center"/>
              <w:ind w:right="441"/>
              <w:spacing w:after="0"/>
              <w:rPr>
                <w:sz w:val="20"/>
                <w:szCs w:val="20"/>
                <w:color w:val="auto"/>
              </w:rPr>
            </w:pPr>
            <w:r>
              <w:rPr>
                <w:rFonts w:ascii="Arial" w:cs="Arial" w:eastAsia="Arial" w:hAnsi="Arial"/>
                <w:sz w:val="14"/>
                <w:szCs w:val="14"/>
                <w:b w:val="1"/>
                <w:bCs w:val="1"/>
                <w:color w:val="FFFFFF"/>
              </w:rPr>
              <w:t>Value of</w:t>
            </w:r>
          </w:p>
        </w:tc>
        <w:tc>
          <w:tcPr>
            <w:tcW w:w="1700" w:type="dxa"/>
            <w:vAlign w:val="bottom"/>
            <w:gridSpan w:val="2"/>
            <w:shd w:val="clear" w:color="auto" w:fill="819F7C"/>
          </w:tcPr>
          <w:p>
            <w:pPr>
              <w:jc w:val="center"/>
              <w:spacing w:after="0"/>
              <w:rPr>
                <w:sz w:val="20"/>
                <w:szCs w:val="20"/>
                <w:color w:val="auto"/>
              </w:rPr>
            </w:pPr>
            <w:r>
              <w:rPr>
                <w:rFonts w:ascii="Arial" w:cs="Arial" w:eastAsia="Arial" w:hAnsi="Arial"/>
                <w:sz w:val="14"/>
                <w:szCs w:val="14"/>
                <w:b w:val="1"/>
                <w:bCs w:val="1"/>
                <w:color w:val="FFFFFF"/>
              </w:rPr>
              <w:t>Grant Date</w:t>
            </w:r>
          </w:p>
        </w:tc>
        <w:tc>
          <w:tcPr>
            <w:tcW w:w="1920" w:type="dxa"/>
            <w:vAlign w:val="bottom"/>
            <w:gridSpan w:val="2"/>
            <w:shd w:val="clear" w:color="auto" w:fill="819F7C"/>
          </w:tcPr>
          <w:p>
            <w:pPr>
              <w:jc w:val="center"/>
              <w:ind w:left="120"/>
              <w:spacing w:after="0"/>
              <w:rPr>
                <w:sz w:val="20"/>
                <w:szCs w:val="20"/>
                <w:color w:val="auto"/>
              </w:rPr>
            </w:pPr>
            <w:r>
              <w:rPr>
                <w:rFonts w:ascii="Arial" w:cs="Arial" w:eastAsia="Arial" w:hAnsi="Arial"/>
                <w:sz w:val="14"/>
                <w:szCs w:val="14"/>
                <w:b w:val="1"/>
                <w:bCs w:val="1"/>
                <w:color w:val="FFFFFF"/>
              </w:rPr>
              <w:t>Value of “Stretch”</w:t>
            </w:r>
          </w:p>
        </w:tc>
      </w:tr>
      <w:tr>
        <w:trPr>
          <w:trHeight w:val="205"/>
        </w:trPr>
        <w:tc>
          <w:tcPr>
            <w:tcW w:w="2480" w:type="dxa"/>
            <w:vAlign w:val="bottom"/>
            <w:tcBorders>
              <w:bottom w:val="single" w:sz="8" w:color="819F7C"/>
            </w:tcBorders>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1220" w:type="dxa"/>
            <w:vAlign w:val="bottom"/>
            <w:tcBorders>
              <w:bottom w:val="single" w:sz="8" w:color="819F7C"/>
            </w:tcBorders>
            <w:shd w:val="clear" w:color="auto" w:fill="819F7C"/>
          </w:tcPr>
          <w:p>
            <w:pPr>
              <w:spacing w:after="0"/>
              <w:rPr>
                <w:sz w:val="17"/>
                <w:szCs w:val="17"/>
                <w:color w:val="auto"/>
              </w:rPr>
            </w:pPr>
          </w:p>
        </w:tc>
        <w:tc>
          <w:tcPr>
            <w:tcW w:w="1120" w:type="dxa"/>
            <w:vAlign w:val="bottom"/>
            <w:tcBorders>
              <w:bottom w:val="single" w:sz="8" w:color="819F7C"/>
            </w:tcBorders>
            <w:shd w:val="clear" w:color="auto" w:fill="819F7C"/>
          </w:tcPr>
          <w:p>
            <w:pPr>
              <w:ind w:left="120"/>
              <w:spacing w:after="0"/>
              <w:rPr>
                <w:sz w:val="20"/>
                <w:szCs w:val="20"/>
                <w:color w:val="auto"/>
              </w:rPr>
            </w:pPr>
            <w:r>
              <w:rPr>
                <w:rFonts w:ascii="Arial" w:cs="Arial" w:eastAsia="Arial" w:hAnsi="Arial"/>
                <w:sz w:val="14"/>
                <w:szCs w:val="14"/>
                <w:b w:val="1"/>
                <w:bCs w:val="1"/>
                <w:color w:val="FFFFFF"/>
              </w:rPr>
              <w:t>RSUs</w:t>
            </w:r>
          </w:p>
        </w:tc>
        <w:tc>
          <w:tcPr>
            <w:tcW w:w="1700" w:type="dxa"/>
            <w:vAlign w:val="bottom"/>
            <w:tcBorders>
              <w:bottom w:val="single" w:sz="8" w:color="819F7C"/>
            </w:tcBorders>
            <w:gridSpan w:val="2"/>
            <w:shd w:val="clear" w:color="auto" w:fill="819F7C"/>
          </w:tcPr>
          <w:p>
            <w:pPr>
              <w:jc w:val="center"/>
              <w:spacing w:after="0"/>
              <w:rPr>
                <w:sz w:val="20"/>
                <w:szCs w:val="20"/>
                <w:color w:val="auto"/>
              </w:rPr>
            </w:pPr>
            <w:r>
              <w:rPr>
                <w:rFonts w:ascii="Arial" w:cs="Arial" w:eastAsia="Arial" w:hAnsi="Arial"/>
                <w:sz w:val="14"/>
                <w:szCs w:val="14"/>
                <w:b w:val="1"/>
                <w:bCs w:val="1"/>
                <w:color w:val="FFFFFF"/>
              </w:rPr>
              <w:t>Value of PSUs</w:t>
            </w:r>
          </w:p>
        </w:tc>
        <w:tc>
          <w:tcPr>
            <w:tcW w:w="1920" w:type="dxa"/>
            <w:vAlign w:val="bottom"/>
            <w:tcBorders>
              <w:bottom w:val="single" w:sz="8" w:color="819F7C"/>
            </w:tcBorders>
            <w:gridSpan w:val="2"/>
            <w:shd w:val="clear" w:color="auto" w:fill="819F7C"/>
          </w:tcPr>
          <w:p>
            <w:pPr>
              <w:jc w:val="center"/>
              <w:ind w:left="160"/>
              <w:spacing w:after="0"/>
              <w:rPr>
                <w:sz w:val="20"/>
                <w:szCs w:val="20"/>
                <w:color w:val="auto"/>
              </w:rPr>
            </w:pPr>
            <w:r>
              <w:rPr>
                <w:rFonts w:ascii="Arial" w:cs="Arial" w:eastAsia="Arial" w:hAnsi="Arial"/>
                <w:sz w:val="14"/>
                <w:szCs w:val="14"/>
                <w:b w:val="1"/>
                <w:bCs w:val="1"/>
                <w:color w:val="FFFFFF"/>
                <w:w w:val="98"/>
              </w:rPr>
              <w:t>PSUs</w:t>
            </w:r>
          </w:p>
        </w:tc>
      </w:tr>
      <w:tr>
        <w:trPr>
          <w:trHeight w:val="250"/>
        </w:trPr>
        <w:tc>
          <w:tcPr>
            <w:tcW w:w="248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Seamus Grady</w:t>
            </w:r>
          </w:p>
        </w:tc>
        <w:tc>
          <w:tcPr>
            <w:tcW w:w="2340" w:type="dxa"/>
            <w:vAlign w:val="bottom"/>
            <w:tcBorders>
              <w:bottom w:val="single" w:sz="8" w:color="E5E9E3"/>
            </w:tcBorders>
            <w:gridSpan w:val="2"/>
            <w:shd w:val="clear" w:color="auto" w:fill="E5E9E3"/>
          </w:tcPr>
          <w:p>
            <w:pPr>
              <w:ind w:left="1100"/>
              <w:spacing w:after="0"/>
              <w:rPr>
                <w:sz w:val="20"/>
                <w:szCs w:val="20"/>
                <w:color w:val="auto"/>
              </w:rPr>
            </w:pPr>
            <w:r>
              <w:rPr>
                <w:rFonts w:ascii="Arial" w:cs="Arial" w:eastAsia="Arial" w:hAnsi="Arial"/>
                <w:sz w:val="17"/>
                <w:szCs w:val="17"/>
                <w:color w:val="auto"/>
              </w:rPr>
              <w:t>$2,599,927</w:t>
            </w:r>
          </w:p>
        </w:tc>
        <w:tc>
          <w:tcPr>
            <w:tcW w:w="1700" w:type="dxa"/>
            <w:vAlign w:val="bottom"/>
            <w:tcBorders>
              <w:bottom w:val="single" w:sz="8" w:color="E5E9E3"/>
            </w:tcBorders>
            <w:gridSpan w:val="2"/>
            <w:shd w:val="clear" w:color="auto" w:fill="E5E9E3"/>
          </w:tcPr>
          <w:p>
            <w:pPr>
              <w:ind w:left="480"/>
              <w:spacing w:after="0"/>
              <w:rPr>
                <w:sz w:val="20"/>
                <w:szCs w:val="20"/>
                <w:color w:val="auto"/>
              </w:rPr>
            </w:pPr>
            <w:r>
              <w:rPr>
                <w:rFonts w:ascii="Arial" w:cs="Arial" w:eastAsia="Arial" w:hAnsi="Arial"/>
                <w:sz w:val="17"/>
                <w:szCs w:val="17"/>
                <w:color w:val="auto"/>
              </w:rPr>
              <w:t>$2,599,927</w:t>
            </w:r>
          </w:p>
        </w:tc>
        <w:tc>
          <w:tcPr>
            <w:tcW w:w="1920" w:type="dxa"/>
            <w:vAlign w:val="bottom"/>
            <w:tcBorders>
              <w:bottom w:val="single" w:sz="8" w:color="E5E9E3"/>
            </w:tcBorders>
            <w:gridSpan w:val="2"/>
            <w:shd w:val="clear" w:color="auto" w:fill="E5E9E3"/>
          </w:tcPr>
          <w:p>
            <w:pPr>
              <w:ind w:left="940"/>
              <w:spacing w:after="0"/>
              <w:rPr>
                <w:sz w:val="20"/>
                <w:szCs w:val="20"/>
                <w:color w:val="auto"/>
              </w:rPr>
            </w:pPr>
            <w:r>
              <w:rPr>
                <w:rFonts w:ascii="Arial" w:cs="Arial" w:eastAsia="Arial" w:hAnsi="Arial"/>
                <w:sz w:val="17"/>
                <w:szCs w:val="17"/>
                <w:color w:val="auto"/>
              </w:rPr>
              <w:t>$2,599,927</w:t>
            </w:r>
          </w:p>
        </w:tc>
      </w:tr>
      <w:tr>
        <w:trPr>
          <w:trHeight w:val="243"/>
        </w:trPr>
        <w:tc>
          <w:tcPr>
            <w:tcW w:w="2480" w:type="dxa"/>
            <w:vAlign w:val="bottom"/>
          </w:tcPr>
          <w:p>
            <w:pPr>
              <w:ind w:left="80"/>
              <w:spacing w:after="0"/>
              <w:rPr>
                <w:sz w:val="20"/>
                <w:szCs w:val="20"/>
                <w:color w:val="auto"/>
              </w:rPr>
            </w:pPr>
            <w:r>
              <w:rPr>
                <w:rFonts w:ascii="Arial" w:cs="Arial" w:eastAsia="Arial" w:hAnsi="Arial"/>
                <w:sz w:val="17"/>
                <w:szCs w:val="17"/>
                <w:color w:val="auto"/>
              </w:rPr>
              <w:t>Dr. Harpal Gill</w:t>
            </w:r>
          </w:p>
        </w:tc>
        <w:tc>
          <w:tcPr>
            <w:tcW w:w="2340" w:type="dxa"/>
            <w:vAlign w:val="bottom"/>
            <w:gridSpan w:val="2"/>
          </w:tcPr>
          <w:p>
            <w:pPr>
              <w:ind w:left="1100"/>
              <w:spacing w:after="0"/>
              <w:rPr>
                <w:sz w:val="20"/>
                <w:szCs w:val="20"/>
                <w:color w:val="auto"/>
              </w:rPr>
            </w:pPr>
            <w:r>
              <w:rPr>
                <w:rFonts w:ascii="Arial" w:cs="Arial" w:eastAsia="Arial" w:hAnsi="Arial"/>
                <w:sz w:val="17"/>
                <w:szCs w:val="17"/>
                <w:color w:val="auto"/>
              </w:rPr>
              <w:t>$1,624,855</w:t>
            </w:r>
          </w:p>
        </w:tc>
        <w:tc>
          <w:tcPr>
            <w:tcW w:w="1700" w:type="dxa"/>
            <w:vAlign w:val="bottom"/>
            <w:gridSpan w:val="2"/>
          </w:tcPr>
          <w:p>
            <w:pPr>
              <w:ind w:left="480"/>
              <w:spacing w:after="0"/>
              <w:rPr>
                <w:sz w:val="20"/>
                <w:szCs w:val="20"/>
                <w:color w:val="auto"/>
              </w:rPr>
            </w:pPr>
            <w:r>
              <w:rPr>
                <w:rFonts w:ascii="Arial" w:cs="Arial" w:eastAsia="Arial" w:hAnsi="Arial"/>
                <w:sz w:val="17"/>
                <w:szCs w:val="17"/>
                <w:color w:val="auto"/>
              </w:rPr>
              <w:t>$1,624,855</w:t>
            </w:r>
          </w:p>
        </w:tc>
        <w:tc>
          <w:tcPr>
            <w:tcW w:w="1920" w:type="dxa"/>
            <w:vAlign w:val="bottom"/>
            <w:gridSpan w:val="2"/>
          </w:tcPr>
          <w:p>
            <w:pPr>
              <w:ind w:left="940"/>
              <w:spacing w:after="0"/>
              <w:rPr>
                <w:sz w:val="20"/>
                <w:szCs w:val="20"/>
                <w:color w:val="auto"/>
              </w:rPr>
            </w:pPr>
            <w:r>
              <w:rPr>
                <w:rFonts w:ascii="Arial" w:cs="Arial" w:eastAsia="Arial" w:hAnsi="Arial"/>
                <w:sz w:val="17"/>
                <w:szCs w:val="17"/>
                <w:color w:val="auto"/>
              </w:rPr>
              <w:t>$1,624,855</w:t>
            </w:r>
          </w:p>
        </w:tc>
      </w:tr>
      <w:tr>
        <w:trPr>
          <w:trHeight w:val="27"/>
        </w:trPr>
        <w:tc>
          <w:tcPr>
            <w:tcW w:w="2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8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Csaba Sverha</w:t>
            </w:r>
          </w:p>
        </w:tc>
        <w:tc>
          <w:tcPr>
            <w:tcW w:w="1220" w:type="dxa"/>
            <w:vAlign w:val="bottom"/>
            <w:tcBorders>
              <w:bottom w:val="single" w:sz="8" w:color="E5E9E3"/>
            </w:tcBorders>
            <w:shd w:val="clear" w:color="auto" w:fill="E5E9E3"/>
          </w:tcPr>
          <w:p>
            <w:pPr>
              <w:ind w:left="110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E5E9E3"/>
            </w:tcBorders>
            <w:shd w:val="clear" w:color="auto" w:fill="E5E9E3"/>
          </w:tcPr>
          <w:p>
            <w:pPr>
              <w:ind w:left="120"/>
              <w:spacing w:after="0"/>
              <w:rPr>
                <w:sz w:val="20"/>
                <w:szCs w:val="20"/>
                <w:color w:val="auto"/>
              </w:rPr>
            </w:pPr>
            <w:r>
              <w:rPr>
                <w:rFonts w:ascii="Arial" w:cs="Arial" w:eastAsia="Arial" w:hAnsi="Arial"/>
                <w:sz w:val="17"/>
                <w:szCs w:val="17"/>
                <w:color w:val="auto"/>
              </w:rPr>
              <w:t>899,907</w:t>
            </w:r>
          </w:p>
        </w:tc>
        <w:tc>
          <w:tcPr>
            <w:tcW w:w="640" w:type="dxa"/>
            <w:vAlign w:val="bottom"/>
            <w:tcBorders>
              <w:bottom w:val="single" w:sz="8" w:color="E5E9E3"/>
            </w:tcBorders>
            <w:shd w:val="clear" w:color="auto" w:fill="E5E9E3"/>
          </w:tcPr>
          <w:p>
            <w:pPr>
              <w:ind w:left="4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E5E9E3"/>
            </w:tcBorders>
            <w:shd w:val="clear" w:color="auto" w:fill="E5E9E3"/>
          </w:tcPr>
          <w:p>
            <w:pPr>
              <w:jc w:val="right"/>
              <w:ind w:right="295"/>
              <w:spacing w:after="0"/>
              <w:rPr>
                <w:sz w:val="20"/>
                <w:szCs w:val="20"/>
                <w:color w:val="auto"/>
              </w:rPr>
            </w:pPr>
            <w:r>
              <w:rPr>
                <w:rFonts w:ascii="Arial" w:cs="Arial" w:eastAsia="Arial" w:hAnsi="Arial"/>
                <w:sz w:val="17"/>
                <w:szCs w:val="17"/>
                <w:color w:val="auto"/>
              </w:rPr>
              <w:t>899,907</w:t>
            </w:r>
          </w:p>
        </w:tc>
        <w:tc>
          <w:tcPr>
            <w:tcW w:w="1100" w:type="dxa"/>
            <w:vAlign w:val="bottom"/>
            <w:tcBorders>
              <w:bottom w:val="single" w:sz="8" w:color="E5E9E3"/>
            </w:tcBorders>
            <w:shd w:val="clear" w:color="auto" w:fill="E5E9E3"/>
          </w:tcPr>
          <w:p>
            <w:pPr>
              <w:ind w:left="9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E5E9E3"/>
            </w:tcBorders>
            <w:shd w:val="clear" w:color="auto" w:fill="E5E9E3"/>
          </w:tcPr>
          <w:p>
            <w:pPr>
              <w:jc w:val="right"/>
              <w:ind w:right="35"/>
              <w:spacing w:after="0"/>
              <w:rPr>
                <w:sz w:val="20"/>
                <w:szCs w:val="20"/>
                <w:color w:val="auto"/>
              </w:rPr>
            </w:pPr>
            <w:r>
              <w:rPr>
                <w:rFonts w:ascii="Arial" w:cs="Arial" w:eastAsia="Arial" w:hAnsi="Arial"/>
                <w:sz w:val="17"/>
                <w:szCs w:val="17"/>
                <w:color w:val="auto"/>
              </w:rPr>
              <w:t>899,907</w:t>
            </w:r>
          </w:p>
        </w:tc>
      </w:tr>
      <w:tr>
        <w:trPr>
          <w:trHeight w:val="229"/>
        </w:trPr>
        <w:tc>
          <w:tcPr>
            <w:tcW w:w="2480" w:type="dxa"/>
            <w:vAlign w:val="bottom"/>
          </w:tcPr>
          <w:p>
            <w:pPr>
              <w:ind w:left="80"/>
              <w:spacing w:after="0"/>
              <w:rPr>
                <w:sz w:val="20"/>
                <w:szCs w:val="20"/>
                <w:color w:val="auto"/>
              </w:rPr>
            </w:pPr>
            <w:r>
              <w:rPr>
                <w:rFonts w:ascii="Arial" w:cs="Arial" w:eastAsia="Arial" w:hAnsi="Arial"/>
                <w:sz w:val="17"/>
                <w:szCs w:val="17"/>
                <w:color w:val="auto"/>
              </w:rPr>
              <w:t>Edward T. Archer</w:t>
            </w:r>
          </w:p>
        </w:tc>
        <w:tc>
          <w:tcPr>
            <w:tcW w:w="1220" w:type="dxa"/>
            <w:vAlign w:val="bottom"/>
          </w:tcPr>
          <w:p>
            <w:pPr>
              <w:ind w:left="1100"/>
              <w:spacing w:after="0"/>
              <w:rPr>
                <w:sz w:val="20"/>
                <w:szCs w:val="20"/>
                <w:color w:val="auto"/>
              </w:rPr>
            </w:pPr>
            <w:r>
              <w:rPr>
                <w:rFonts w:ascii="Arial" w:cs="Arial" w:eastAsia="Arial" w:hAnsi="Arial"/>
                <w:sz w:val="17"/>
                <w:szCs w:val="17"/>
                <w:color w:val="auto"/>
              </w:rPr>
              <w:t>$</w:t>
            </w:r>
          </w:p>
        </w:tc>
        <w:tc>
          <w:tcPr>
            <w:tcW w:w="1120" w:type="dxa"/>
            <w:vAlign w:val="bottom"/>
          </w:tcPr>
          <w:p>
            <w:pPr>
              <w:ind w:left="120"/>
              <w:spacing w:after="0"/>
              <w:rPr>
                <w:sz w:val="20"/>
                <w:szCs w:val="20"/>
                <w:color w:val="auto"/>
              </w:rPr>
            </w:pPr>
            <w:r>
              <w:rPr>
                <w:rFonts w:ascii="Arial" w:cs="Arial" w:eastAsia="Arial" w:hAnsi="Arial"/>
                <w:sz w:val="17"/>
                <w:szCs w:val="17"/>
                <w:color w:val="auto"/>
              </w:rPr>
              <w:t>749,896</w:t>
            </w:r>
          </w:p>
        </w:tc>
        <w:tc>
          <w:tcPr>
            <w:tcW w:w="640" w:type="dxa"/>
            <w:vAlign w:val="bottom"/>
          </w:tcPr>
          <w:p>
            <w:pPr>
              <w:ind w:left="4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95"/>
              <w:spacing w:after="0"/>
              <w:rPr>
                <w:sz w:val="20"/>
                <w:szCs w:val="20"/>
                <w:color w:val="auto"/>
              </w:rPr>
            </w:pPr>
            <w:r>
              <w:rPr>
                <w:rFonts w:ascii="Arial" w:cs="Arial" w:eastAsia="Arial" w:hAnsi="Arial"/>
                <w:sz w:val="17"/>
                <w:szCs w:val="17"/>
                <w:color w:val="auto"/>
              </w:rPr>
              <w:t>749,896</w:t>
            </w:r>
          </w:p>
        </w:tc>
        <w:tc>
          <w:tcPr>
            <w:tcW w:w="1100" w:type="dxa"/>
            <w:vAlign w:val="bottom"/>
          </w:tcPr>
          <w:p>
            <w:pPr>
              <w:ind w:left="94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749,896</w:t>
            </w:r>
          </w:p>
        </w:tc>
      </w:tr>
      <w:tr>
        <w:trPr>
          <w:trHeight w:val="94"/>
        </w:trPr>
        <w:tc>
          <w:tcPr>
            <w:tcW w:w="2480" w:type="dxa"/>
            <w:vAlign w:val="bottom"/>
            <w:shd w:val="clear" w:color="auto" w:fill="819F7C"/>
          </w:tcPr>
          <w:p>
            <w:pPr>
              <w:spacing w:after="0"/>
              <w:rPr>
                <w:sz w:val="8"/>
                <w:szCs w:val="8"/>
                <w:color w:val="auto"/>
              </w:rPr>
            </w:pPr>
          </w:p>
        </w:tc>
        <w:tc>
          <w:tcPr>
            <w:tcW w:w="1220" w:type="dxa"/>
            <w:vAlign w:val="bottom"/>
            <w:shd w:val="clear" w:color="auto" w:fill="819F7C"/>
          </w:tcPr>
          <w:p>
            <w:pPr>
              <w:spacing w:after="0"/>
              <w:rPr>
                <w:sz w:val="8"/>
                <w:szCs w:val="8"/>
                <w:color w:val="auto"/>
              </w:rPr>
            </w:pPr>
          </w:p>
        </w:tc>
        <w:tc>
          <w:tcPr>
            <w:tcW w:w="1120" w:type="dxa"/>
            <w:vAlign w:val="bottom"/>
            <w:shd w:val="clear" w:color="auto" w:fill="819F7C"/>
          </w:tcPr>
          <w:p>
            <w:pPr>
              <w:spacing w:after="0"/>
              <w:rPr>
                <w:sz w:val="8"/>
                <w:szCs w:val="8"/>
                <w:color w:val="auto"/>
              </w:rPr>
            </w:pPr>
          </w:p>
        </w:tc>
        <w:tc>
          <w:tcPr>
            <w:tcW w:w="640" w:type="dxa"/>
            <w:vAlign w:val="bottom"/>
            <w:shd w:val="clear" w:color="auto" w:fill="819F7C"/>
          </w:tcPr>
          <w:p>
            <w:pPr>
              <w:spacing w:after="0"/>
              <w:rPr>
                <w:sz w:val="8"/>
                <w:szCs w:val="8"/>
                <w:color w:val="auto"/>
              </w:rPr>
            </w:pPr>
          </w:p>
        </w:tc>
        <w:tc>
          <w:tcPr>
            <w:tcW w:w="1060" w:type="dxa"/>
            <w:vAlign w:val="bottom"/>
            <w:shd w:val="clear" w:color="auto" w:fill="819F7C"/>
          </w:tcPr>
          <w:p>
            <w:pPr>
              <w:spacing w:after="0"/>
              <w:rPr>
                <w:sz w:val="8"/>
                <w:szCs w:val="8"/>
                <w:color w:val="auto"/>
              </w:rPr>
            </w:pPr>
          </w:p>
        </w:tc>
        <w:tc>
          <w:tcPr>
            <w:tcW w:w="1100" w:type="dxa"/>
            <w:vAlign w:val="bottom"/>
            <w:shd w:val="clear" w:color="auto" w:fill="819F7C"/>
          </w:tcPr>
          <w:p>
            <w:pPr>
              <w:spacing w:after="0"/>
              <w:rPr>
                <w:sz w:val="8"/>
                <w:szCs w:val="8"/>
                <w:color w:val="auto"/>
              </w:rPr>
            </w:pPr>
          </w:p>
        </w:tc>
        <w:tc>
          <w:tcPr>
            <w:tcW w:w="820" w:type="dxa"/>
            <w:vAlign w:val="bottom"/>
            <w:shd w:val="clear" w:color="auto" w:fill="819F7C"/>
          </w:tcPr>
          <w:p>
            <w:pPr>
              <w:spacing w:after="0"/>
              <w:rPr>
                <w:sz w:val="8"/>
                <w:szCs w:val="8"/>
                <w:color w:val="auto"/>
              </w:rPr>
            </w:pPr>
          </w:p>
        </w:tc>
      </w:tr>
    </w:tbl>
    <w:p>
      <w:pPr>
        <w:spacing w:after="0" w:line="103" w:lineRule="exact"/>
        <w:rPr>
          <w:sz w:val="20"/>
          <w:szCs w:val="20"/>
          <w:color w:val="auto"/>
        </w:rPr>
      </w:pPr>
    </w:p>
    <w:p>
      <w:pPr>
        <w:sectPr>
          <w:pgSz w:w="11900" w:h="16838" w:orient="portrait"/>
          <w:cols w:equalWidth="0" w:num="1">
            <w:col w:w="11020"/>
          </w:cols>
          <w:pgMar w:left="440" w:top="114" w:right="439" w:bottom="1440" w:gutter="0" w:footer="0" w:header="0"/>
          <w:type w:val="continuous"/>
        </w:sectPr>
      </w:pPr>
    </w:p>
    <w:p>
      <w:pPr>
        <w:jc w:val="both"/>
        <w:ind w:left="920"/>
        <w:spacing w:after="0" w:line="244" w:lineRule="auto"/>
        <w:rPr>
          <w:sz w:val="20"/>
          <w:szCs w:val="20"/>
          <w:color w:val="auto"/>
        </w:rPr>
      </w:pPr>
      <w:r>
        <w:rPr>
          <w:rFonts w:ascii="Arial" w:cs="Arial" w:eastAsia="Arial" w:hAnsi="Arial"/>
          <w:sz w:val="18"/>
          <w:szCs w:val="18"/>
          <w:color w:val="auto"/>
        </w:rPr>
        <w:t>The RSUs granted to our Named Officers in fiscal 2024 will vest in equal annual installments over a period of three years on each anniversary of the grant date, subject to the individual’s continued service with us through each such vesting date.</w:t>
      </w:r>
    </w:p>
    <w:p>
      <w:pPr>
        <w:spacing w:after="0" w:line="68" w:lineRule="exact"/>
        <w:rPr>
          <w:sz w:val="20"/>
          <w:szCs w:val="20"/>
          <w:color w:val="auto"/>
        </w:rPr>
      </w:pPr>
    </w:p>
    <w:p>
      <w:pPr>
        <w:jc w:val="both"/>
        <w:ind w:left="920"/>
        <w:spacing w:after="0" w:line="242" w:lineRule="auto"/>
        <w:rPr>
          <w:sz w:val="20"/>
          <w:szCs w:val="20"/>
          <w:color w:val="auto"/>
        </w:rPr>
      </w:pPr>
      <w:r>
        <w:rPr>
          <w:rFonts w:ascii="Arial" w:cs="Arial" w:eastAsia="Arial" w:hAnsi="Arial"/>
          <w:sz w:val="18"/>
          <w:szCs w:val="18"/>
          <w:color w:val="auto"/>
        </w:rPr>
        <w:t>The PSUs and Stretch PSUs will vest, if at all, following a 2-year performance period, on the date the Compensation Committee certifies achievement of the applicable performance criteria set forth below, subject to the individual’s continued service with us through such vesting date.</w:t>
      </w:r>
    </w:p>
    <w:p>
      <w:pPr>
        <w:spacing w:after="0" w:line="71" w:lineRule="exact"/>
        <w:rPr>
          <w:sz w:val="20"/>
          <w:szCs w:val="20"/>
          <w:color w:val="auto"/>
        </w:rPr>
      </w:pPr>
    </w:p>
    <w:p>
      <w:pPr>
        <w:jc w:val="both"/>
        <w:ind w:left="920"/>
        <w:spacing w:after="0" w:line="251" w:lineRule="auto"/>
        <w:rPr>
          <w:sz w:val="20"/>
          <w:szCs w:val="20"/>
          <w:color w:val="auto"/>
        </w:rPr>
      </w:pPr>
      <w:r>
        <w:rPr>
          <w:rFonts w:ascii="Arial" w:cs="Arial" w:eastAsia="Arial" w:hAnsi="Arial"/>
          <w:sz w:val="17"/>
          <w:szCs w:val="17"/>
          <w:color w:val="auto"/>
        </w:rPr>
        <w:t>Vesting of the PSUs will be based 50% on achievement of a cumulative fiscal 2024 and fiscal 2025 revenue goal (the “</w:t>
      </w:r>
      <w:r>
        <w:rPr>
          <w:rFonts w:ascii="Arial" w:cs="Arial" w:eastAsia="Arial" w:hAnsi="Arial"/>
          <w:sz w:val="17"/>
          <w:szCs w:val="17"/>
          <w:b w:val="1"/>
          <w:bCs w:val="1"/>
          <w:color w:val="auto"/>
        </w:rPr>
        <w:t>PSU Revenue Target</w:t>
      </w:r>
      <w:r>
        <w:rPr>
          <w:rFonts w:ascii="Arial" w:cs="Arial" w:eastAsia="Arial" w:hAnsi="Arial"/>
          <w:sz w:val="17"/>
          <w:szCs w:val="17"/>
          <w:color w:val="auto"/>
        </w:rPr>
        <w:t>”) and 50% on achievement of a cumulative fiscal 2024 and fiscal 2025 non-GAAP operating margin goal (the “</w:t>
      </w:r>
      <w:r>
        <w:rPr>
          <w:rFonts w:ascii="Arial" w:cs="Arial" w:eastAsia="Arial" w:hAnsi="Arial"/>
          <w:sz w:val="17"/>
          <w:szCs w:val="17"/>
          <w:b w:val="1"/>
          <w:bCs w:val="1"/>
          <w:color w:val="auto"/>
        </w:rPr>
        <w:t>PSU</w:t>
      </w:r>
      <w:r>
        <w:rPr>
          <w:rFonts w:ascii="Arial" w:cs="Arial" w:eastAsia="Arial" w:hAnsi="Arial"/>
          <w:sz w:val="17"/>
          <w:szCs w:val="17"/>
          <w:color w:val="auto"/>
        </w:rPr>
        <w:t xml:space="preserve"> </w:t>
      </w:r>
      <w:r>
        <w:rPr>
          <w:rFonts w:ascii="Arial" w:cs="Arial" w:eastAsia="Arial" w:hAnsi="Arial"/>
          <w:sz w:val="17"/>
          <w:szCs w:val="17"/>
          <w:b w:val="1"/>
          <w:bCs w:val="1"/>
          <w:color w:val="auto"/>
        </w:rPr>
        <w:t>Operating Margin Target</w:t>
      </w:r>
      <w:r>
        <w:rPr>
          <w:rFonts w:ascii="Arial" w:cs="Arial" w:eastAsia="Arial" w:hAnsi="Arial"/>
          <w:sz w:val="17"/>
          <w:szCs w:val="17"/>
          <w:color w:val="auto"/>
        </w:rPr>
        <w:t>”).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chose these performance goals because it believes that these constitute important, key performance metrics that significantly can impact our business success. As achievement of each financial goal is considered independently from the other, we must meet a threshold for each goal in order for an individual to receive any credit for that goal. If we achieve 100% or more of a target financial goal, the PSUs will vest as to 100% of the PSUs allocated to that financial goal. If we achieve a threshold performance level of 90% of a target financial goal, the PSUs will vest as to 20% of the PSUs allocated to that financial goal. Achievement of the PSU Revenue Target or the PSU Operating Margin Target at a level between</w:t>
      </w:r>
    </w:p>
    <w:p>
      <w:pPr>
        <w:spacing w:after="0" w:line="20" w:lineRule="exact"/>
        <w:rPr>
          <w:sz w:val="20"/>
          <w:szCs w:val="20"/>
          <w:color w:val="auto"/>
        </w:rPr>
      </w:pPr>
      <w:r>
        <w:rPr>
          <w:sz w:val="20"/>
          <w:szCs w:val="20"/>
          <w:color w:val="auto"/>
        </w:rPr>
        <w:br w:type="column"/>
      </w:r>
    </w:p>
    <w:p>
      <w:pPr>
        <w:jc w:val="both"/>
        <w:ind w:right="940"/>
        <w:spacing w:after="0" w:line="275" w:lineRule="auto"/>
        <w:rPr>
          <w:sz w:val="20"/>
          <w:szCs w:val="20"/>
          <w:color w:val="auto"/>
        </w:rPr>
      </w:pPr>
      <w:r>
        <w:rPr>
          <w:rFonts w:ascii="Arial" w:cs="Arial" w:eastAsia="Arial" w:hAnsi="Arial"/>
          <w:sz w:val="17"/>
          <w:szCs w:val="17"/>
          <w:color w:val="auto"/>
        </w:rPr>
        <w:t>90% and 100% will result in a number of shares vesting for the applicable goal that is scaled from 20% to 100% of the PSUs allocated to that goal in a linear fashion.</w:t>
      </w:r>
    </w:p>
    <w:p>
      <w:pPr>
        <w:spacing w:after="0" w:line="44" w:lineRule="exact"/>
        <w:rPr>
          <w:sz w:val="20"/>
          <w:szCs w:val="20"/>
          <w:color w:val="auto"/>
        </w:rPr>
      </w:pPr>
    </w:p>
    <w:p>
      <w:pPr>
        <w:jc w:val="both"/>
        <w:ind w:right="920"/>
        <w:spacing w:after="0" w:line="235" w:lineRule="auto"/>
        <w:rPr>
          <w:sz w:val="20"/>
          <w:szCs w:val="20"/>
          <w:color w:val="auto"/>
        </w:rPr>
      </w:pPr>
      <w:r>
        <w:rPr>
          <w:rFonts w:ascii="Arial" w:cs="Arial" w:eastAsia="Arial" w:hAnsi="Arial"/>
          <w:sz w:val="18"/>
          <w:szCs w:val="18"/>
          <w:color w:val="auto"/>
        </w:rPr>
        <w:t>Vesting of the Stretch PSUs will be based 50% on achievement of a cumulative fiscal 2024 and fiscal 2025 revenue goal that is 5% higher than the PSU Revenue Target (the “</w:t>
      </w:r>
      <w:r>
        <w:rPr>
          <w:rFonts w:ascii="Arial" w:cs="Arial" w:eastAsia="Arial" w:hAnsi="Arial"/>
          <w:sz w:val="18"/>
          <w:szCs w:val="18"/>
          <w:b w:val="1"/>
          <w:bCs w:val="1"/>
          <w:color w:val="auto"/>
        </w:rPr>
        <w:t>Stretch PSU Revenue Target</w:t>
      </w:r>
      <w:r>
        <w:rPr>
          <w:rFonts w:ascii="Arial" w:cs="Arial" w:eastAsia="Arial" w:hAnsi="Arial"/>
          <w:sz w:val="18"/>
          <w:szCs w:val="18"/>
          <w:color w:val="auto"/>
        </w:rPr>
        <w:t>”) and 50% on achievement of a cumulative fiscal 2024 and fiscal 2025 non-GAAP operating margin goal that is 5 basis points higher than the PSU Operating Margin Target (the “</w:t>
      </w:r>
      <w:r>
        <w:rPr>
          <w:rFonts w:ascii="Arial" w:cs="Arial" w:eastAsia="Arial" w:hAnsi="Arial"/>
          <w:sz w:val="18"/>
          <w:szCs w:val="18"/>
          <w:b w:val="1"/>
          <w:bCs w:val="1"/>
          <w:color w:val="auto"/>
        </w:rPr>
        <w:t>Stretch PSU Operating Margin Target</w:t>
      </w:r>
      <w:r>
        <w:rPr>
          <w:rFonts w:ascii="Arial" w:cs="Arial" w:eastAsia="Arial" w:hAnsi="Arial"/>
          <w:sz w:val="18"/>
          <w:szCs w:val="18"/>
          <w:color w:val="auto"/>
        </w:rPr>
        <w:t xml:space="preserve">”). As achievement of each financial goal is considered independently from the other, we must meet a threshold for each goal in order for an individual to receive any credit for that goal. If we achieve 100% or more of a target financial goal, the Stretch PSUs will vest as to 100% of the Stretch PSUs allocated to that financial goal. Achievement of the Stretch PSU Revenue Target at a level between its threshold PSU Revenue Target and 100% will result in a number of shares vesting for that goal that is scaled from 0% to 100% of the Stretch PSUs allocated to that goal in a linear fashion. Achievement of the Stretch PSU Operating Margin Target at a level between its threshold PSU Operating Margin Target and 100% will result in a number of shares vesting for that goal that is scaled from 0% to 100% of the Stretch PSUs allocated to that goal in a linear fashion. </w:t>
      </w:r>
      <w:r>
        <w:rPr>
          <w:rFonts w:ascii="Arial" w:cs="Arial" w:eastAsia="Arial" w:hAnsi="Arial"/>
          <w:sz w:val="18"/>
          <w:szCs w:val="18"/>
          <w:b w:val="1"/>
          <w:bCs w:val="1"/>
          <w:color w:val="auto"/>
        </w:rPr>
        <w:t>We must exceed the</w:t>
      </w:r>
    </w:p>
    <w:p>
      <w:pPr>
        <w:spacing w:after="0" w:line="14" w:lineRule="exact"/>
        <w:rPr>
          <w:sz w:val="20"/>
          <w:szCs w:val="20"/>
          <w:color w:val="auto"/>
        </w:rPr>
      </w:pPr>
    </w:p>
    <w:p>
      <w:pPr>
        <w:jc w:val="both"/>
        <w:ind w:right="920"/>
        <w:spacing w:after="0" w:line="243" w:lineRule="auto"/>
        <w:rPr>
          <w:sz w:val="20"/>
          <w:szCs w:val="20"/>
          <w:color w:val="auto"/>
        </w:rPr>
      </w:pPr>
      <w:r>
        <w:rPr>
          <w:rFonts w:ascii="Arial" w:cs="Arial" w:eastAsia="Arial" w:hAnsi="Arial"/>
          <w:sz w:val="18"/>
          <w:szCs w:val="18"/>
          <w:b w:val="1"/>
          <w:bCs w:val="1"/>
          <w:color w:val="auto"/>
        </w:rPr>
        <w:t>PSU Revenue Target or the PSU Operating Margin Target in order for any of the Stretch PSUs to vest. There is no overlap between the performance measures for PSUs and Stretch PSUs.</w:t>
      </w:r>
    </w:p>
    <w:p>
      <w:pPr>
        <w:spacing w:after="0" w:line="200"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43</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Perquisites and Personal Benefits</w:t>
      </w:r>
    </w:p>
    <w:p>
      <w:pPr>
        <w:spacing w:after="0" w:line="102"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color w:val="auto"/>
        </w:rPr>
        <w:t>We provide our Named Officers with certain perquisites and personal benefits because we believe that such benefits are a tax-advantaged way to provide our Named Officers with additional annual compensation that supplements their annual base salaries. We do not establish the value of each Named Officer’s perquisites and personal benefits in a vacuum or as some form of compensation “add on.” Instead, we view the value of the perquisites as another component of annual compensation that is merely paid in a different form. When determining each Named Officer’s base salary, we take the value of each Named Officer’s perquisites and personal benefits into consideration.</w:t>
      </w:r>
    </w:p>
    <w:p>
      <w:pPr>
        <w:spacing w:after="0" w:line="72"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We provide certain benefits and allowances to our international assignees, including our Named Officers, which include housing and transportation allowances, living and travel expense reimbursements and tax preparation services. Consistent with the policy we have adopted with respect to all U.S. citizens who are working on our behalf in Asia on an expatriate basis, we pay such employees a tax equalization payment that is intended to put the employee in the same position, from a tax-liability perspective, that he or she would be in if they were still located in the United States. Of our Named Officers, only Dr. Gill received a tax equalization payment in fiscal 2024 because he qualified for such benefit under the policy.</w:t>
      </w:r>
    </w:p>
    <w:p>
      <w:pPr>
        <w:spacing w:after="0" w:line="81" w:lineRule="exact"/>
        <w:rPr>
          <w:sz w:val="20"/>
          <w:szCs w:val="20"/>
          <w:color w:val="auto"/>
        </w:rPr>
      </w:pPr>
    </w:p>
    <w:p>
      <w:pPr>
        <w:jc w:val="both"/>
        <w:ind w:left="60"/>
        <w:spacing w:after="0" w:line="239" w:lineRule="auto"/>
        <w:rPr>
          <w:sz w:val="20"/>
          <w:szCs w:val="20"/>
          <w:color w:val="auto"/>
        </w:rPr>
      </w:pPr>
      <w:r>
        <w:rPr>
          <w:rFonts w:ascii="Arial" w:cs="Arial" w:eastAsia="Arial" w:hAnsi="Arial"/>
          <w:sz w:val="18"/>
          <w:szCs w:val="18"/>
          <w:color w:val="auto"/>
        </w:rPr>
        <w:t>In addition, in October 2014, the Compensation Committee approved the payment of additional cash compensation to Dr. Gill in the amount of 20% of his then-current annual base salary, determined and payable bi-monthly, with a tax gross-up (the “</w:t>
      </w:r>
      <w:r>
        <w:rPr>
          <w:rFonts w:ascii="Arial" w:cs="Arial" w:eastAsia="Arial" w:hAnsi="Arial"/>
          <w:sz w:val="18"/>
          <w:szCs w:val="18"/>
          <w:b w:val="1"/>
          <w:bCs w:val="1"/>
          <w:color w:val="auto"/>
        </w:rPr>
        <w:t>Foreign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 Premium Pay</w:t>
      </w:r>
      <w:r>
        <w:rPr>
          <w:rFonts w:ascii="Arial" w:cs="Arial" w:eastAsia="Arial" w:hAnsi="Arial"/>
          <w:sz w:val="18"/>
          <w:szCs w:val="18"/>
          <w:color w:val="auto"/>
        </w:rPr>
        <w:t>”), to incentivize him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for us in Thailand and to ameliorate the resulting hardship to his family who is located in the United States.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Foreign Service Premium Pay is payable for as long as Dr. Gill is required to, and does, temporarily reside and work in Thailand. During fiscal 2024, Dr. Gill also received a family travel allowance of $25,000.</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2024, Mr. Grady, Dr. Gill and Mr. Archer each received an annual automobile allowance of $12,000.</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2016, we adopted a perquisite policy that excludes non-business travel-related expenses and charitable contributions. The perquisites and personal benefits paid to each Named Officer are reported in the “All Other Compensation” column of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 and are further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footnotes to such table.</w:t>
      </w:r>
    </w:p>
    <w:p>
      <w:pPr>
        <w:spacing w:after="0" w:line="187"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Severance and Other Benefits Upon Termination of Employment</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and certain of our subsidiaries have entered into employment agreements or offer letters with our Named Officers that provide for them to receive severance benefits following certain terminations of their employment with us or our subsidiaries, as applicable. These arrangements are consistent with our overall compensation objectives because we believe such arrangements are critical to achieve our business objective of management retention. We evaluate the level of severance benefits to provide a Named Officer on a case-by-case basis. To ensure that the severance and change of control arrangements continue to remain consistent with our compensation philosophy and current market practices, the Compensation Committee may periodically review these arrangements. Please see “</w:t>
      </w:r>
      <w:r>
        <w:rPr>
          <w:rFonts w:ascii="Arial" w:cs="Arial" w:eastAsia="Arial" w:hAnsi="Arial"/>
          <w:sz w:val="18"/>
          <w:szCs w:val="18"/>
          <w:i w:val="1"/>
          <w:iCs w:val="1"/>
          <w:color w:val="auto"/>
        </w:rPr>
        <w:t>Potential Payments Upon Termination or Change</w:t>
      </w:r>
      <w:r>
        <w:rPr>
          <w:rFonts w:ascii="Arial" w:cs="Arial" w:eastAsia="Arial" w:hAnsi="Arial"/>
          <w:sz w:val="18"/>
          <w:szCs w:val="18"/>
          <w:color w:val="auto"/>
        </w:rPr>
        <w:t xml:space="preserve"> </w:t>
      </w:r>
      <w:r>
        <w:rPr>
          <w:rFonts w:ascii="Arial" w:cs="Arial" w:eastAsia="Arial" w:hAnsi="Arial"/>
          <w:sz w:val="18"/>
          <w:szCs w:val="18"/>
          <w:i w:val="1"/>
          <w:iCs w:val="1"/>
          <w:color w:val="auto"/>
        </w:rPr>
        <w:t>in Control</w:t>
      </w:r>
      <w:r>
        <w:rPr>
          <w:rFonts w:ascii="Arial" w:cs="Arial" w:eastAsia="Arial" w:hAnsi="Arial"/>
          <w:sz w:val="18"/>
          <w:szCs w:val="18"/>
          <w:color w:val="auto"/>
        </w:rPr>
        <w:t>” below, for a description of the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our Named Officers may be entitled to receive upon termination of their employment.</w:t>
      </w:r>
    </w:p>
    <w:p>
      <w:pPr>
        <w:spacing w:after="0" w:line="385"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92"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44</w:t>
      </w:r>
      <w:r>
        <w:rPr>
          <w:sz w:val="20"/>
          <w:szCs w:val="20"/>
          <w:color w:val="auto"/>
        </w:rPr>
        <w:tab/>
      </w:r>
      <w:r>
        <w:rPr>
          <w:sz w:val="1"/>
          <w:szCs w:val="1"/>
          <w:color w:val="auto"/>
        </w:rPr>
        <w:drawing>
          <wp:inline distT="0" distB="0" distL="0" distR="0">
            <wp:extent cx="342900" cy="7747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50" w:name="page51"/>
    <w:bookmarkEnd w:id="5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Results of PSU Awards Granted in Prior Fiscal Years</w:t>
      </w:r>
    </w:p>
    <w:p>
      <w:pPr>
        <w:sectPr>
          <w:pgSz w:w="11900" w:h="16838" w:orient="portrait"/>
          <w:cols w:equalWidth="0" w:num="1">
            <w:col w:w="11020"/>
          </w:cols>
          <w:pgMar w:left="440" w:top="114" w:right="439" w:bottom="1054" w:gutter="0" w:footer="0" w:header="0"/>
        </w:sectPr>
      </w:pPr>
    </w:p>
    <w:p>
      <w:pPr>
        <w:spacing w:after="0" w:line="121" w:lineRule="exact"/>
        <w:rPr>
          <w:sz w:val="20"/>
          <w:szCs w:val="20"/>
          <w:color w:val="auto"/>
        </w:rPr>
      </w:pPr>
    </w:p>
    <w:p>
      <w:pPr>
        <w:jc w:val="both"/>
        <w:ind w:left="920"/>
        <w:spacing w:after="0" w:line="242" w:lineRule="auto"/>
        <w:rPr>
          <w:sz w:val="20"/>
          <w:szCs w:val="20"/>
          <w:color w:val="auto"/>
        </w:rPr>
      </w:pPr>
      <w:r>
        <w:rPr>
          <w:rFonts w:ascii="Arial" w:cs="Arial" w:eastAsia="Arial" w:hAnsi="Arial"/>
          <w:sz w:val="18"/>
          <w:szCs w:val="18"/>
          <w:color w:val="auto"/>
        </w:rPr>
        <w:t>In August 2022, the Compensation Committee granted PSUs (the “</w:t>
      </w:r>
      <w:r>
        <w:rPr>
          <w:rFonts w:ascii="Arial" w:cs="Arial" w:eastAsia="Arial" w:hAnsi="Arial"/>
          <w:sz w:val="18"/>
          <w:szCs w:val="18"/>
          <w:b w:val="1"/>
          <w:bCs w:val="1"/>
          <w:color w:val="auto"/>
        </w:rPr>
        <w:t>FY23-24 PSUs</w:t>
      </w:r>
      <w:r>
        <w:rPr>
          <w:rFonts w:ascii="Arial" w:cs="Arial" w:eastAsia="Arial" w:hAnsi="Arial"/>
          <w:sz w:val="18"/>
          <w:szCs w:val="18"/>
          <w:color w:val="auto"/>
        </w:rPr>
        <w:t>”) and Stretch PSUs (the “</w:t>
      </w:r>
      <w:r>
        <w:rPr>
          <w:rFonts w:ascii="Arial" w:cs="Arial" w:eastAsia="Arial" w:hAnsi="Arial"/>
          <w:sz w:val="18"/>
          <w:szCs w:val="18"/>
          <w:b w:val="1"/>
          <w:bCs w:val="1"/>
          <w:color w:val="auto"/>
        </w:rPr>
        <w:t>FY23-24 Stretch PSUs</w:t>
      </w:r>
      <w:r>
        <w:rPr>
          <w:rFonts w:ascii="Arial" w:cs="Arial" w:eastAsia="Arial" w:hAnsi="Arial"/>
          <w:sz w:val="18"/>
          <w:szCs w:val="18"/>
          <w:color w:val="auto"/>
        </w:rPr>
        <w:t>”) to each of our Named Officers. These awards were eligible to be earned based on achievement of performance criteria over a two-year period that began on June 25, 2022 and ended on June 28, 2024 (the “</w:t>
      </w:r>
      <w:r>
        <w:rPr>
          <w:rFonts w:ascii="Arial" w:cs="Arial" w:eastAsia="Arial" w:hAnsi="Arial"/>
          <w:sz w:val="18"/>
          <w:szCs w:val="18"/>
          <w:b w:val="1"/>
          <w:bCs w:val="1"/>
          <w:color w:val="auto"/>
        </w:rPr>
        <w:t>FY23-24 Cycle</w:t>
      </w:r>
      <w:r>
        <w:rPr>
          <w:rFonts w:ascii="Arial" w:cs="Arial" w:eastAsia="Arial" w:hAnsi="Arial"/>
          <w:sz w:val="18"/>
          <w:szCs w:val="18"/>
          <w:color w:val="auto"/>
        </w:rPr>
        <w:t>”).</w:t>
      </w:r>
    </w:p>
    <w:p>
      <w:pPr>
        <w:spacing w:after="0" w:line="65" w:lineRule="exact"/>
        <w:rPr>
          <w:sz w:val="20"/>
          <w:szCs w:val="20"/>
          <w:color w:val="auto"/>
        </w:rPr>
      </w:pPr>
    </w:p>
    <w:p>
      <w:pPr>
        <w:jc w:val="both"/>
        <w:ind w:left="920"/>
        <w:spacing w:after="0"/>
        <w:rPr>
          <w:sz w:val="20"/>
          <w:szCs w:val="20"/>
          <w:color w:val="auto"/>
        </w:rPr>
      </w:pPr>
      <w:r>
        <w:rPr>
          <w:rFonts w:ascii="Arial" w:cs="Arial" w:eastAsia="Arial" w:hAnsi="Arial"/>
          <w:sz w:val="18"/>
          <w:szCs w:val="18"/>
          <w:b w:val="1"/>
          <w:bCs w:val="1"/>
          <w:color w:val="auto"/>
        </w:rPr>
        <w:t>For the FY23-24 Cycle, we achieved cumulative revenue of $5,528.2 million and cumulative non-GAAP operating margin of 10.72%</w:t>
      </w:r>
      <w:r>
        <w:rPr>
          <w:rFonts w:ascii="Arial" w:cs="Arial" w:eastAsia="Arial" w:hAnsi="Arial"/>
          <w:sz w:val="18"/>
          <w:szCs w:val="18"/>
          <w:color w:val="auto"/>
        </w:rPr>
        <w:t>. Our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exceeded (i) the highest revenue goal of $5,022.5 million established by the Compensation Committee under the FY23-24 PSUs and (ii) the highest revenue goal of $5,273.6 million under the FY23-24 Stretch PSUs.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right="920"/>
        <w:spacing w:after="0" w:line="237" w:lineRule="auto"/>
        <w:rPr>
          <w:sz w:val="20"/>
          <w:szCs w:val="20"/>
          <w:color w:val="auto"/>
        </w:rPr>
      </w:pPr>
      <w:r>
        <w:rPr>
          <w:rFonts w:ascii="Arial" w:cs="Arial" w:eastAsia="Arial" w:hAnsi="Arial"/>
          <w:sz w:val="18"/>
          <w:szCs w:val="18"/>
          <w:color w:val="auto"/>
        </w:rPr>
        <w:t xml:space="preserve">cumulative non-GAAP operating margin exceeded (i) the highest non-GAAP operating margin goal of 10.0% established by the Compensation Committee under the FY23-24 PSUs and (ii) the highest non-GAAP operating margin goal of 10.5% under the FY23-24 Stretch PSUs. Accordingly, on August 13, 2024, the Compensation Committee certified that </w:t>
      </w:r>
      <w:r>
        <w:rPr>
          <w:rFonts w:ascii="Arial" w:cs="Arial" w:eastAsia="Arial" w:hAnsi="Arial"/>
          <w:sz w:val="18"/>
          <w:szCs w:val="18"/>
          <w:b w:val="1"/>
          <w:bCs w:val="1"/>
          <w:color w:val="auto"/>
        </w:rPr>
        <w:t>100% of the</w:t>
      </w:r>
    </w:p>
    <w:p>
      <w:pPr>
        <w:spacing w:after="0" w:line="5" w:lineRule="exact"/>
        <w:rPr>
          <w:sz w:val="20"/>
          <w:szCs w:val="20"/>
          <w:color w:val="auto"/>
        </w:rPr>
      </w:pPr>
    </w:p>
    <w:p>
      <w:pPr>
        <w:jc w:val="both"/>
        <w:ind w:right="940"/>
        <w:spacing w:after="0" w:line="243" w:lineRule="auto"/>
        <w:rPr>
          <w:sz w:val="20"/>
          <w:szCs w:val="20"/>
          <w:color w:val="auto"/>
        </w:rPr>
      </w:pPr>
      <w:r>
        <w:rPr>
          <w:rFonts w:ascii="Arial" w:cs="Arial" w:eastAsia="Arial" w:hAnsi="Arial"/>
          <w:sz w:val="18"/>
          <w:szCs w:val="18"/>
          <w:b w:val="1"/>
          <w:bCs w:val="1"/>
          <w:color w:val="auto"/>
        </w:rPr>
        <w:t>FY23-24 PSUs and 100% of the FY23-24 Stretch PSUs were earned because we achieved all of the rigorous performance measures for the FY23-24 Cycle.</w:t>
      </w:r>
    </w:p>
    <w:p>
      <w:pPr>
        <w:spacing w:after="0" w:line="62" w:lineRule="exact"/>
        <w:rPr>
          <w:sz w:val="20"/>
          <w:szCs w:val="20"/>
          <w:color w:val="auto"/>
        </w:rPr>
      </w:pPr>
    </w:p>
    <w:p>
      <w:pPr>
        <w:jc w:val="both"/>
        <w:ind w:right="940"/>
        <w:spacing w:after="0" w:line="247" w:lineRule="auto"/>
        <w:rPr>
          <w:sz w:val="20"/>
          <w:szCs w:val="20"/>
          <w:color w:val="auto"/>
        </w:rPr>
      </w:pPr>
      <w:r>
        <w:rPr>
          <w:rFonts w:ascii="Arial" w:cs="Arial" w:eastAsia="Arial" w:hAnsi="Arial"/>
          <w:sz w:val="18"/>
          <w:szCs w:val="18"/>
          <w:color w:val="auto"/>
        </w:rPr>
        <w:t>The tables below provide information regarding the FY23-24 PSUs and FY23-24 Stretch PSUs, including the performance requirements and number of our ordinary shares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62230</wp:posOffset>
            </wp:positionV>
            <wp:extent cx="5829300" cy="283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2930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320"/>
            <w:col w:w="5360"/>
          </w:cols>
          <w:pgMar w:left="440" w:top="114" w:right="439" w:bottom="1054" w:gutter="0" w:footer="0" w:header="0"/>
          <w:type w:val="continuous"/>
        </w:sectPr>
      </w:pP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578255"/>
        </w:rPr>
        <w:t>FY23-24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676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0" cy="676910"/>
                    </a:xfrm>
                    <a:prstGeom prst="rect">
                      <a:avLst/>
                    </a:prstGeom>
                    <a:noFill/>
                  </pic:spPr>
                </pic:pic>
              </a:graphicData>
            </a:graphic>
          </wp:anchor>
        </w:drawing>
      </w:r>
    </w:p>
    <w:p>
      <w:pPr>
        <w:sectPr>
          <w:pgSz w:w="11900" w:h="16838" w:orient="portrait"/>
          <w:cols w:equalWidth="0" w:num="1">
            <w:col w:w="11020"/>
          </w:cols>
          <w:pgMar w:left="440" w:top="114" w:right="439" w:bottom="1054" w:gutter="0" w:footer="0" w:header="0"/>
          <w:type w:val="continuous"/>
        </w:sectPr>
      </w:pPr>
    </w:p>
    <w:p>
      <w:pPr>
        <w:spacing w:after="0" w:line="11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w w:val="99"/>
              </w:rPr>
              <w:t>Target (and</w:t>
            </w:r>
          </w:p>
        </w:tc>
        <w:tc>
          <w:tcPr>
            <w:tcW w:w="12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Maximum)</w:t>
            </w:r>
          </w:p>
        </w:tc>
        <w:tc>
          <w:tcPr>
            <w:tcW w:w="1240" w:type="dxa"/>
            <w:vAlign w:val="bottom"/>
          </w:tcPr>
          <w:p>
            <w:pPr>
              <w:jc w:val="center"/>
              <w:ind w:left="2"/>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Number</w:t>
            </w: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That Could Have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rPr>
              <w:t>Date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Vested for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w w:val="99"/>
              </w:rPr>
              <w:t>Vested for</w:t>
            </w:r>
          </w:p>
        </w:tc>
      </w:tr>
      <w:tr>
        <w:trPr>
          <w:trHeight w:val="196"/>
        </w:trPr>
        <w:tc>
          <w:tcPr>
            <w:tcW w:w="1100" w:type="dxa"/>
            <w:vAlign w:val="bottom"/>
          </w:tcPr>
          <w:p>
            <w:pPr>
              <w:ind w:left="80"/>
              <w:spacing w:after="0"/>
              <w:rPr>
                <w:sz w:val="20"/>
                <w:szCs w:val="20"/>
                <w:color w:val="auto"/>
              </w:rPr>
            </w:pPr>
            <w:r>
              <w:rPr>
                <w:rFonts w:ascii="Arial" w:cs="Arial" w:eastAsia="Arial" w:hAnsi="Arial"/>
                <w:sz w:val="14"/>
                <w:szCs w:val="14"/>
                <w:b w:val="1"/>
                <w:bCs w:val="1"/>
                <w:color w:val="FFFFFF"/>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rPr>
              <w:t>Grant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FY23-24 Cycle</w:t>
            </w:r>
          </w:p>
        </w:tc>
        <w:tc>
          <w:tcPr>
            <w:tcW w:w="1240" w:type="dxa"/>
            <w:vAlign w:val="bottom"/>
          </w:tcPr>
          <w:p>
            <w:pPr>
              <w:jc w:val="center"/>
              <w:ind w:left="2"/>
              <w:spacing w:after="0"/>
              <w:rPr>
                <w:sz w:val="20"/>
                <w:szCs w:val="20"/>
                <w:color w:val="auto"/>
              </w:rPr>
            </w:pPr>
            <w:r>
              <w:rPr>
                <w:rFonts w:ascii="Arial" w:cs="Arial" w:eastAsia="Arial" w:hAnsi="Arial"/>
                <w:sz w:val="14"/>
                <w:szCs w:val="14"/>
                <w:b w:val="1"/>
                <w:bCs w:val="1"/>
                <w:color w:val="FFFFFF"/>
              </w:rPr>
              <w:t>FY23-24 Cycle</w:t>
            </w:r>
          </w:p>
        </w:tc>
      </w:tr>
      <w:tr>
        <w:trPr>
          <w:trHeight w:val="29"/>
        </w:trPr>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7"/>
        </w:trPr>
        <w:tc>
          <w:tcPr>
            <w:tcW w:w="11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Mr. Grady</w:t>
            </w:r>
          </w:p>
        </w:tc>
        <w:tc>
          <w:tcPr>
            <w:tcW w:w="11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w w:val="99"/>
              </w:rPr>
              <w:t>21,303</w:t>
            </w:r>
          </w:p>
        </w:tc>
        <w:tc>
          <w:tcPr>
            <w:tcW w:w="1240" w:type="dxa"/>
            <w:vAlign w:val="bottom"/>
            <w:tcBorders>
              <w:bottom w:val="single" w:sz="8" w:color="E5E9E3"/>
            </w:tcBorders>
            <w:shd w:val="clear" w:color="auto" w:fill="E5E9E3"/>
          </w:tcPr>
          <w:p>
            <w:pPr>
              <w:jc w:val="center"/>
              <w:ind w:left="2"/>
              <w:spacing w:after="0"/>
              <w:rPr>
                <w:sz w:val="20"/>
                <w:szCs w:val="20"/>
                <w:color w:val="auto"/>
              </w:rPr>
            </w:pPr>
            <w:r>
              <w:rPr>
                <w:rFonts w:ascii="Arial" w:cs="Arial" w:eastAsia="Arial" w:hAnsi="Arial"/>
                <w:sz w:val="17"/>
                <w:szCs w:val="17"/>
                <w:color w:val="auto"/>
                <w:w w:val="99"/>
              </w:rPr>
              <w:t>21,303</w:t>
            </w:r>
          </w:p>
        </w:tc>
      </w:tr>
      <w:tr>
        <w:trPr>
          <w:trHeight w:val="257"/>
        </w:trPr>
        <w:tc>
          <w:tcPr>
            <w:tcW w:w="1100" w:type="dxa"/>
            <w:vAlign w:val="bottom"/>
          </w:tcPr>
          <w:p>
            <w:pPr>
              <w:ind w:left="80"/>
              <w:spacing w:after="0"/>
              <w:rPr>
                <w:sz w:val="20"/>
                <w:szCs w:val="20"/>
                <w:color w:val="auto"/>
              </w:rPr>
            </w:pPr>
            <w:r>
              <w:rPr>
                <w:rFonts w:ascii="Arial" w:cs="Arial" w:eastAsia="Arial" w:hAnsi="Arial"/>
                <w:sz w:val="17"/>
                <w:szCs w:val="17"/>
                <w:color w:val="auto"/>
              </w:rPr>
              <w:t>Dr. Gill</w:t>
            </w:r>
          </w:p>
        </w:tc>
        <w:tc>
          <w:tcPr>
            <w:tcW w:w="1100" w:type="dxa"/>
            <w:vAlign w:val="bottom"/>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Pr>
          <w:p>
            <w:pPr>
              <w:jc w:val="center"/>
              <w:spacing w:after="0"/>
              <w:rPr>
                <w:sz w:val="20"/>
                <w:szCs w:val="20"/>
                <w:color w:val="auto"/>
              </w:rPr>
            </w:pPr>
            <w:r>
              <w:rPr>
                <w:rFonts w:ascii="Arial" w:cs="Arial" w:eastAsia="Arial" w:hAnsi="Arial"/>
                <w:sz w:val="17"/>
                <w:szCs w:val="17"/>
                <w:color w:val="auto"/>
                <w:w w:val="99"/>
              </w:rPr>
              <w:t>13,634</w:t>
            </w:r>
          </w:p>
        </w:tc>
        <w:tc>
          <w:tcPr>
            <w:tcW w:w="1240" w:type="dxa"/>
            <w:vAlign w:val="bottom"/>
          </w:tcPr>
          <w:p>
            <w:pPr>
              <w:jc w:val="center"/>
              <w:ind w:left="2"/>
              <w:spacing w:after="0"/>
              <w:rPr>
                <w:sz w:val="20"/>
                <w:szCs w:val="20"/>
                <w:color w:val="auto"/>
              </w:rPr>
            </w:pPr>
            <w:r>
              <w:rPr>
                <w:rFonts w:ascii="Arial" w:cs="Arial" w:eastAsia="Arial" w:hAnsi="Arial"/>
                <w:sz w:val="17"/>
                <w:szCs w:val="17"/>
                <w:color w:val="auto"/>
                <w:w w:val="99"/>
              </w:rPr>
              <w:t>13,634</w:t>
            </w:r>
          </w:p>
        </w:tc>
      </w:tr>
      <w:tr>
        <w:trPr>
          <w:trHeight w:val="40"/>
        </w:trPr>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11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Mr​. Sverha</w:t>
            </w:r>
          </w:p>
        </w:tc>
        <w:tc>
          <w:tcPr>
            <w:tcW w:w="11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rPr>
              <w:t>7,243</w:t>
            </w:r>
          </w:p>
        </w:tc>
        <w:tc>
          <w:tcPr>
            <w:tcW w:w="1240" w:type="dxa"/>
            <w:vAlign w:val="bottom"/>
            <w:tcBorders>
              <w:bottom w:val="single" w:sz="8" w:color="E5E9E3"/>
            </w:tcBorders>
            <w:shd w:val="clear" w:color="auto" w:fill="E5E9E3"/>
          </w:tcPr>
          <w:p>
            <w:pPr>
              <w:jc w:val="center"/>
              <w:ind w:left="2"/>
              <w:spacing w:after="0"/>
              <w:rPr>
                <w:sz w:val="20"/>
                <w:szCs w:val="20"/>
                <w:color w:val="auto"/>
              </w:rPr>
            </w:pPr>
            <w:r>
              <w:rPr>
                <w:rFonts w:ascii="Arial" w:cs="Arial" w:eastAsia="Arial" w:hAnsi="Arial"/>
                <w:sz w:val="17"/>
                <w:szCs w:val="17"/>
                <w:color w:val="auto"/>
              </w:rPr>
              <w:t>7,243</w:t>
            </w:r>
          </w:p>
        </w:tc>
      </w:tr>
      <w:tr>
        <w:trPr>
          <w:trHeight w:val="257"/>
        </w:trPr>
        <w:tc>
          <w:tcPr>
            <w:tcW w:w="1100" w:type="dxa"/>
            <w:vAlign w:val="bottom"/>
          </w:tcPr>
          <w:p>
            <w:pPr>
              <w:ind w:left="80"/>
              <w:spacing w:after="0"/>
              <w:rPr>
                <w:sz w:val="20"/>
                <w:szCs w:val="20"/>
                <w:color w:val="auto"/>
              </w:rPr>
            </w:pPr>
            <w:r>
              <w:rPr>
                <w:rFonts w:ascii="Arial" w:cs="Arial" w:eastAsia="Arial" w:hAnsi="Arial"/>
                <w:sz w:val="17"/>
                <w:szCs w:val="17"/>
                <w:color w:val="auto"/>
              </w:rPr>
              <w:t>Mr. Archer</w:t>
            </w:r>
          </w:p>
        </w:tc>
        <w:tc>
          <w:tcPr>
            <w:tcW w:w="1100" w:type="dxa"/>
            <w:vAlign w:val="bottom"/>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Pr>
          <w:p>
            <w:pPr>
              <w:jc w:val="center"/>
              <w:spacing w:after="0"/>
              <w:rPr>
                <w:sz w:val="20"/>
                <w:szCs w:val="20"/>
                <w:color w:val="auto"/>
              </w:rPr>
            </w:pPr>
            <w:r>
              <w:rPr>
                <w:rFonts w:ascii="Arial" w:cs="Arial" w:eastAsia="Arial" w:hAnsi="Arial"/>
                <w:sz w:val="17"/>
                <w:szCs w:val="17"/>
                <w:color w:val="auto"/>
              </w:rPr>
              <w:t>6,391</w:t>
            </w:r>
          </w:p>
        </w:tc>
        <w:tc>
          <w:tcPr>
            <w:tcW w:w="1240" w:type="dxa"/>
            <w:vAlign w:val="bottom"/>
          </w:tcPr>
          <w:p>
            <w:pPr>
              <w:jc w:val="center"/>
              <w:ind w:left="2"/>
              <w:spacing w:after="0"/>
              <w:rPr>
                <w:sz w:val="20"/>
                <w:szCs w:val="20"/>
                <w:color w:val="auto"/>
              </w:rPr>
            </w:pPr>
            <w:r>
              <w:rPr>
                <w:rFonts w:ascii="Arial" w:cs="Arial" w:eastAsia="Arial" w:hAnsi="Arial"/>
                <w:sz w:val="17"/>
                <w:szCs w:val="17"/>
                <w:color w:val="auto"/>
              </w:rPr>
              <w:t>6,391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625475</wp:posOffset>
            </wp:positionV>
            <wp:extent cx="5829300" cy="603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6032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857250</wp:posOffset>
            </wp:positionV>
            <wp:extent cx="5829300" cy="2825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930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left="-1139"/>
        <w:spacing w:after="0"/>
        <w:rPr>
          <w:sz w:val="20"/>
          <w:szCs w:val="20"/>
          <w:color w:val="auto"/>
        </w:rPr>
      </w:pPr>
      <w:r>
        <w:rPr>
          <w:rFonts w:ascii="Arial" w:cs="Arial" w:eastAsia="Arial" w:hAnsi="Arial"/>
          <w:sz w:val="14"/>
          <w:szCs w:val="14"/>
          <w:b w:val="1"/>
          <w:bCs w:val="1"/>
          <w:color w:val="FFFFFF"/>
        </w:rPr>
        <w:t>Actual</w:t>
      </w:r>
    </w:p>
    <w:p>
      <w:pPr>
        <w:spacing w:after="0" w:line="15" w:lineRule="exact"/>
        <w:rPr>
          <w:sz w:val="20"/>
          <w:szCs w:val="20"/>
          <w:color w:val="auto"/>
        </w:rPr>
      </w:pPr>
    </w:p>
    <w:p>
      <w:pPr>
        <w:jc w:val="center"/>
        <w:ind w:left="-1139"/>
        <w:spacing w:after="0"/>
        <w:rPr>
          <w:sz w:val="20"/>
          <w:szCs w:val="20"/>
          <w:color w:val="auto"/>
        </w:rPr>
      </w:pPr>
      <w:r>
        <w:rPr>
          <w:rFonts w:ascii="Arial" w:cs="Arial" w:eastAsia="Arial" w:hAnsi="Arial"/>
          <w:sz w:val="14"/>
          <w:szCs w:val="14"/>
          <w:b w:val="1"/>
          <w:bCs w:val="1"/>
          <w:color w:val="FFFFFF"/>
        </w:rPr>
        <w:t>Performance</w:t>
      </w:r>
    </w:p>
    <w:p>
      <w:pPr>
        <w:spacing w:after="0" w:line="1" w:lineRule="exact"/>
        <w:rPr>
          <w:sz w:val="20"/>
          <w:szCs w:val="20"/>
          <w:color w:val="auto"/>
        </w:rPr>
      </w:pPr>
    </w:p>
    <w:p>
      <w:pPr>
        <w:ind w:left="440"/>
        <w:spacing w:after="0"/>
        <w:tabs>
          <w:tab w:leader="none" w:pos="3180" w:val="left"/>
        </w:tabs>
        <w:rPr>
          <w:sz w:val="20"/>
          <w:szCs w:val="20"/>
          <w:color w:val="auto"/>
        </w:rPr>
      </w:pPr>
      <w:r>
        <w:rPr>
          <w:rFonts w:ascii="Arial" w:cs="Arial" w:eastAsia="Arial" w:hAnsi="Arial"/>
          <w:sz w:val="14"/>
          <w:szCs w:val="14"/>
          <w:b w:val="1"/>
          <w:bCs w:val="1"/>
          <w:color w:val="FFFFFF"/>
        </w:rPr>
        <w:t>Performance Measures</w:t>
      </w:r>
      <w:r>
        <w:rPr>
          <w:sz w:val="20"/>
          <w:szCs w:val="20"/>
          <w:color w:val="auto"/>
        </w:rPr>
        <w:tab/>
      </w:r>
      <w:r>
        <w:rPr>
          <w:rFonts w:ascii="Arial" w:cs="Arial" w:eastAsia="Arial" w:hAnsi="Arial"/>
          <w:sz w:val="14"/>
          <w:szCs w:val="14"/>
          <w:b w:val="1"/>
          <w:bCs w:val="1"/>
          <w:color w:val="FFFFFF"/>
        </w:rPr>
        <w:t>for</w:t>
      </w:r>
    </w:p>
    <w:p>
      <w:pPr>
        <w:spacing w:after="0" w:line="1" w:lineRule="exact"/>
        <w:rPr>
          <w:sz w:val="20"/>
          <w:szCs w:val="20"/>
          <w:color w:val="auto"/>
        </w:rPr>
      </w:pPr>
    </w:p>
    <w:p>
      <w:pPr>
        <w:ind w:left="640"/>
        <w:spacing w:after="0"/>
        <w:tabs>
          <w:tab w:leader="none" w:pos="2800" w:val="left"/>
        </w:tabs>
        <w:rPr>
          <w:sz w:val="20"/>
          <w:szCs w:val="20"/>
          <w:color w:val="auto"/>
        </w:rPr>
      </w:pPr>
      <w:r>
        <w:rPr>
          <w:rFonts w:ascii="Arial" w:cs="Arial" w:eastAsia="Arial" w:hAnsi="Arial"/>
          <w:sz w:val="14"/>
          <w:szCs w:val="14"/>
          <w:b w:val="1"/>
          <w:bCs w:val="1"/>
          <w:color w:val="FFFFFF"/>
        </w:rPr>
        <w:t>for FY23-24 Cycle</w:t>
      </w:r>
      <w:r>
        <w:rPr>
          <w:sz w:val="20"/>
          <w:szCs w:val="20"/>
          <w:color w:val="auto"/>
        </w:rPr>
        <w:tab/>
      </w:r>
      <w:r>
        <w:rPr>
          <w:rFonts w:ascii="Arial" w:cs="Arial" w:eastAsia="Arial" w:hAnsi="Arial"/>
          <w:sz w:val="14"/>
          <w:szCs w:val="14"/>
          <w:b w:val="1"/>
          <w:bCs w:val="1"/>
          <w:color w:val="FFFFFF"/>
        </w:rPr>
        <w:t>FY23-24 Cycle</w:t>
      </w:r>
    </w:p>
    <w:p>
      <w:pPr>
        <w:spacing w:after="0" w:line="82" w:lineRule="exact"/>
        <w:rPr>
          <w:sz w:val="20"/>
          <w:szCs w:val="20"/>
          <w:color w:val="auto"/>
        </w:rPr>
      </w:pPr>
    </w:p>
    <w:p>
      <w:pPr>
        <w:spacing w:after="0"/>
        <w:tabs>
          <w:tab w:leader="none" w:pos="2640" w:val="left"/>
        </w:tabs>
        <w:rPr>
          <w:sz w:val="20"/>
          <w:szCs w:val="20"/>
          <w:color w:val="auto"/>
        </w:rPr>
      </w:pPr>
      <w:r>
        <w:rPr>
          <w:rFonts w:ascii="Arial" w:cs="Arial" w:eastAsia="Arial" w:hAnsi="Arial"/>
          <w:sz w:val="17"/>
          <w:szCs w:val="17"/>
          <w:color w:val="auto"/>
        </w:rPr>
        <w:t xml:space="preserve">  </w:t>
      </w:r>
      <w:r>
        <w:rPr>
          <w:sz w:val="1"/>
          <w:szCs w:val="1"/>
          <w:color w:val="auto"/>
        </w:rPr>
        <w:drawing>
          <wp:inline distT="0" distB="0" distL="0" distR="0">
            <wp:extent cx="94615" cy="9398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7"/>
          <w:szCs w:val="17"/>
          <w:color w:val="auto"/>
        </w:rPr>
        <w:t>     10% to 50% vesting</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93980" cy="9398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3"/>
          <w:szCs w:val="13"/>
          <w:color w:val="auto"/>
        </w:rPr>
        <w:t>     Revenue of</w:t>
      </w:r>
    </w:p>
    <w:p>
      <w:pPr>
        <w:spacing w:after="0" w:line="3" w:lineRule="exact"/>
        <w:rPr>
          <w:sz w:val="20"/>
          <w:szCs w:val="20"/>
          <w:color w:val="auto"/>
        </w:rPr>
      </w:pPr>
    </w:p>
    <w:p>
      <w:pPr>
        <w:ind w:left="480"/>
        <w:spacing w:after="0"/>
        <w:tabs>
          <w:tab w:leader="none" w:pos="3140" w:val="left"/>
        </w:tabs>
        <w:rPr>
          <w:sz w:val="20"/>
          <w:szCs w:val="20"/>
          <w:color w:val="auto"/>
        </w:rPr>
      </w:pPr>
      <w:r>
        <w:rPr>
          <w:rFonts w:ascii="Arial" w:cs="Arial" w:eastAsia="Arial" w:hAnsi="Arial"/>
          <w:sz w:val="17"/>
          <w:szCs w:val="17"/>
          <w:color w:val="auto"/>
        </w:rPr>
        <w:t>based on achievement of</w:t>
      </w:r>
      <w:r>
        <w:rPr>
          <w:sz w:val="20"/>
          <w:szCs w:val="20"/>
          <w:color w:val="auto"/>
        </w:rPr>
        <w:tab/>
      </w:r>
      <w:r>
        <w:rPr>
          <w:rFonts w:ascii="Arial" w:cs="Arial" w:eastAsia="Arial" w:hAnsi="Arial"/>
          <w:sz w:val="15"/>
          <w:szCs w:val="15"/>
          <w:color w:val="auto"/>
        </w:rPr>
        <w:t>$5,528.2</w:t>
      </w:r>
    </w:p>
    <w:p>
      <w:pPr>
        <w:ind w:left="480"/>
        <w:spacing w:after="0"/>
        <w:tabs>
          <w:tab w:leader="none" w:pos="3140" w:val="left"/>
        </w:tabs>
        <w:rPr>
          <w:sz w:val="20"/>
          <w:szCs w:val="20"/>
          <w:color w:val="auto"/>
        </w:rPr>
      </w:pPr>
      <w:r>
        <w:rPr>
          <w:rFonts w:ascii="Arial" w:cs="Arial" w:eastAsia="Arial" w:hAnsi="Arial"/>
          <w:sz w:val="17"/>
          <w:szCs w:val="17"/>
          <w:color w:val="auto"/>
        </w:rPr>
        <w:t>revenue between</w:t>
      </w:r>
      <w:r>
        <w:rPr>
          <w:sz w:val="20"/>
          <w:szCs w:val="20"/>
          <w:color w:val="auto"/>
        </w:rPr>
        <w:tab/>
      </w:r>
      <w:r>
        <w:rPr>
          <w:rFonts w:ascii="Arial" w:cs="Arial" w:eastAsia="Arial" w:hAnsi="Arial"/>
          <w:sz w:val="15"/>
          <w:szCs w:val="15"/>
          <w:color w:val="auto"/>
        </w:rPr>
        <w:t>million</w:t>
      </w:r>
    </w:p>
    <w:p>
      <w:pPr>
        <w:ind w:left="480"/>
        <w:spacing w:after="0"/>
        <w:tabs>
          <w:tab w:leader="none" w:pos="3000" w:val="left"/>
        </w:tabs>
        <w:rPr>
          <w:sz w:val="20"/>
          <w:szCs w:val="20"/>
          <w:color w:val="auto"/>
        </w:rPr>
      </w:pPr>
      <w:r>
        <w:rPr>
          <w:rFonts w:ascii="Arial" w:cs="Arial" w:eastAsia="Arial" w:hAnsi="Arial"/>
          <w:sz w:val="17"/>
          <w:szCs w:val="17"/>
          <w:b w:val="1"/>
          <w:bCs w:val="1"/>
          <w:color w:val="auto"/>
        </w:rPr>
        <w:t>$4,520.3 million and</w:t>
      </w:r>
      <w:r>
        <w:rPr>
          <w:sz w:val="20"/>
          <w:szCs w:val="20"/>
          <w:color w:val="auto"/>
        </w:rPr>
        <w:tab/>
      </w:r>
      <w:r>
        <w:rPr>
          <w:rFonts w:ascii="Arial" w:cs="Arial" w:eastAsia="Arial" w:hAnsi="Arial"/>
          <w:sz w:val="6"/>
          <w:szCs w:val="6"/>
          <w:color w:val="auto"/>
        </w:rPr>
        <w:t> </w:t>
      </w:r>
    </w:p>
    <w:p>
      <w:pPr>
        <w:ind w:left="480"/>
        <w:spacing w:after="0"/>
        <w:tabs>
          <w:tab w:leader="none" w:pos="3000" w:val="left"/>
        </w:tabs>
        <w:rPr>
          <w:sz w:val="20"/>
          <w:szCs w:val="20"/>
          <w:color w:val="auto"/>
        </w:rPr>
      </w:pPr>
      <w:r>
        <w:rPr>
          <w:rFonts w:ascii="Arial" w:cs="Arial" w:eastAsia="Arial" w:hAnsi="Arial"/>
          <w:sz w:val="17"/>
          <w:szCs w:val="17"/>
          <w:b w:val="1"/>
          <w:bCs w:val="1"/>
          <w:color w:val="auto"/>
        </w:rPr>
        <w:t>5,022.5 million</w:t>
      </w:r>
      <w:r>
        <w:rPr>
          <w:sz w:val="20"/>
          <w:szCs w:val="20"/>
          <w:color w:val="auto"/>
        </w:rPr>
        <w:tab/>
      </w:r>
      <w:r>
        <w:rPr>
          <w:rFonts w:ascii="Arial" w:cs="Arial" w:eastAsia="Arial" w:hAnsi="Arial"/>
          <w:sz w:val="6"/>
          <w:szCs w:val="6"/>
          <w:color w:val="auto"/>
        </w:rPr>
        <w:t> </w:t>
      </w:r>
    </w:p>
    <w:p>
      <w:pPr>
        <w:ind w:left="360"/>
        <w:spacing w:after="0" w:line="232" w:lineRule="auto"/>
        <w:tabs>
          <w:tab w:leader="none" w:pos="26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xml:space="preserve">  </w:t>
      </w:r>
      <w:r>
        <w:rPr>
          <w:sz w:val="1"/>
          <w:szCs w:val="1"/>
          <w:color w:val="auto"/>
        </w:rPr>
        <w:drawing>
          <wp:inline distT="0" distB="0" distL="0" distR="0">
            <wp:extent cx="93980" cy="9398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auto"/>
        </w:rPr>
        <w:t>     Non-</w:t>
      </w:r>
    </w:p>
    <w:p>
      <w:pPr>
        <w:spacing w:after="0"/>
        <w:tabs>
          <w:tab w:leader="none" w:pos="3140" w:val="left"/>
        </w:tabs>
        <w:rPr>
          <w:sz w:val="20"/>
          <w:szCs w:val="20"/>
          <w:color w:val="auto"/>
        </w:rPr>
      </w:pPr>
      <w:r>
        <w:rPr>
          <w:rFonts w:ascii="Arial" w:cs="Arial" w:eastAsia="Arial" w:hAnsi="Arial"/>
          <w:sz w:val="17"/>
          <w:szCs w:val="17"/>
          <w:color w:val="auto"/>
        </w:rPr>
        <w:t xml:space="preserve">  </w:t>
      </w:r>
      <w:r>
        <w:rPr>
          <w:sz w:val="1"/>
          <w:szCs w:val="1"/>
          <w:color w:val="auto"/>
        </w:rPr>
        <w:drawing>
          <wp:inline distT="0" distB="0" distL="0" distR="0">
            <wp:extent cx="94615" cy="9398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7"/>
          <w:szCs w:val="17"/>
          <w:color w:val="auto"/>
        </w:rPr>
        <w:t>     10% to 50% vesting</w:t>
      </w:r>
      <w:r>
        <w:rPr>
          <w:sz w:val="20"/>
          <w:szCs w:val="20"/>
          <w:color w:val="auto"/>
        </w:rPr>
        <w:tab/>
      </w:r>
      <w:r>
        <w:rPr>
          <w:rFonts w:ascii="Arial" w:cs="Arial" w:eastAsia="Arial" w:hAnsi="Arial"/>
          <w:sz w:val="16"/>
          <w:szCs w:val="16"/>
          <w:color w:val="auto"/>
        </w:rPr>
        <w:t>GAAP</w:t>
      </w:r>
    </w:p>
    <w:p>
      <w:pPr>
        <w:ind w:left="480"/>
        <w:spacing w:after="0"/>
        <w:tabs>
          <w:tab w:leader="none" w:pos="3140" w:val="left"/>
        </w:tabs>
        <w:rPr>
          <w:sz w:val="20"/>
          <w:szCs w:val="20"/>
          <w:color w:val="auto"/>
        </w:rPr>
      </w:pPr>
      <w:r>
        <w:rPr>
          <w:rFonts w:ascii="Arial" w:cs="Arial" w:eastAsia="Arial" w:hAnsi="Arial"/>
          <w:sz w:val="17"/>
          <w:szCs w:val="17"/>
          <w:color w:val="auto"/>
        </w:rPr>
        <w:t>based on achievement of</w:t>
      </w:r>
      <w:r>
        <w:rPr>
          <w:sz w:val="20"/>
          <w:szCs w:val="20"/>
          <w:color w:val="auto"/>
        </w:rPr>
        <w:tab/>
      </w:r>
      <w:r>
        <w:rPr>
          <w:rFonts w:ascii="Arial" w:cs="Arial" w:eastAsia="Arial" w:hAnsi="Arial"/>
          <w:sz w:val="16"/>
          <w:szCs w:val="16"/>
          <w:color w:val="auto"/>
        </w:rPr>
        <w:t>operating</w:t>
      </w:r>
    </w:p>
    <w:p>
      <w:pPr>
        <w:ind w:left="480"/>
        <w:spacing w:after="0"/>
        <w:tabs>
          <w:tab w:leader="none" w:pos="3140" w:val="left"/>
        </w:tabs>
        <w:rPr>
          <w:sz w:val="20"/>
          <w:szCs w:val="20"/>
          <w:color w:val="auto"/>
        </w:rPr>
      </w:pPr>
      <w:r>
        <w:rPr>
          <w:rFonts w:ascii="Arial" w:cs="Arial" w:eastAsia="Arial" w:hAnsi="Arial"/>
          <w:sz w:val="17"/>
          <w:szCs w:val="17"/>
          <w:color w:val="auto"/>
        </w:rPr>
        <w:t>non-GAAP operating</w:t>
      </w:r>
      <w:r>
        <w:rPr>
          <w:sz w:val="20"/>
          <w:szCs w:val="20"/>
          <w:color w:val="auto"/>
        </w:rPr>
        <w:tab/>
      </w:r>
      <w:r>
        <w:rPr>
          <w:rFonts w:ascii="Arial" w:cs="Arial" w:eastAsia="Arial" w:hAnsi="Arial"/>
          <w:sz w:val="16"/>
          <w:szCs w:val="16"/>
          <w:color w:val="auto"/>
        </w:rPr>
        <w:t>margin of</w:t>
      </w:r>
    </w:p>
    <w:p>
      <w:pPr>
        <w:ind w:left="480"/>
        <w:spacing w:after="0" w:line="232" w:lineRule="auto"/>
        <w:tabs>
          <w:tab w:leader="none" w:pos="3140" w:val="left"/>
        </w:tabs>
        <w:rPr>
          <w:sz w:val="20"/>
          <w:szCs w:val="20"/>
          <w:color w:val="auto"/>
        </w:rPr>
      </w:pPr>
      <w:r>
        <w:rPr>
          <w:rFonts w:ascii="Arial" w:cs="Arial" w:eastAsia="Arial" w:hAnsi="Arial"/>
          <w:sz w:val="17"/>
          <w:szCs w:val="17"/>
          <w:color w:val="auto"/>
        </w:rPr>
        <w:t xml:space="preserve">margin between </w:t>
      </w:r>
      <w:r>
        <w:rPr>
          <w:rFonts w:ascii="Arial" w:cs="Arial" w:eastAsia="Arial" w:hAnsi="Arial"/>
          <w:sz w:val="17"/>
          <w:szCs w:val="17"/>
          <w:b w:val="1"/>
          <w:bCs w:val="1"/>
          <w:color w:val="auto"/>
        </w:rPr>
        <w:t>9.0% and</w:t>
      </w:r>
      <w:r>
        <w:rPr>
          <w:sz w:val="20"/>
          <w:szCs w:val="20"/>
          <w:color w:val="auto"/>
        </w:rPr>
        <w:tab/>
      </w:r>
      <w:r>
        <w:rPr>
          <w:rFonts w:ascii="Arial" w:cs="Arial" w:eastAsia="Arial" w:hAnsi="Arial"/>
          <w:sz w:val="17"/>
          <w:szCs w:val="17"/>
          <w:color w:val="auto"/>
        </w:rPr>
        <w:t>10.72%</w:t>
      </w:r>
    </w:p>
    <w:p>
      <w:pPr>
        <w:ind w:left="480"/>
        <w:spacing w:after="0"/>
        <w:rPr>
          <w:sz w:val="20"/>
          <w:szCs w:val="20"/>
          <w:color w:val="auto"/>
        </w:rPr>
      </w:pPr>
      <w:r>
        <w:rPr>
          <w:rFonts w:ascii="Arial" w:cs="Arial" w:eastAsia="Arial" w:hAnsi="Arial"/>
          <w:sz w:val="17"/>
          <w:szCs w:val="17"/>
          <w:b w:val="1"/>
          <w:bCs w:val="1"/>
          <w:color w:val="auto"/>
        </w:rPr>
        <w:t>10.0%</w:t>
      </w:r>
    </w:p>
    <w:p>
      <w:pPr>
        <w:spacing w:after="0" w:line="200" w:lineRule="exact"/>
        <w:rPr>
          <w:sz w:val="20"/>
          <w:szCs w:val="20"/>
          <w:color w:val="auto"/>
        </w:rPr>
      </w:pPr>
    </w:p>
    <w:p>
      <w:pPr>
        <w:sectPr>
          <w:pgSz w:w="11900" w:h="16838" w:orient="portrait"/>
          <w:cols w:equalWidth="0" w:num="2">
            <w:col w:w="5900" w:space="100"/>
            <w:col w:w="5020"/>
          </w:cols>
          <w:pgMar w:left="440" w:top="114" w:right="439" w:bottom="1054" w:gutter="0" w:footer="0" w:header="0"/>
          <w:type w:val="continuous"/>
        </w:sectPr>
      </w:pP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578255"/>
        </w:rPr>
        <w:t>FY23-24 Stretch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53340</wp:posOffset>
            </wp:positionV>
            <wp:extent cx="5829300" cy="677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9300" cy="677545"/>
                    </a:xfrm>
                    <a:prstGeom prst="rect">
                      <a:avLst/>
                    </a:prstGeom>
                    <a:noFill/>
                  </pic:spPr>
                </pic:pic>
              </a:graphicData>
            </a:graphic>
          </wp:anchor>
        </w:drawing>
      </w:r>
    </w:p>
    <w:p>
      <w:pPr>
        <w:sectPr>
          <w:pgSz w:w="11900" w:h="16838" w:orient="portrait"/>
          <w:cols w:equalWidth="0" w:num="1">
            <w:col w:w="11020"/>
          </w:cols>
          <w:pgMar w:left="440" w:top="114" w:right="439" w:bottom="1054" w:gutter="0" w:footer="0" w:header="0"/>
          <w:type w:val="continuous"/>
        </w:sectPr>
      </w:pPr>
    </w:p>
    <w:p>
      <w:pPr>
        <w:spacing w:after="0" w:line="11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w w:val="99"/>
              </w:rPr>
              <w:t>Target (and</w:t>
            </w:r>
          </w:p>
        </w:tc>
        <w:tc>
          <w:tcPr>
            <w:tcW w:w="12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Maximum)</w:t>
            </w:r>
          </w:p>
        </w:tc>
        <w:tc>
          <w:tcPr>
            <w:tcW w:w="1240" w:type="dxa"/>
            <w:vAlign w:val="bottom"/>
          </w:tcPr>
          <w:p>
            <w:pPr>
              <w:jc w:val="center"/>
              <w:ind w:left="2"/>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Number</w:t>
            </w: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That Could Have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of Shares</w:t>
            </w:r>
          </w:p>
        </w:tc>
      </w:tr>
      <w:tr>
        <w:trPr>
          <w:trHeight w:val="162"/>
        </w:trPr>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rPr>
              <w:t>Date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Vested for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w w:val="99"/>
              </w:rPr>
              <w:t>Vested for</w:t>
            </w:r>
          </w:p>
        </w:tc>
      </w:tr>
      <w:tr>
        <w:trPr>
          <w:trHeight w:val="196"/>
        </w:trPr>
        <w:tc>
          <w:tcPr>
            <w:tcW w:w="1100" w:type="dxa"/>
            <w:vAlign w:val="bottom"/>
          </w:tcPr>
          <w:p>
            <w:pPr>
              <w:ind w:left="80"/>
              <w:spacing w:after="0"/>
              <w:rPr>
                <w:sz w:val="20"/>
                <w:szCs w:val="20"/>
                <w:color w:val="auto"/>
              </w:rPr>
            </w:pPr>
            <w:r>
              <w:rPr>
                <w:rFonts w:ascii="Arial" w:cs="Arial" w:eastAsia="Arial" w:hAnsi="Arial"/>
                <w:sz w:val="14"/>
                <w:szCs w:val="14"/>
                <w:b w:val="1"/>
                <w:bCs w:val="1"/>
                <w:color w:val="FFFFFF"/>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FFFFFF"/>
              </w:rPr>
              <w:t>Grant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FFFFFF"/>
              </w:rPr>
              <w:t>FY23-24 Cycle</w:t>
            </w:r>
          </w:p>
        </w:tc>
        <w:tc>
          <w:tcPr>
            <w:tcW w:w="1240" w:type="dxa"/>
            <w:vAlign w:val="bottom"/>
          </w:tcPr>
          <w:p>
            <w:pPr>
              <w:jc w:val="center"/>
              <w:ind w:left="2"/>
              <w:spacing w:after="0"/>
              <w:rPr>
                <w:sz w:val="20"/>
                <w:szCs w:val="20"/>
                <w:color w:val="auto"/>
              </w:rPr>
            </w:pPr>
            <w:r>
              <w:rPr>
                <w:rFonts w:ascii="Arial" w:cs="Arial" w:eastAsia="Arial" w:hAnsi="Arial"/>
                <w:sz w:val="14"/>
                <w:szCs w:val="14"/>
                <w:b w:val="1"/>
                <w:bCs w:val="1"/>
                <w:color w:val="FFFFFF"/>
              </w:rPr>
              <w:t>FY23-24 Cycle</w:t>
            </w:r>
          </w:p>
        </w:tc>
      </w:tr>
      <w:tr>
        <w:trPr>
          <w:trHeight w:val="29"/>
        </w:trPr>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7"/>
        </w:trPr>
        <w:tc>
          <w:tcPr>
            <w:tcW w:w="11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Mr. Grady</w:t>
            </w:r>
          </w:p>
        </w:tc>
        <w:tc>
          <w:tcPr>
            <w:tcW w:w="11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w w:val="99"/>
              </w:rPr>
              <w:t>21,303</w:t>
            </w:r>
          </w:p>
        </w:tc>
        <w:tc>
          <w:tcPr>
            <w:tcW w:w="1240" w:type="dxa"/>
            <w:vAlign w:val="bottom"/>
            <w:tcBorders>
              <w:bottom w:val="single" w:sz="8" w:color="E5E9E3"/>
            </w:tcBorders>
            <w:shd w:val="clear" w:color="auto" w:fill="E5E9E3"/>
          </w:tcPr>
          <w:p>
            <w:pPr>
              <w:jc w:val="center"/>
              <w:ind w:left="2"/>
              <w:spacing w:after="0"/>
              <w:rPr>
                <w:sz w:val="20"/>
                <w:szCs w:val="20"/>
                <w:color w:val="auto"/>
              </w:rPr>
            </w:pPr>
            <w:r>
              <w:rPr>
                <w:rFonts w:ascii="Arial" w:cs="Arial" w:eastAsia="Arial" w:hAnsi="Arial"/>
                <w:sz w:val="17"/>
                <w:szCs w:val="17"/>
                <w:color w:val="auto"/>
                <w:w w:val="99"/>
              </w:rPr>
              <w:t>21,303</w:t>
            </w:r>
          </w:p>
        </w:tc>
      </w:tr>
      <w:tr>
        <w:trPr>
          <w:trHeight w:val="257"/>
        </w:trPr>
        <w:tc>
          <w:tcPr>
            <w:tcW w:w="1100" w:type="dxa"/>
            <w:vAlign w:val="bottom"/>
          </w:tcPr>
          <w:p>
            <w:pPr>
              <w:ind w:left="80"/>
              <w:spacing w:after="0"/>
              <w:rPr>
                <w:sz w:val="20"/>
                <w:szCs w:val="20"/>
                <w:color w:val="auto"/>
              </w:rPr>
            </w:pPr>
            <w:r>
              <w:rPr>
                <w:rFonts w:ascii="Arial" w:cs="Arial" w:eastAsia="Arial" w:hAnsi="Arial"/>
                <w:sz w:val="17"/>
                <w:szCs w:val="17"/>
                <w:color w:val="auto"/>
              </w:rPr>
              <w:t>Dr. Gill</w:t>
            </w:r>
          </w:p>
        </w:tc>
        <w:tc>
          <w:tcPr>
            <w:tcW w:w="1100" w:type="dxa"/>
            <w:vAlign w:val="bottom"/>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Pr>
          <w:p>
            <w:pPr>
              <w:jc w:val="center"/>
              <w:spacing w:after="0"/>
              <w:rPr>
                <w:sz w:val="20"/>
                <w:szCs w:val="20"/>
                <w:color w:val="auto"/>
              </w:rPr>
            </w:pPr>
            <w:r>
              <w:rPr>
                <w:rFonts w:ascii="Arial" w:cs="Arial" w:eastAsia="Arial" w:hAnsi="Arial"/>
                <w:sz w:val="17"/>
                <w:szCs w:val="17"/>
                <w:color w:val="auto"/>
                <w:w w:val="99"/>
              </w:rPr>
              <w:t>13,634</w:t>
            </w:r>
          </w:p>
        </w:tc>
        <w:tc>
          <w:tcPr>
            <w:tcW w:w="1240" w:type="dxa"/>
            <w:vAlign w:val="bottom"/>
          </w:tcPr>
          <w:p>
            <w:pPr>
              <w:jc w:val="center"/>
              <w:ind w:left="2"/>
              <w:spacing w:after="0"/>
              <w:rPr>
                <w:sz w:val="20"/>
                <w:szCs w:val="20"/>
                <w:color w:val="auto"/>
              </w:rPr>
            </w:pPr>
            <w:r>
              <w:rPr>
                <w:rFonts w:ascii="Arial" w:cs="Arial" w:eastAsia="Arial" w:hAnsi="Arial"/>
                <w:sz w:val="17"/>
                <w:szCs w:val="17"/>
                <w:color w:val="auto"/>
                <w:w w:val="99"/>
              </w:rPr>
              <w:t>13,634</w:t>
            </w:r>
          </w:p>
        </w:tc>
      </w:tr>
      <w:tr>
        <w:trPr>
          <w:trHeight w:val="40"/>
        </w:trPr>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7"/>
        </w:trPr>
        <w:tc>
          <w:tcPr>
            <w:tcW w:w="110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7"/>
                <w:szCs w:val="17"/>
                <w:color w:val="auto"/>
              </w:rPr>
              <w:t>Mr​. Sverha</w:t>
            </w:r>
          </w:p>
        </w:tc>
        <w:tc>
          <w:tcPr>
            <w:tcW w:w="11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7"/>
                <w:szCs w:val="17"/>
                <w:color w:val="auto"/>
              </w:rPr>
              <w:t>7,243</w:t>
            </w:r>
          </w:p>
        </w:tc>
        <w:tc>
          <w:tcPr>
            <w:tcW w:w="1240" w:type="dxa"/>
            <w:vAlign w:val="bottom"/>
            <w:tcBorders>
              <w:bottom w:val="single" w:sz="8" w:color="E5E9E3"/>
            </w:tcBorders>
            <w:shd w:val="clear" w:color="auto" w:fill="E5E9E3"/>
          </w:tcPr>
          <w:p>
            <w:pPr>
              <w:jc w:val="center"/>
              <w:ind w:left="2"/>
              <w:spacing w:after="0"/>
              <w:rPr>
                <w:sz w:val="20"/>
                <w:szCs w:val="20"/>
                <w:color w:val="auto"/>
              </w:rPr>
            </w:pPr>
            <w:r>
              <w:rPr>
                <w:rFonts w:ascii="Arial" w:cs="Arial" w:eastAsia="Arial" w:hAnsi="Arial"/>
                <w:sz w:val="17"/>
                <w:szCs w:val="17"/>
                <w:color w:val="auto"/>
              </w:rPr>
              <w:t>7,243</w:t>
            </w:r>
          </w:p>
        </w:tc>
      </w:tr>
      <w:tr>
        <w:trPr>
          <w:trHeight w:val="257"/>
        </w:trPr>
        <w:tc>
          <w:tcPr>
            <w:tcW w:w="1100" w:type="dxa"/>
            <w:vAlign w:val="bottom"/>
          </w:tcPr>
          <w:p>
            <w:pPr>
              <w:ind w:left="80"/>
              <w:spacing w:after="0"/>
              <w:rPr>
                <w:sz w:val="20"/>
                <w:szCs w:val="20"/>
                <w:color w:val="auto"/>
              </w:rPr>
            </w:pPr>
            <w:r>
              <w:rPr>
                <w:rFonts w:ascii="Arial" w:cs="Arial" w:eastAsia="Arial" w:hAnsi="Arial"/>
                <w:sz w:val="17"/>
                <w:szCs w:val="17"/>
                <w:color w:val="auto"/>
              </w:rPr>
              <w:t>Mr. Archer</w:t>
            </w:r>
          </w:p>
        </w:tc>
        <w:tc>
          <w:tcPr>
            <w:tcW w:w="1100" w:type="dxa"/>
            <w:vAlign w:val="bottom"/>
          </w:tcPr>
          <w:p>
            <w:pPr>
              <w:jc w:val="center"/>
              <w:spacing w:after="0"/>
              <w:rPr>
                <w:sz w:val="20"/>
                <w:szCs w:val="20"/>
                <w:color w:val="auto"/>
              </w:rPr>
            </w:pPr>
            <w:r>
              <w:rPr>
                <w:rFonts w:ascii="Arial" w:cs="Arial" w:eastAsia="Arial" w:hAnsi="Arial"/>
                <w:sz w:val="17"/>
                <w:szCs w:val="17"/>
                <w:color w:val="auto"/>
              </w:rPr>
              <w:t>8/18/2022</w:t>
            </w:r>
          </w:p>
        </w:tc>
        <w:tc>
          <w:tcPr>
            <w:tcW w:w="1540" w:type="dxa"/>
            <w:vAlign w:val="bottom"/>
          </w:tcPr>
          <w:p>
            <w:pPr>
              <w:jc w:val="center"/>
              <w:spacing w:after="0"/>
              <w:rPr>
                <w:sz w:val="20"/>
                <w:szCs w:val="20"/>
                <w:color w:val="auto"/>
              </w:rPr>
            </w:pPr>
            <w:r>
              <w:rPr>
                <w:rFonts w:ascii="Arial" w:cs="Arial" w:eastAsia="Arial" w:hAnsi="Arial"/>
                <w:sz w:val="17"/>
                <w:szCs w:val="17"/>
                <w:color w:val="auto"/>
              </w:rPr>
              <w:t>6,391</w:t>
            </w:r>
          </w:p>
        </w:tc>
        <w:tc>
          <w:tcPr>
            <w:tcW w:w="1240" w:type="dxa"/>
            <w:vAlign w:val="bottom"/>
          </w:tcPr>
          <w:p>
            <w:pPr>
              <w:jc w:val="center"/>
              <w:ind w:left="2"/>
              <w:spacing w:after="0"/>
              <w:rPr>
                <w:sz w:val="20"/>
                <w:szCs w:val="20"/>
                <w:color w:val="auto"/>
              </w:rPr>
            </w:pPr>
            <w:r>
              <w:rPr>
                <w:rFonts w:ascii="Arial" w:cs="Arial" w:eastAsia="Arial" w:hAnsi="Arial"/>
                <w:sz w:val="17"/>
                <w:szCs w:val="17"/>
                <w:color w:val="auto"/>
              </w:rPr>
              <w:t>6,391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625475</wp:posOffset>
            </wp:positionV>
            <wp:extent cx="5829300" cy="603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2930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left="-1139"/>
        <w:spacing w:after="0"/>
        <w:rPr>
          <w:sz w:val="20"/>
          <w:szCs w:val="20"/>
          <w:color w:val="auto"/>
        </w:rPr>
      </w:pPr>
      <w:r>
        <w:rPr>
          <w:rFonts w:ascii="Arial" w:cs="Arial" w:eastAsia="Arial" w:hAnsi="Arial"/>
          <w:sz w:val="14"/>
          <w:szCs w:val="14"/>
          <w:b w:val="1"/>
          <w:bCs w:val="1"/>
          <w:color w:val="FFFFFF"/>
        </w:rPr>
        <w:t>Actual</w:t>
      </w:r>
    </w:p>
    <w:p>
      <w:pPr>
        <w:spacing w:after="0" w:line="15" w:lineRule="exact"/>
        <w:rPr>
          <w:sz w:val="20"/>
          <w:szCs w:val="20"/>
          <w:color w:val="auto"/>
        </w:rPr>
      </w:pPr>
    </w:p>
    <w:p>
      <w:pPr>
        <w:jc w:val="center"/>
        <w:ind w:left="-1139"/>
        <w:spacing w:after="0"/>
        <w:rPr>
          <w:sz w:val="20"/>
          <w:szCs w:val="20"/>
          <w:color w:val="auto"/>
        </w:rPr>
      </w:pPr>
      <w:r>
        <w:rPr>
          <w:rFonts w:ascii="Arial" w:cs="Arial" w:eastAsia="Arial" w:hAnsi="Arial"/>
          <w:sz w:val="14"/>
          <w:szCs w:val="14"/>
          <w:b w:val="1"/>
          <w:bCs w:val="1"/>
          <w:color w:val="FFFFFF"/>
        </w:rPr>
        <w:t>Performance</w:t>
      </w:r>
    </w:p>
    <w:p>
      <w:pPr>
        <w:spacing w:after="0" w:line="1" w:lineRule="exact"/>
        <w:rPr>
          <w:sz w:val="20"/>
          <w:szCs w:val="20"/>
          <w:color w:val="auto"/>
        </w:rPr>
      </w:pPr>
    </w:p>
    <w:p>
      <w:pPr>
        <w:ind w:left="440"/>
        <w:spacing w:after="0"/>
        <w:tabs>
          <w:tab w:leader="none" w:pos="3180" w:val="left"/>
        </w:tabs>
        <w:rPr>
          <w:sz w:val="20"/>
          <w:szCs w:val="20"/>
          <w:color w:val="auto"/>
        </w:rPr>
      </w:pPr>
      <w:r>
        <w:rPr>
          <w:rFonts w:ascii="Arial" w:cs="Arial" w:eastAsia="Arial" w:hAnsi="Arial"/>
          <w:sz w:val="14"/>
          <w:szCs w:val="14"/>
          <w:b w:val="1"/>
          <w:bCs w:val="1"/>
          <w:color w:val="FFFFFF"/>
        </w:rPr>
        <w:t>Performance Measures</w:t>
      </w:r>
      <w:r>
        <w:rPr>
          <w:sz w:val="20"/>
          <w:szCs w:val="20"/>
          <w:color w:val="auto"/>
        </w:rPr>
        <w:tab/>
      </w:r>
      <w:r>
        <w:rPr>
          <w:rFonts w:ascii="Arial" w:cs="Arial" w:eastAsia="Arial" w:hAnsi="Arial"/>
          <w:sz w:val="14"/>
          <w:szCs w:val="14"/>
          <w:b w:val="1"/>
          <w:bCs w:val="1"/>
          <w:color w:val="FFFFFF"/>
        </w:rPr>
        <w:t>for</w:t>
      </w:r>
    </w:p>
    <w:p>
      <w:pPr>
        <w:spacing w:after="0" w:line="1" w:lineRule="exact"/>
        <w:rPr>
          <w:sz w:val="20"/>
          <w:szCs w:val="20"/>
          <w:color w:val="auto"/>
        </w:rPr>
      </w:pPr>
    </w:p>
    <w:p>
      <w:pPr>
        <w:ind w:left="640"/>
        <w:spacing w:after="0"/>
        <w:tabs>
          <w:tab w:leader="none" w:pos="2800" w:val="left"/>
        </w:tabs>
        <w:rPr>
          <w:sz w:val="20"/>
          <w:szCs w:val="20"/>
          <w:color w:val="auto"/>
        </w:rPr>
      </w:pPr>
      <w:r>
        <w:rPr>
          <w:rFonts w:ascii="Arial" w:cs="Arial" w:eastAsia="Arial" w:hAnsi="Arial"/>
          <w:sz w:val="14"/>
          <w:szCs w:val="14"/>
          <w:b w:val="1"/>
          <w:bCs w:val="1"/>
          <w:color w:val="FFFFFF"/>
        </w:rPr>
        <w:t>for FY23-24 Cycle</w:t>
      </w:r>
      <w:r>
        <w:rPr>
          <w:sz w:val="20"/>
          <w:szCs w:val="20"/>
          <w:color w:val="auto"/>
        </w:rPr>
        <w:tab/>
      </w:r>
      <w:r>
        <w:rPr>
          <w:rFonts w:ascii="Arial" w:cs="Arial" w:eastAsia="Arial" w:hAnsi="Arial"/>
          <w:sz w:val="14"/>
          <w:szCs w:val="14"/>
          <w:b w:val="1"/>
          <w:bCs w:val="1"/>
          <w:color w:val="FFFFFF"/>
        </w:rPr>
        <w:t>FY23-24 Cycle</w:t>
      </w:r>
    </w:p>
    <w:p>
      <w:pPr>
        <w:spacing w:after="0" w:line="82" w:lineRule="exact"/>
        <w:rPr>
          <w:sz w:val="20"/>
          <w:szCs w:val="20"/>
          <w:color w:val="auto"/>
        </w:rPr>
      </w:pPr>
    </w:p>
    <w:p>
      <w:pPr>
        <w:spacing w:after="0"/>
        <w:tabs>
          <w:tab w:leader="none" w:pos="2640" w:val="left"/>
        </w:tabs>
        <w:rPr>
          <w:sz w:val="20"/>
          <w:szCs w:val="20"/>
          <w:color w:val="auto"/>
        </w:rPr>
      </w:pPr>
      <w:r>
        <w:rPr>
          <w:rFonts w:ascii="Arial" w:cs="Arial" w:eastAsia="Arial" w:hAnsi="Arial"/>
          <w:sz w:val="17"/>
          <w:szCs w:val="17"/>
          <w:color w:val="auto"/>
        </w:rPr>
        <w:t xml:space="preserve">  </w:t>
      </w:r>
      <w:r>
        <w:rPr>
          <w:sz w:val="1"/>
          <w:szCs w:val="1"/>
          <w:color w:val="auto"/>
        </w:rPr>
        <w:drawing>
          <wp:inline distT="0" distB="0" distL="0" distR="0">
            <wp:extent cx="94615" cy="9398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7"/>
          <w:szCs w:val="17"/>
          <w:color w:val="auto"/>
        </w:rPr>
        <w:t>     Up to 50% vesting based</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93980" cy="9398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3"/>
          <w:szCs w:val="13"/>
          <w:color w:val="auto"/>
        </w:rPr>
        <w:t>     Revenue of</w:t>
      </w:r>
    </w:p>
    <w:p>
      <w:pPr>
        <w:spacing w:after="0" w:line="3" w:lineRule="exact"/>
        <w:rPr>
          <w:sz w:val="20"/>
          <w:szCs w:val="20"/>
          <w:color w:val="auto"/>
        </w:rPr>
      </w:pPr>
    </w:p>
    <w:p>
      <w:pPr>
        <w:ind w:left="480"/>
        <w:spacing w:after="0"/>
        <w:tabs>
          <w:tab w:leader="none" w:pos="3140" w:val="left"/>
        </w:tabs>
        <w:rPr>
          <w:sz w:val="20"/>
          <w:szCs w:val="20"/>
          <w:color w:val="auto"/>
        </w:rPr>
      </w:pPr>
      <w:r>
        <w:rPr>
          <w:rFonts w:ascii="Arial" w:cs="Arial" w:eastAsia="Arial" w:hAnsi="Arial"/>
          <w:sz w:val="17"/>
          <w:szCs w:val="17"/>
          <w:color w:val="auto"/>
        </w:rPr>
        <w:t>on achievement of</w:t>
      </w:r>
      <w:r>
        <w:rPr>
          <w:sz w:val="20"/>
          <w:szCs w:val="20"/>
          <w:color w:val="auto"/>
        </w:rPr>
        <w:tab/>
      </w:r>
      <w:r>
        <w:rPr>
          <w:rFonts w:ascii="Arial" w:cs="Arial" w:eastAsia="Arial" w:hAnsi="Arial"/>
          <w:sz w:val="15"/>
          <w:szCs w:val="15"/>
          <w:color w:val="auto"/>
        </w:rPr>
        <w:t>$5,528.2</w:t>
      </w:r>
    </w:p>
    <w:p>
      <w:pPr>
        <w:ind w:left="480"/>
        <w:spacing w:after="0"/>
        <w:tabs>
          <w:tab w:leader="none" w:pos="3140" w:val="left"/>
        </w:tabs>
        <w:rPr>
          <w:sz w:val="20"/>
          <w:szCs w:val="20"/>
          <w:color w:val="auto"/>
        </w:rPr>
      </w:pPr>
      <w:r>
        <w:rPr>
          <w:rFonts w:ascii="Arial" w:cs="Arial" w:eastAsia="Arial" w:hAnsi="Arial"/>
          <w:sz w:val="17"/>
          <w:szCs w:val="17"/>
          <w:color w:val="auto"/>
        </w:rPr>
        <w:t>revenue between</w:t>
      </w:r>
      <w:r>
        <w:rPr>
          <w:sz w:val="20"/>
          <w:szCs w:val="20"/>
          <w:color w:val="auto"/>
        </w:rPr>
        <w:tab/>
      </w:r>
      <w:r>
        <w:rPr>
          <w:rFonts w:ascii="Arial" w:cs="Arial" w:eastAsia="Arial" w:hAnsi="Arial"/>
          <w:sz w:val="15"/>
          <w:szCs w:val="15"/>
          <w:color w:val="auto"/>
        </w:rPr>
        <w:t>million</w:t>
      </w:r>
    </w:p>
    <w:p>
      <w:pPr>
        <w:ind w:left="480"/>
        <w:spacing w:after="0"/>
        <w:tabs>
          <w:tab w:leader="none" w:pos="3000" w:val="left"/>
        </w:tabs>
        <w:rPr>
          <w:sz w:val="20"/>
          <w:szCs w:val="20"/>
          <w:color w:val="auto"/>
        </w:rPr>
      </w:pPr>
      <w:r>
        <w:rPr>
          <w:rFonts w:ascii="Arial" w:cs="Arial" w:eastAsia="Arial" w:hAnsi="Arial"/>
          <w:sz w:val="17"/>
          <w:szCs w:val="17"/>
          <w:b w:val="1"/>
          <w:bCs w:val="1"/>
          <w:color w:val="auto"/>
        </w:rPr>
        <w:t>$5,022.5 million and</w:t>
      </w:r>
      <w:r>
        <w:rPr>
          <w:sz w:val="20"/>
          <w:szCs w:val="20"/>
          <w:color w:val="auto"/>
        </w:rPr>
        <w:tab/>
      </w:r>
      <w:r>
        <w:rPr>
          <w:rFonts w:ascii="Arial" w:cs="Arial" w:eastAsia="Arial" w:hAnsi="Arial"/>
          <w:sz w:val="6"/>
          <w:szCs w:val="6"/>
          <w:color w:val="auto"/>
        </w:rPr>
        <w:t> </w:t>
      </w:r>
    </w:p>
    <w:p>
      <w:pPr>
        <w:ind w:left="480"/>
        <w:spacing w:after="0"/>
        <w:tabs>
          <w:tab w:leader="none" w:pos="3000" w:val="left"/>
        </w:tabs>
        <w:rPr>
          <w:sz w:val="20"/>
          <w:szCs w:val="20"/>
          <w:color w:val="auto"/>
        </w:rPr>
      </w:pPr>
      <w:r>
        <w:rPr>
          <w:rFonts w:ascii="Arial" w:cs="Arial" w:eastAsia="Arial" w:hAnsi="Arial"/>
          <w:sz w:val="17"/>
          <w:szCs w:val="17"/>
          <w:b w:val="1"/>
          <w:bCs w:val="1"/>
          <w:color w:val="auto"/>
        </w:rPr>
        <w:t>$5,273.6 million</w:t>
      </w:r>
      <w:r>
        <w:rPr>
          <w:sz w:val="20"/>
          <w:szCs w:val="20"/>
          <w:color w:val="auto"/>
        </w:rPr>
        <w:tab/>
      </w:r>
      <w:r>
        <w:rPr>
          <w:rFonts w:ascii="Arial" w:cs="Arial" w:eastAsia="Arial" w:hAnsi="Arial"/>
          <w:sz w:val="6"/>
          <w:szCs w:val="6"/>
          <w:color w:val="auto"/>
        </w:rPr>
        <w:t> </w:t>
      </w:r>
    </w:p>
    <w:p>
      <w:pPr>
        <w:ind w:left="360"/>
        <w:spacing w:after="0" w:line="232" w:lineRule="auto"/>
        <w:tabs>
          <w:tab w:leader="none" w:pos="26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xml:space="preserve">  </w:t>
      </w:r>
      <w:r>
        <w:rPr>
          <w:sz w:val="1"/>
          <w:szCs w:val="1"/>
          <w:color w:val="auto"/>
        </w:rPr>
        <w:drawing>
          <wp:inline distT="0" distB="0" distL="0" distR="0">
            <wp:extent cx="93980" cy="9398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Arial" w:cs="Arial" w:eastAsia="Arial" w:hAnsi="Arial"/>
          <w:sz w:val="17"/>
          <w:szCs w:val="17"/>
          <w:color w:val="auto"/>
        </w:rPr>
        <w:t>     Non-</w:t>
      </w:r>
    </w:p>
    <w:p>
      <w:pPr>
        <w:spacing w:after="0"/>
        <w:tabs>
          <w:tab w:leader="none" w:pos="3140" w:val="left"/>
        </w:tabs>
        <w:rPr>
          <w:sz w:val="20"/>
          <w:szCs w:val="20"/>
          <w:color w:val="auto"/>
        </w:rPr>
      </w:pPr>
      <w:r>
        <w:rPr>
          <w:rFonts w:ascii="Arial" w:cs="Arial" w:eastAsia="Arial" w:hAnsi="Arial"/>
          <w:sz w:val="17"/>
          <w:szCs w:val="17"/>
          <w:color w:val="auto"/>
        </w:rPr>
        <w:t xml:space="preserve">  </w:t>
      </w:r>
      <w:r>
        <w:rPr>
          <w:sz w:val="1"/>
          <w:szCs w:val="1"/>
          <w:color w:val="auto"/>
        </w:rPr>
        <w:drawing>
          <wp:inline distT="0" distB="0" distL="0" distR="0">
            <wp:extent cx="94615" cy="9461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7"/>
          <w:szCs w:val="17"/>
          <w:color w:val="auto"/>
        </w:rPr>
        <w:t>     Up to 50% vesting based</w:t>
      </w:r>
      <w:r>
        <w:rPr>
          <w:sz w:val="20"/>
          <w:szCs w:val="20"/>
          <w:color w:val="auto"/>
        </w:rPr>
        <w:tab/>
      </w:r>
      <w:r>
        <w:rPr>
          <w:rFonts w:ascii="Arial" w:cs="Arial" w:eastAsia="Arial" w:hAnsi="Arial"/>
          <w:sz w:val="16"/>
          <w:szCs w:val="16"/>
          <w:color w:val="auto"/>
        </w:rPr>
        <w:t>GAAP</w:t>
      </w:r>
    </w:p>
    <w:p>
      <w:pPr>
        <w:ind w:left="480"/>
        <w:spacing w:after="0"/>
        <w:tabs>
          <w:tab w:leader="none" w:pos="3140" w:val="left"/>
        </w:tabs>
        <w:rPr>
          <w:sz w:val="20"/>
          <w:szCs w:val="20"/>
          <w:color w:val="auto"/>
        </w:rPr>
      </w:pPr>
      <w:r>
        <w:rPr>
          <w:rFonts w:ascii="Arial" w:cs="Arial" w:eastAsia="Arial" w:hAnsi="Arial"/>
          <w:sz w:val="17"/>
          <w:szCs w:val="17"/>
          <w:color w:val="auto"/>
        </w:rPr>
        <w:t>on achievement of non-</w:t>
      </w:r>
      <w:r>
        <w:rPr>
          <w:sz w:val="20"/>
          <w:szCs w:val="20"/>
          <w:color w:val="auto"/>
        </w:rPr>
        <w:tab/>
      </w:r>
      <w:r>
        <w:rPr>
          <w:rFonts w:ascii="Arial" w:cs="Arial" w:eastAsia="Arial" w:hAnsi="Arial"/>
          <w:sz w:val="16"/>
          <w:szCs w:val="16"/>
          <w:color w:val="auto"/>
        </w:rPr>
        <w:t>operating</w:t>
      </w:r>
    </w:p>
    <w:p>
      <w:pPr>
        <w:ind w:left="480"/>
        <w:spacing w:after="0"/>
        <w:tabs>
          <w:tab w:leader="none" w:pos="3140" w:val="left"/>
        </w:tabs>
        <w:rPr>
          <w:sz w:val="20"/>
          <w:szCs w:val="20"/>
          <w:color w:val="auto"/>
        </w:rPr>
      </w:pPr>
      <w:r>
        <w:rPr>
          <w:rFonts w:ascii="Arial" w:cs="Arial" w:eastAsia="Arial" w:hAnsi="Arial"/>
          <w:sz w:val="17"/>
          <w:szCs w:val="17"/>
          <w:color w:val="auto"/>
        </w:rPr>
        <w:t>GAAP operating margin</w:t>
      </w:r>
      <w:r>
        <w:rPr>
          <w:sz w:val="20"/>
          <w:szCs w:val="20"/>
          <w:color w:val="auto"/>
        </w:rPr>
        <w:tab/>
      </w:r>
      <w:r>
        <w:rPr>
          <w:rFonts w:ascii="Arial" w:cs="Arial" w:eastAsia="Arial" w:hAnsi="Arial"/>
          <w:sz w:val="16"/>
          <w:szCs w:val="16"/>
          <w:color w:val="auto"/>
        </w:rPr>
        <w:t>margin of</w:t>
      </w:r>
    </w:p>
    <w:p>
      <w:pPr>
        <w:ind w:left="480"/>
        <w:spacing w:after="0" w:line="232" w:lineRule="auto"/>
        <w:tabs>
          <w:tab w:leader="none" w:pos="3140" w:val="left"/>
        </w:tabs>
        <w:rPr>
          <w:sz w:val="20"/>
          <w:szCs w:val="20"/>
          <w:color w:val="auto"/>
        </w:rPr>
      </w:pPr>
      <w:r>
        <w:rPr>
          <w:rFonts w:ascii="Arial" w:cs="Arial" w:eastAsia="Arial" w:hAnsi="Arial"/>
          <w:sz w:val="17"/>
          <w:szCs w:val="17"/>
          <w:color w:val="auto"/>
        </w:rPr>
        <w:t xml:space="preserve">between </w:t>
      </w:r>
      <w:r>
        <w:rPr>
          <w:rFonts w:ascii="Arial" w:cs="Arial" w:eastAsia="Arial" w:hAnsi="Arial"/>
          <w:sz w:val="17"/>
          <w:szCs w:val="17"/>
          <w:b w:val="1"/>
          <w:bCs w:val="1"/>
          <w:color w:val="auto"/>
        </w:rPr>
        <w:t>10.0% and</w:t>
      </w:r>
      <w:r>
        <w:rPr>
          <w:sz w:val="20"/>
          <w:szCs w:val="20"/>
          <w:color w:val="auto"/>
        </w:rPr>
        <w:tab/>
      </w:r>
      <w:r>
        <w:rPr>
          <w:rFonts w:ascii="Arial" w:cs="Arial" w:eastAsia="Arial" w:hAnsi="Arial"/>
          <w:sz w:val="17"/>
          <w:szCs w:val="17"/>
          <w:color w:val="auto"/>
        </w:rPr>
        <w:t>10.72%</w:t>
      </w:r>
    </w:p>
    <w:p>
      <w:pPr>
        <w:ind w:left="480"/>
        <w:spacing w:after="0"/>
        <w:rPr>
          <w:sz w:val="20"/>
          <w:szCs w:val="20"/>
          <w:color w:val="auto"/>
        </w:rPr>
      </w:pPr>
      <w:r>
        <w:rPr>
          <w:rFonts w:ascii="Arial" w:cs="Arial" w:eastAsia="Arial" w:hAnsi="Arial"/>
          <w:sz w:val="17"/>
          <w:szCs w:val="17"/>
          <w:b w:val="1"/>
          <w:bCs w:val="1"/>
          <w:color w:val="auto"/>
        </w:rPr>
        <w:t>10.5%</w:t>
      </w:r>
    </w:p>
    <w:p>
      <w:pPr>
        <w:spacing w:after="0" w:line="200" w:lineRule="exact"/>
        <w:rPr>
          <w:sz w:val="20"/>
          <w:szCs w:val="20"/>
          <w:color w:val="auto"/>
        </w:rPr>
      </w:pPr>
    </w:p>
    <w:p>
      <w:pPr>
        <w:sectPr>
          <w:pgSz w:w="11900" w:h="16838" w:orient="portrait"/>
          <w:cols w:equalWidth="0" w:num="2">
            <w:col w:w="5900" w:space="100"/>
            <w:col w:w="5020"/>
          </w:cols>
          <w:pgMar w:left="440" w:top="114" w:right="439" w:bottom="1054" w:gutter="0" w:footer="0" w:header="0"/>
          <w:type w:val="continuous"/>
        </w:sectPr>
      </w:pPr>
    </w:p>
    <w:p>
      <w:pPr>
        <w:spacing w:after="0" w:line="19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Prohibited Transactions in Our Securities</w:t>
      </w:r>
    </w:p>
    <w:p>
      <w:pPr>
        <w:spacing w:after="0" w:line="121"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Our Named Officers, along with all of our employees, must adhere to strict standards with regards to trading in our securities. These standards are set forth in our insider trading policy, which prohibits, among other things, short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both"/>
        <w:ind w:right="920"/>
        <w:spacing w:after="0" w:line="253" w:lineRule="auto"/>
        <w:rPr>
          <w:sz w:val="20"/>
          <w:szCs w:val="20"/>
          <w:color w:val="auto"/>
        </w:rPr>
      </w:pPr>
      <w:r>
        <w:rPr>
          <w:rFonts w:ascii="Arial" w:cs="Arial" w:eastAsia="Arial" w:hAnsi="Arial"/>
          <w:sz w:val="18"/>
          <w:szCs w:val="18"/>
          <w:color w:val="auto"/>
        </w:rPr>
        <w:t>sales, hedging of stock ownership positions, and transactions involving derivative securities relating to our ordinary shares.</w:t>
      </w:r>
    </w:p>
    <w:p>
      <w:pPr>
        <w:spacing w:after="0" w:line="645" w:lineRule="exact"/>
        <w:rPr>
          <w:sz w:val="20"/>
          <w:szCs w:val="20"/>
          <w:color w:val="auto"/>
        </w:rPr>
      </w:pPr>
    </w:p>
    <w:p>
      <w:pPr>
        <w:sectPr>
          <w:pgSz w:w="11900" w:h="16838" w:orient="portrait"/>
          <w:cols w:equalWidth="0" w:num="2">
            <w:col w:w="5340" w:space="320"/>
            <w:col w:w="5360"/>
          </w:cols>
          <w:pgMar w:left="440" w:top="114" w:right="439" w:bottom="1054"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45</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054"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Compensation Recovery Policy</w:t>
      </w:r>
    </w:p>
    <w:p>
      <w:pPr>
        <w:spacing w:after="0" w:line="121"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As required by Exchange Act Rule 10D-1 and the corresponding NYSE listing standards, we maintain a clawback policy that provides for the mandatory recovery of certain erroneously awarded incentive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our executive officers in the event of an accounting restatement to correct the Company’s material noncompliance with any financial reporting requirement under securities laws.</w:t>
      </w:r>
    </w:p>
    <w:p>
      <w:pPr>
        <w:spacing w:after="0" w:line="447"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ind w:left="60"/>
        <w:spacing w:after="0"/>
        <w:rPr>
          <w:sz w:val="20"/>
          <w:szCs w:val="20"/>
          <w:color w:val="auto"/>
        </w:rPr>
      </w:pPr>
      <w:r>
        <w:rPr>
          <w:rFonts w:ascii="Arial" w:cs="Arial" w:eastAsia="Arial" w:hAnsi="Arial"/>
          <w:sz w:val="22"/>
          <w:szCs w:val="22"/>
          <w:b w:val="1"/>
          <w:bCs w:val="1"/>
          <w:color w:val="578255"/>
        </w:rPr>
        <w:t>Tax Considerations</w:t>
      </w:r>
    </w:p>
    <w:p>
      <w:pPr>
        <w:spacing w:after="0" w:line="121" w:lineRule="exact"/>
        <w:rPr>
          <w:sz w:val="20"/>
          <w:szCs w:val="20"/>
          <w:color w:val="auto"/>
        </w:rPr>
      </w:pPr>
    </w:p>
    <w:p>
      <w:pPr>
        <w:jc w:val="both"/>
        <w:ind w:left="60"/>
        <w:spacing w:after="0" w:line="249" w:lineRule="auto"/>
        <w:rPr>
          <w:sz w:val="20"/>
          <w:szCs w:val="20"/>
          <w:color w:val="auto"/>
        </w:rPr>
      </w:pPr>
      <w:r>
        <w:rPr>
          <w:rFonts w:ascii="Arial" w:cs="Arial" w:eastAsia="Arial" w:hAnsi="Arial"/>
          <w:sz w:val="18"/>
          <w:szCs w:val="18"/>
          <w:color w:val="auto"/>
        </w:rPr>
        <w:t>Prior to 2018, Section 162(m) of the Internal Revenue Code generally placed a limit of $1 million per year on the U.S. corporate income tax deduction a publicly-held corporation may take for compensation paid to each of its “covered employees” (generally, the chief executive officer and each of the next three most highly compensated executive officers, other than the chief financial officer, as of the end of any fiscal year), unless the compensation over $1 million qualified as “performance-based” within the meaning of Section 162(m).</w:t>
      </w:r>
    </w:p>
    <w:p>
      <w:pPr>
        <w:spacing w:after="0" w:line="81" w:lineRule="exact"/>
        <w:rPr>
          <w:sz w:val="20"/>
          <w:szCs w:val="20"/>
          <w:color w:val="auto"/>
        </w:rPr>
      </w:pPr>
    </w:p>
    <w:p>
      <w:pPr>
        <w:jc w:val="both"/>
        <w:ind w:left="60"/>
        <w:spacing w:after="0" w:line="249" w:lineRule="auto"/>
        <w:rPr>
          <w:sz w:val="20"/>
          <w:szCs w:val="20"/>
          <w:color w:val="auto"/>
        </w:rPr>
      </w:pPr>
      <w:r>
        <w:rPr>
          <w:rFonts w:ascii="Arial" w:cs="Arial" w:eastAsia="Arial" w:hAnsi="Arial"/>
          <w:sz w:val="18"/>
          <w:szCs w:val="18"/>
          <w:color w:val="auto"/>
        </w:rPr>
        <w:t>In 2017, the ability to rely on the “performance-based” compensation exception under Section 162(m) was eliminated and the $1 million limitation on deductibility generally was expanded to include any individuals serving as the chief executive officer or chief financial officer during the tax year, the next three most highly compensated executive officers during the tax year, and any other individual who was considered a covered employee for any prior tax year beginning after 2016. Thus, we generally will not be able to take a deduction for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compensation paid to our Named Officers in excess of $1 million, unless the compensation qualifies for transition relief applicable to certain arrangements that were in place on November 2, 2017. We cannot guarantee that any compensation payable to our Named Officers will qualify for the transition relief or that the compensation ultimately will be deductible.</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Compensation Committee has not adopted a formal policy regarding tax deductibility of compensation paid to our chief executive officer and other executive officers. In order to maintain an executive compensation program that continues to strive to achieve the incentive, retention, pay for performance, and other objectives of the program, the Compensation Committee also may provide compensation to our Named Officers that may not be deductible to the extent that the aggregate amount for the year for the Named Officer exceeds $1 million. However, the Compensation Committee intends to maintain an approach to executive compensation that strongly links pay to performance.</w:t>
      </w:r>
    </w:p>
    <w:p>
      <w:pPr>
        <w:spacing w:after="0" w:line="473"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15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Compensation and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30480</wp:posOffset>
            </wp:positionV>
            <wp:extent cx="5829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30" w:lineRule="exact"/>
        <w:rPr>
          <w:sz w:val="20"/>
          <w:szCs w:val="20"/>
          <w:color w:val="auto"/>
        </w:rPr>
      </w:pPr>
    </w:p>
    <w:p>
      <w:pPr>
        <w:jc w:val="both"/>
        <w:ind w:left="60" w:right="20"/>
        <w:spacing w:after="0" w:line="253" w:lineRule="auto"/>
        <w:rPr>
          <w:sz w:val="20"/>
          <w:szCs w:val="20"/>
          <w:color w:val="auto"/>
        </w:rPr>
      </w:pPr>
      <w:r>
        <w:rPr>
          <w:rFonts w:ascii="Arial" w:cs="Arial" w:eastAsia="Arial" w:hAnsi="Arial"/>
          <w:sz w:val="18"/>
          <w:szCs w:val="18"/>
          <w:color w:val="auto"/>
        </w:rPr>
        <w:t>The Compensation Committee has assessed the risks associated with our compensation policies and practices for all employees and, based on its assessment, does not believe that such compensation policies and practices create risks that are reasonably likely to have a material adverse effect on us.</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30480</wp:posOffset>
            </wp:positionV>
            <wp:extent cx="5829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30" w:lineRule="exact"/>
        <w:rPr>
          <w:sz w:val="20"/>
          <w:szCs w:val="20"/>
          <w:color w:val="auto"/>
        </w:rPr>
      </w:pPr>
    </w:p>
    <w:p>
      <w:pPr>
        <w:jc w:val="both"/>
        <w:ind w:left="60"/>
        <w:spacing w:after="0" w:line="244" w:lineRule="auto"/>
        <w:rPr>
          <w:sz w:val="20"/>
          <w:szCs w:val="20"/>
          <w:color w:val="auto"/>
        </w:rPr>
      </w:pPr>
      <w:r>
        <w:rPr>
          <w:rFonts w:ascii="Arial" w:cs="Arial" w:eastAsia="Arial" w:hAnsi="Arial"/>
          <w:sz w:val="18"/>
          <w:szCs w:val="18"/>
          <w:color w:val="auto"/>
        </w:rPr>
        <w:t>The Compensation Committee oversees Fabrinet’s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that the Compensation Discussion and Analysis be included in this proxy statement.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Respectfully submitted by the members of the Compensation Committee of the Board of Directors.</w:t>
      </w:r>
    </w:p>
    <w:p>
      <w:pPr>
        <w:spacing w:after="0" w:line="14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Dr. Frank H. Levinson (Chair)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Dr. Homa Bahrami</w:t>
      </w:r>
    </w:p>
    <w:p>
      <w:pPr>
        <w:ind w:left="4660"/>
        <w:spacing w:after="0"/>
        <w:rPr>
          <w:sz w:val="20"/>
          <w:szCs w:val="20"/>
          <w:color w:val="auto"/>
        </w:rPr>
      </w:pPr>
      <w:r>
        <w:rPr>
          <w:rFonts w:ascii="Arial" w:cs="Arial" w:eastAsia="Arial" w:hAnsi="Arial"/>
          <w:sz w:val="18"/>
          <w:szCs w:val="18"/>
          <w:color w:val="auto"/>
        </w:rPr>
        <w:t>Thomas F. Kelly</w:t>
      </w:r>
    </w:p>
    <w:p>
      <w:pPr>
        <w:spacing w:after="0" w:line="302"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46</w:t>
      </w:r>
      <w:r>
        <w:rPr>
          <w:sz w:val="20"/>
          <w:szCs w:val="20"/>
          <w:color w:val="auto"/>
        </w:rPr>
        <w:tab/>
      </w:r>
      <w:r>
        <w:rPr>
          <w:sz w:val="1"/>
          <w:szCs w:val="1"/>
          <w:color w:val="auto"/>
        </w:rPr>
        <w:drawing>
          <wp:inline distT="0" distB="0" distL="0" distR="0">
            <wp:extent cx="342900" cy="7683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52" w:name="page53"/>
    <w:bookmarkEnd w:id="52"/>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4" w:lineRule="exact"/>
        <w:rPr>
          <w:sz w:val="20"/>
          <w:szCs w:val="20"/>
          <w:color w:val="auto"/>
        </w:rPr>
      </w:pPr>
    </w:p>
    <w:p>
      <w:pPr>
        <w:jc w:val="both"/>
        <w:ind w:left="920" w:right="920"/>
        <w:spacing w:after="0" w:line="247" w:lineRule="auto"/>
        <w:rPr>
          <w:sz w:val="20"/>
          <w:szCs w:val="20"/>
          <w:color w:val="auto"/>
        </w:rPr>
      </w:pPr>
      <w:r>
        <w:rPr>
          <w:rFonts w:ascii="Arial" w:cs="Arial" w:eastAsia="Arial" w:hAnsi="Arial"/>
          <w:sz w:val="18"/>
          <w:szCs w:val="18"/>
          <w:color w:val="auto"/>
        </w:rPr>
        <w:t>The following table presents information regarding the total compensation of our Named Officers, who consist of (i) our principal executive officer, (ii) our principal financial officer, and (iii) our other most highly compensated executive officers, other than our principal executive officer and principal financial officer, who were serving as executive officers at the end of fiscal 2024.</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61"/>
        </w:trPr>
        <w:tc>
          <w:tcPr>
            <w:tcW w:w="40" w:type="dxa"/>
            <w:vAlign w:val="bottom"/>
            <w:shd w:val="clear" w:color="auto" w:fill="819F7C"/>
          </w:tcPr>
          <w:p>
            <w:pPr>
              <w:spacing w:after="0"/>
              <w:rPr>
                <w:sz w:val="22"/>
                <w:szCs w:val="22"/>
                <w:color w:val="auto"/>
              </w:rPr>
            </w:pPr>
          </w:p>
        </w:tc>
        <w:tc>
          <w:tcPr>
            <w:tcW w:w="2160" w:type="dxa"/>
            <w:vAlign w:val="bottom"/>
            <w:shd w:val="clear" w:color="auto" w:fill="819F7C"/>
          </w:tcPr>
          <w:p>
            <w:pPr>
              <w:spacing w:after="0"/>
              <w:rPr>
                <w:sz w:val="22"/>
                <w:szCs w:val="22"/>
                <w:color w:val="auto"/>
              </w:rPr>
            </w:pPr>
          </w:p>
        </w:tc>
        <w:tc>
          <w:tcPr>
            <w:tcW w:w="220" w:type="dxa"/>
            <w:vAlign w:val="bottom"/>
            <w:shd w:val="clear" w:color="auto" w:fill="819F7C"/>
          </w:tcPr>
          <w:p>
            <w:pPr>
              <w:spacing w:after="0"/>
              <w:rPr>
                <w:sz w:val="22"/>
                <w:szCs w:val="22"/>
                <w:color w:val="auto"/>
              </w:rPr>
            </w:pPr>
          </w:p>
        </w:tc>
        <w:tc>
          <w:tcPr>
            <w:tcW w:w="420" w:type="dxa"/>
            <w:vAlign w:val="bottom"/>
            <w:shd w:val="clear" w:color="auto" w:fill="819F7C"/>
          </w:tcPr>
          <w:p>
            <w:pPr>
              <w:spacing w:after="0"/>
              <w:rPr>
                <w:sz w:val="22"/>
                <w:szCs w:val="22"/>
                <w:color w:val="auto"/>
              </w:rPr>
            </w:pPr>
          </w:p>
        </w:tc>
        <w:tc>
          <w:tcPr>
            <w:tcW w:w="220" w:type="dxa"/>
            <w:vAlign w:val="bottom"/>
            <w:shd w:val="clear" w:color="auto" w:fill="819F7C"/>
          </w:tcPr>
          <w:p>
            <w:pPr>
              <w:spacing w:after="0"/>
              <w:rPr>
                <w:sz w:val="22"/>
                <w:szCs w:val="22"/>
                <w:color w:val="auto"/>
              </w:rPr>
            </w:pPr>
          </w:p>
        </w:tc>
        <w:tc>
          <w:tcPr>
            <w:tcW w:w="1080" w:type="dxa"/>
            <w:vAlign w:val="bottom"/>
            <w:shd w:val="clear" w:color="auto" w:fill="819F7C"/>
          </w:tcPr>
          <w:p>
            <w:pPr>
              <w:spacing w:after="0"/>
              <w:rPr>
                <w:sz w:val="22"/>
                <w:szCs w:val="22"/>
                <w:color w:val="auto"/>
              </w:rPr>
            </w:pPr>
          </w:p>
        </w:tc>
        <w:tc>
          <w:tcPr>
            <w:tcW w:w="1080" w:type="dxa"/>
            <w:vAlign w:val="bottom"/>
            <w:shd w:val="clear" w:color="auto" w:fill="819F7C"/>
          </w:tcPr>
          <w:p>
            <w:pPr>
              <w:spacing w:after="0"/>
              <w:rPr>
                <w:sz w:val="22"/>
                <w:szCs w:val="22"/>
                <w:color w:val="auto"/>
              </w:rPr>
            </w:pPr>
          </w:p>
        </w:tc>
        <w:tc>
          <w:tcPr>
            <w:tcW w:w="1440" w:type="dxa"/>
            <w:vAlign w:val="bottom"/>
            <w:shd w:val="clear" w:color="auto" w:fill="819F7C"/>
          </w:tcPr>
          <w:p>
            <w:pPr>
              <w:jc w:val="right"/>
              <w:ind w:right="189"/>
              <w:spacing w:after="0"/>
              <w:rPr>
                <w:sz w:val="20"/>
                <w:szCs w:val="20"/>
                <w:color w:val="auto"/>
              </w:rPr>
            </w:pPr>
            <w:r>
              <w:rPr>
                <w:rFonts w:ascii="Arial" w:cs="Arial" w:eastAsia="Arial" w:hAnsi="Arial"/>
                <w:sz w:val="14"/>
                <w:szCs w:val="14"/>
                <w:b w:val="1"/>
                <w:bCs w:val="1"/>
                <w:color w:val="FFFFFF"/>
              </w:rPr>
              <w:t>Non-Equity</w:t>
            </w:r>
          </w:p>
        </w:tc>
        <w:tc>
          <w:tcPr>
            <w:tcW w:w="1440" w:type="dxa"/>
            <w:vAlign w:val="bottom"/>
            <w:shd w:val="clear" w:color="auto" w:fill="819F7C"/>
          </w:tcPr>
          <w:p>
            <w:pPr>
              <w:spacing w:after="0"/>
              <w:rPr>
                <w:sz w:val="22"/>
                <w:szCs w:val="22"/>
                <w:color w:val="auto"/>
              </w:rPr>
            </w:pPr>
          </w:p>
        </w:tc>
        <w:tc>
          <w:tcPr>
            <w:tcW w:w="1080" w:type="dxa"/>
            <w:vAlign w:val="bottom"/>
            <w:shd w:val="clear" w:color="auto" w:fill="819F7C"/>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2160" w:type="dxa"/>
            <w:vAlign w:val="bottom"/>
            <w:shd w:val="clear" w:color="auto" w:fill="819F7C"/>
          </w:tcPr>
          <w:p>
            <w:pPr>
              <w:spacing w:after="0"/>
              <w:rPr>
                <w:sz w:val="14"/>
                <w:szCs w:val="14"/>
                <w:color w:val="auto"/>
              </w:rPr>
            </w:pPr>
          </w:p>
        </w:tc>
        <w:tc>
          <w:tcPr>
            <w:tcW w:w="220" w:type="dxa"/>
            <w:vAlign w:val="bottom"/>
            <w:shd w:val="clear" w:color="auto" w:fill="819F7C"/>
          </w:tcPr>
          <w:p>
            <w:pPr>
              <w:spacing w:after="0"/>
              <w:rPr>
                <w:sz w:val="14"/>
                <w:szCs w:val="14"/>
                <w:color w:val="auto"/>
              </w:rPr>
            </w:pPr>
          </w:p>
        </w:tc>
        <w:tc>
          <w:tcPr>
            <w:tcW w:w="420" w:type="dxa"/>
            <w:vAlign w:val="bottom"/>
            <w:shd w:val="clear" w:color="auto" w:fill="819F7C"/>
          </w:tcPr>
          <w:p>
            <w:pPr>
              <w:spacing w:after="0"/>
              <w:rPr>
                <w:sz w:val="14"/>
                <w:szCs w:val="14"/>
                <w:color w:val="auto"/>
              </w:rPr>
            </w:pPr>
          </w:p>
        </w:tc>
        <w:tc>
          <w:tcPr>
            <w:tcW w:w="220" w:type="dxa"/>
            <w:vAlign w:val="bottom"/>
            <w:shd w:val="clear" w:color="auto" w:fill="819F7C"/>
          </w:tcPr>
          <w:p>
            <w:pPr>
              <w:spacing w:after="0"/>
              <w:rPr>
                <w:sz w:val="14"/>
                <w:szCs w:val="14"/>
                <w:color w:val="auto"/>
              </w:rPr>
            </w:pPr>
          </w:p>
        </w:tc>
        <w:tc>
          <w:tcPr>
            <w:tcW w:w="1080" w:type="dxa"/>
            <w:vAlign w:val="bottom"/>
            <w:shd w:val="clear" w:color="auto" w:fill="819F7C"/>
          </w:tcPr>
          <w:p>
            <w:pPr>
              <w:spacing w:after="0"/>
              <w:rPr>
                <w:sz w:val="14"/>
                <w:szCs w:val="14"/>
                <w:color w:val="auto"/>
              </w:rPr>
            </w:pPr>
          </w:p>
        </w:tc>
        <w:tc>
          <w:tcPr>
            <w:tcW w:w="1080" w:type="dxa"/>
            <w:vAlign w:val="bottom"/>
            <w:shd w:val="clear" w:color="auto" w:fill="819F7C"/>
          </w:tcPr>
          <w:p>
            <w:pPr>
              <w:jc w:val="right"/>
              <w:ind w:right="189"/>
              <w:spacing w:after="0"/>
              <w:rPr>
                <w:sz w:val="20"/>
                <w:szCs w:val="20"/>
                <w:color w:val="auto"/>
              </w:rPr>
            </w:pPr>
            <w:r>
              <w:rPr>
                <w:rFonts w:ascii="Arial" w:cs="Arial" w:eastAsia="Arial" w:hAnsi="Arial"/>
                <w:sz w:val="14"/>
                <w:szCs w:val="14"/>
                <w:b w:val="1"/>
                <w:bCs w:val="1"/>
                <w:color w:val="FFFFFF"/>
              </w:rPr>
              <w:t>Stock</w:t>
            </w:r>
          </w:p>
        </w:tc>
        <w:tc>
          <w:tcPr>
            <w:tcW w:w="1440" w:type="dxa"/>
            <w:vAlign w:val="bottom"/>
            <w:shd w:val="clear" w:color="auto" w:fill="819F7C"/>
          </w:tcPr>
          <w:p>
            <w:pPr>
              <w:jc w:val="right"/>
              <w:ind w:right="189"/>
              <w:spacing w:after="0"/>
              <w:rPr>
                <w:sz w:val="20"/>
                <w:szCs w:val="20"/>
                <w:color w:val="auto"/>
              </w:rPr>
            </w:pPr>
            <w:r>
              <w:rPr>
                <w:rFonts w:ascii="Arial" w:cs="Arial" w:eastAsia="Arial" w:hAnsi="Arial"/>
                <w:sz w:val="14"/>
                <w:szCs w:val="14"/>
                <w:b w:val="1"/>
                <w:bCs w:val="1"/>
                <w:color w:val="FFFFFF"/>
              </w:rPr>
              <w:t>Incentive Plan</w:t>
            </w:r>
          </w:p>
        </w:tc>
        <w:tc>
          <w:tcPr>
            <w:tcW w:w="1440" w:type="dxa"/>
            <w:vAlign w:val="bottom"/>
            <w:shd w:val="clear" w:color="auto" w:fill="819F7C"/>
          </w:tcPr>
          <w:p>
            <w:pPr>
              <w:jc w:val="right"/>
              <w:ind w:right="169"/>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819F7C"/>
          </w:tcPr>
          <w:p>
            <w:pPr>
              <w:spacing w:after="0"/>
              <w:rPr>
                <w:sz w:val="14"/>
                <w:szCs w:val="14"/>
                <w:color w:val="auto"/>
              </w:rPr>
            </w:pPr>
          </w:p>
        </w:tc>
        <w:tc>
          <w:tcPr>
            <w:tcW w:w="2160" w:type="dxa"/>
            <w:vAlign w:val="bottom"/>
            <w:shd w:val="clear" w:color="auto" w:fill="819F7C"/>
          </w:tcPr>
          <w:p>
            <w:pPr>
              <w:ind w:left="40"/>
              <w:spacing w:after="0"/>
              <w:rPr>
                <w:sz w:val="20"/>
                <w:szCs w:val="20"/>
                <w:color w:val="auto"/>
              </w:rPr>
            </w:pPr>
            <w:r>
              <w:rPr>
                <w:rFonts w:ascii="Arial" w:cs="Arial" w:eastAsia="Arial" w:hAnsi="Arial"/>
                <w:sz w:val="14"/>
                <w:szCs w:val="14"/>
                <w:b w:val="1"/>
                <w:bCs w:val="1"/>
                <w:color w:val="FFFFFF"/>
              </w:rPr>
              <w:t>Name and Principal</w:t>
            </w:r>
          </w:p>
        </w:tc>
        <w:tc>
          <w:tcPr>
            <w:tcW w:w="220" w:type="dxa"/>
            <w:vAlign w:val="bottom"/>
            <w:shd w:val="clear" w:color="auto" w:fill="819F7C"/>
          </w:tcPr>
          <w:p>
            <w:pPr>
              <w:spacing w:after="0"/>
              <w:rPr>
                <w:sz w:val="14"/>
                <w:szCs w:val="14"/>
                <w:color w:val="auto"/>
              </w:rPr>
            </w:pPr>
          </w:p>
        </w:tc>
        <w:tc>
          <w:tcPr>
            <w:tcW w:w="640" w:type="dxa"/>
            <w:vAlign w:val="bottom"/>
            <w:gridSpan w:val="2"/>
            <w:shd w:val="clear" w:color="auto" w:fill="819F7C"/>
          </w:tcPr>
          <w:p>
            <w:pPr>
              <w:ind w:left="20"/>
              <w:spacing w:after="0"/>
              <w:rPr>
                <w:sz w:val="20"/>
                <w:szCs w:val="20"/>
                <w:color w:val="auto"/>
              </w:rPr>
            </w:pPr>
            <w:r>
              <w:rPr>
                <w:rFonts w:ascii="Arial" w:cs="Arial" w:eastAsia="Arial" w:hAnsi="Arial"/>
                <w:sz w:val="14"/>
                <w:szCs w:val="14"/>
                <w:b w:val="1"/>
                <w:bCs w:val="1"/>
                <w:color w:val="FFFFFF"/>
              </w:rPr>
              <w:t>Fiscal</w:t>
            </w:r>
          </w:p>
        </w:tc>
        <w:tc>
          <w:tcPr>
            <w:tcW w:w="1080" w:type="dxa"/>
            <w:vAlign w:val="bottom"/>
            <w:shd w:val="clear" w:color="auto" w:fill="819F7C"/>
          </w:tcPr>
          <w:p>
            <w:pPr>
              <w:jc w:val="right"/>
              <w:ind w:right="188"/>
              <w:spacing w:after="0"/>
              <w:rPr>
                <w:sz w:val="20"/>
                <w:szCs w:val="20"/>
                <w:color w:val="auto"/>
              </w:rPr>
            </w:pPr>
            <w:r>
              <w:rPr>
                <w:rFonts w:ascii="Arial" w:cs="Arial" w:eastAsia="Arial" w:hAnsi="Arial"/>
                <w:sz w:val="14"/>
                <w:szCs w:val="14"/>
                <w:b w:val="1"/>
                <w:bCs w:val="1"/>
                <w:color w:val="FFFFFF"/>
              </w:rPr>
              <w:t>Salary</w:t>
            </w:r>
          </w:p>
        </w:tc>
        <w:tc>
          <w:tcPr>
            <w:tcW w:w="1080" w:type="dxa"/>
            <w:vAlign w:val="bottom"/>
            <w:shd w:val="clear" w:color="auto" w:fill="819F7C"/>
          </w:tcPr>
          <w:p>
            <w:pPr>
              <w:jc w:val="right"/>
              <w:ind w:right="189"/>
              <w:spacing w:after="0"/>
              <w:rPr>
                <w:sz w:val="20"/>
                <w:szCs w:val="20"/>
                <w:color w:val="auto"/>
              </w:rPr>
            </w:pPr>
            <w:r>
              <w:rPr>
                <w:rFonts w:ascii="Arial" w:cs="Arial" w:eastAsia="Arial" w:hAnsi="Arial"/>
                <w:sz w:val="14"/>
                <w:szCs w:val="14"/>
                <w:b w:val="1"/>
                <w:bCs w:val="1"/>
                <w:color w:val="FFFFFF"/>
              </w:rPr>
              <w:t>Awards</w:t>
            </w:r>
          </w:p>
        </w:tc>
        <w:tc>
          <w:tcPr>
            <w:tcW w:w="1440" w:type="dxa"/>
            <w:vAlign w:val="bottom"/>
            <w:shd w:val="clear" w:color="auto" w:fill="819F7C"/>
          </w:tcPr>
          <w:p>
            <w:pPr>
              <w:jc w:val="right"/>
              <w:ind w:right="149"/>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819F7C"/>
          </w:tcPr>
          <w:p>
            <w:pPr>
              <w:jc w:val="right"/>
              <w:ind w:right="129"/>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819F7C"/>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40" w:type="dxa"/>
            <w:vAlign w:val="bottom"/>
            <w:shd w:val="clear" w:color="auto" w:fill="819F7C"/>
          </w:tcPr>
          <w:p>
            <w:pPr>
              <w:spacing w:after="0"/>
              <w:rPr>
                <w:sz w:val="19"/>
                <w:szCs w:val="19"/>
                <w:color w:val="auto"/>
              </w:rPr>
            </w:pPr>
          </w:p>
        </w:tc>
        <w:tc>
          <w:tcPr>
            <w:tcW w:w="2160" w:type="dxa"/>
            <w:vAlign w:val="bottom"/>
            <w:shd w:val="clear" w:color="auto" w:fill="819F7C"/>
          </w:tcPr>
          <w:p>
            <w:pPr>
              <w:ind w:left="40"/>
              <w:spacing w:after="0"/>
              <w:rPr>
                <w:sz w:val="20"/>
                <w:szCs w:val="20"/>
                <w:color w:val="auto"/>
              </w:rPr>
            </w:pPr>
            <w:r>
              <w:rPr>
                <w:rFonts w:ascii="Arial" w:cs="Arial" w:eastAsia="Arial" w:hAnsi="Arial"/>
                <w:sz w:val="14"/>
                <w:szCs w:val="14"/>
                <w:b w:val="1"/>
                <w:bCs w:val="1"/>
                <w:color w:val="FFFFFF"/>
              </w:rPr>
              <w:t>Position</w:t>
            </w:r>
          </w:p>
        </w:tc>
        <w:tc>
          <w:tcPr>
            <w:tcW w:w="220" w:type="dxa"/>
            <w:vAlign w:val="bottom"/>
            <w:shd w:val="clear" w:color="auto" w:fill="819F7C"/>
          </w:tcPr>
          <w:p>
            <w:pPr>
              <w:spacing w:after="0"/>
              <w:rPr>
                <w:sz w:val="19"/>
                <w:szCs w:val="19"/>
                <w:color w:val="auto"/>
              </w:rPr>
            </w:pPr>
          </w:p>
        </w:tc>
        <w:tc>
          <w:tcPr>
            <w:tcW w:w="640" w:type="dxa"/>
            <w:vAlign w:val="bottom"/>
            <w:gridSpan w:val="2"/>
            <w:shd w:val="clear" w:color="auto" w:fill="819F7C"/>
          </w:tcPr>
          <w:p>
            <w:pPr>
              <w:jc w:val="center"/>
              <w:ind w:right="100"/>
              <w:spacing w:after="0"/>
              <w:rPr>
                <w:sz w:val="20"/>
                <w:szCs w:val="20"/>
                <w:color w:val="auto"/>
              </w:rPr>
            </w:pPr>
            <w:r>
              <w:rPr>
                <w:rFonts w:ascii="Arial" w:cs="Arial" w:eastAsia="Arial" w:hAnsi="Arial"/>
                <w:sz w:val="14"/>
                <w:szCs w:val="14"/>
                <w:b w:val="1"/>
                <w:bCs w:val="1"/>
                <w:color w:val="FFFFFF"/>
                <w:w w:val="98"/>
              </w:rPr>
              <w:t>Year</w:t>
            </w:r>
          </w:p>
        </w:tc>
        <w:tc>
          <w:tcPr>
            <w:tcW w:w="1080" w:type="dxa"/>
            <w:vAlign w:val="bottom"/>
            <w:shd w:val="clear" w:color="auto" w:fill="819F7C"/>
          </w:tcPr>
          <w:p>
            <w:pPr>
              <w:jc w:val="right"/>
              <w:ind w:right="1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819F7C"/>
          </w:tcPr>
          <w:p>
            <w:pPr>
              <w:jc w:val="right"/>
              <w:ind w:right="149"/>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(1)(2)</w:t>
            </w:r>
          </w:p>
        </w:tc>
        <w:tc>
          <w:tcPr>
            <w:tcW w:w="1440" w:type="dxa"/>
            <w:vAlign w:val="bottom"/>
            <w:shd w:val="clear" w:color="auto" w:fill="819F7C"/>
          </w:tcPr>
          <w:p>
            <w:pPr>
              <w:jc w:val="right"/>
              <w:ind w:right="149"/>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(3)</w:t>
            </w:r>
          </w:p>
        </w:tc>
        <w:tc>
          <w:tcPr>
            <w:tcW w:w="1440" w:type="dxa"/>
            <w:vAlign w:val="bottom"/>
            <w:shd w:val="clear" w:color="auto" w:fill="819F7C"/>
          </w:tcPr>
          <w:p>
            <w:pPr>
              <w:jc w:val="right"/>
              <w:ind w:right="129"/>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(4)</w:t>
            </w:r>
          </w:p>
        </w:tc>
        <w:tc>
          <w:tcPr>
            <w:tcW w:w="1080" w:type="dxa"/>
            <w:vAlign w:val="bottom"/>
            <w:shd w:val="clear" w:color="auto" w:fill="819F7C"/>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5"/>
        </w:trPr>
        <w:tc>
          <w:tcPr>
            <w:tcW w:w="40" w:type="dxa"/>
            <w:vAlign w:val="bottom"/>
            <w:shd w:val="clear" w:color="auto" w:fill="E5E9E3"/>
          </w:tcPr>
          <w:p>
            <w:pPr>
              <w:spacing w:after="0"/>
              <w:rPr>
                <w:sz w:val="16"/>
                <w:szCs w:val="16"/>
                <w:color w:val="auto"/>
              </w:rPr>
            </w:pPr>
          </w:p>
        </w:tc>
        <w:tc>
          <w:tcPr>
            <w:tcW w:w="2160" w:type="dxa"/>
            <w:vAlign w:val="bottom"/>
            <w:shd w:val="clear" w:color="auto" w:fill="E5E9E3"/>
          </w:tcPr>
          <w:p>
            <w:pPr>
              <w:ind w:left="40"/>
              <w:spacing w:after="0"/>
              <w:rPr>
                <w:sz w:val="20"/>
                <w:szCs w:val="20"/>
                <w:color w:val="auto"/>
              </w:rPr>
            </w:pPr>
            <w:r>
              <w:rPr>
                <w:rFonts w:ascii="Arial" w:cs="Arial" w:eastAsia="Arial" w:hAnsi="Arial"/>
                <w:sz w:val="14"/>
                <w:szCs w:val="14"/>
                <w:b w:val="1"/>
                <w:bCs w:val="1"/>
                <w:color w:val="auto"/>
              </w:rPr>
              <w:t>Seamus Grady</w:t>
            </w:r>
          </w:p>
        </w:tc>
        <w:tc>
          <w:tcPr>
            <w:tcW w:w="220" w:type="dxa"/>
            <w:vAlign w:val="bottom"/>
            <w:shd w:val="clear" w:color="auto" w:fill="E5E9E3"/>
          </w:tcPr>
          <w:p>
            <w:pPr>
              <w:spacing w:after="0"/>
              <w:rPr>
                <w:sz w:val="16"/>
                <w:szCs w:val="16"/>
                <w:color w:val="auto"/>
              </w:rPr>
            </w:pPr>
          </w:p>
        </w:tc>
        <w:tc>
          <w:tcPr>
            <w:tcW w:w="420" w:type="dxa"/>
            <w:vAlign w:val="bottom"/>
            <w:shd w:val="clear" w:color="auto" w:fill="E5E9E3"/>
          </w:tcPr>
          <w:p>
            <w:pPr>
              <w:jc w:val="center"/>
              <w:ind w:left="28"/>
              <w:spacing w:after="0"/>
              <w:rPr>
                <w:sz w:val="20"/>
                <w:szCs w:val="20"/>
                <w:color w:val="auto"/>
              </w:rPr>
            </w:pPr>
            <w:r>
              <w:rPr>
                <w:rFonts w:ascii="Arial" w:cs="Arial" w:eastAsia="Arial" w:hAnsi="Arial"/>
                <w:sz w:val="14"/>
                <w:szCs w:val="14"/>
                <w:b w:val="1"/>
                <w:bCs w:val="1"/>
                <w:color w:val="578255"/>
              </w:rPr>
              <w:t>2024</w:t>
            </w:r>
          </w:p>
        </w:tc>
        <w:tc>
          <w:tcPr>
            <w:tcW w:w="220" w:type="dxa"/>
            <w:vAlign w:val="bottom"/>
            <w:shd w:val="clear" w:color="auto" w:fill="E5E9E3"/>
          </w:tcPr>
          <w:p>
            <w:pPr>
              <w:spacing w:after="0"/>
              <w:rPr>
                <w:sz w:val="16"/>
                <w:szCs w:val="16"/>
                <w:color w:val="auto"/>
              </w:rPr>
            </w:pPr>
          </w:p>
        </w:tc>
        <w:tc>
          <w:tcPr>
            <w:tcW w:w="1080" w:type="dxa"/>
            <w:vAlign w:val="bottom"/>
            <w:shd w:val="clear" w:color="auto" w:fill="E5E9E3"/>
          </w:tcPr>
          <w:p>
            <w:pPr>
              <w:jc w:val="right"/>
              <w:ind w:right="148"/>
              <w:spacing w:after="0"/>
              <w:rPr>
                <w:sz w:val="20"/>
                <w:szCs w:val="20"/>
                <w:color w:val="auto"/>
              </w:rPr>
            </w:pPr>
            <w:r>
              <w:rPr>
                <w:rFonts w:ascii="Arial" w:cs="Arial" w:eastAsia="Arial" w:hAnsi="Arial"/>
                <w:sz w:val="14"/>
                <w:szCs w:val="14"/>
                <w:b w:val="1"/>
                <w:bCs w:val="1"/>
                <w:color w:val="578255"/>
              </w:rPr>
              <w:t>1,250,000</w:t>
            </w:r>
          </w:p>
        </w:tc>
        <w:tc>
          <w:tcPr>
            <w:tcW w:w="1080" w:type="dxa"/>
            <w:vAlign w:val="bottom"/>
            <w:shd w:val="clear" w:color="auto" w:fill="E5E9E3"/>
          </w:tcPr>
          <w:p>
            <w:pPr>
              <w:jc w:val="right"/>
              <w:ind w:right="149"/>
              <w:spacing w:after="0"/>
              <w:rPr>
                <w:sz w:val="20"/>
                <w:szCs w:val="20"/>
                <w:color w:val="auto"/>
              </w:rPr>
            </w:pPr>
            <w:r>
              <w:rPr>
                <w:rFonts w:ascii="Arial" w:cs="Arial" w:eastAsia="Arial" w:hAnsi="Arial"/>
                <w:sz w:val="14"/>
                <w:szCs w:val="14"/>
                <w:b w:val="1"/>
                <w:bCs w:val="1"/>
                <w:color w:val="578255"/>
              </w:rPr>
              <w:t>7,799,780</w:t>
            </w:r>
          </w:p>
        </w:tc>
        <w:tc>
          <w:tcPr>
            <w:tcW w:w="1440" w:type="dxa"/>
            <w:vAlign w:val="bottom"/>
            <w:shd w:val="clear" w:color="auto" w:fill="E5E9E3"/>
          </w:tcPr>
          <w:p>
            <w:pPr>
              <w:jc w:val="right"/>
              <w:ind w:right="149"/>
              <w:spacing w:after="0"/>
              <w:rPr>
                <w:sz w:val="20"/>
                <w:szCs w:val="20"/>
                <w:color w:val="auto"/>
              </w:rPr>
            </w:pPr>
            <w:r>
              <w:rPr>
                <w:rFonts w:ascii="Arial" w:cs="Arial" w:eastAsia="Arial" w:hAnsi="Arial"/>
                <w:sz w:val="14"/>
                <w:szCs w:val="14"/>
                <w:b w:val="1"/>
                <w:bCs w:val="1"/>
                <w:color w:val="578255"/>
              </w:rPr>
              <w:t>1,944,313</w:t>
            </w:r>
          </w:p>
        </w:tc>
        <w:tc>
          <w:tcPr>
            <w:tcW w:w="1440" w:type="dxa"/>
            <w:vAlign w:val="bottom"/>
            <w:shd w:val="clear" w:color="auto" w:fill="E5E9E3"/>
          </w:tcPr>
          <w:p>
            <w:pPr>
              <w:jc w:val="right"/>
              <w:ind w:right="169"/>
              <w:spacing w:after="0"/>
              <w:rPr>
                <w:sz w:val="20"/>
                <w:szCs w:val="20"/>
                <w:color w:val="auto"/>
              </w:rPr>
            </w:pPr>
            <w:r>
              <w:rPr>
                <w:rFonts w:ascii="Arial" w:cs="Arial" w:eastAsia="Arial" w:hAnsi="Arial"/>
                <w:sz w:val="14"/>
                <w:szCs w:val="14"/>
                <w:b w:val="1"/>
                <w:bCs w:val="1"/>
                <w:color w:val="578255"/>
              </w:rPr>
              <w:t>88,098</w:t>
            </w:r>
          </w:p>
        </w:tc>
        <w:tc>
          <w:tcPr>
            <w:tcW w:w="1080" w:type="dxa"/>
            <w:vAlign w:val="bottom"/>
            <w:shd w:val="clear" w:color="auto" w:fill="E5E9E3"/>
          </w:tcPr>
          <w:p>
            <w:pPr>
              <w:jc w:val="right"/>
              <w:ind w:right="68"/>
              <w:spacing w:after="0"/>
              <w:rPr>
                <w:sz w:val="20"/>
                <w:szCs w:val="20"/>
                <w:color w:val="auto"/>
              </w:rPr>
            </w:pPr>
            <w:r>
              <w:rPr>
                <w:rFonts w:ascii="Arial" w:cs="Arial" w:eastAsia="Arial" w:hAnsi="Arial"/>
                <w:sz w:val="14"/>
                <w:szCs w:val="14"/>
                <w:b w:val="1"/>
                <w:bCs w:val="1"/>
                <w:color w:val="578255"/>
              </w:rPr>
              <w:t>11,082,191</w:t>
            </w:r>
          </w:p>
        </w:tc>
        <w:tc>
          <w:tcPr>
            <w:tcW w:w="0" w:type="dxa"/>
            <w:vAlign w:val="bottom"/>
          </w:tcPr>
          <w:p>
            <w:pPr>
              <w:spacing w:after="0"/>
              <w:rPr>
                <w:sz w:val="1"/>
                <w:szCs w:val="1"/>
                <w:color w:val="auto"/>
              </w:rPr>
            </w:pPr>
          </w:p>
        </w:tc>
      </w:tr>
      <w:tr>
        <w:trPr>
          <w:trHeight w:val="188"/>
        </w:trPr>
        <w:tc>
          <w:tcPr>
            <w:tcW w:w="40" w:type="dxa"/>
            <w:vAlign w:val="bottom"/>
            <w:shd w:val="clear" w:color="auto" w:fill="E5E9E3"/>
          </w:tcPr>
          <w:p>
            <w:pPr>
              <w:spacing w:after="0"/>
              <w:rPr>
                <w:sz w:val="16"/>
                <w:szCs w:val="16"/>
                <w:color w:val="auto"/>
              </w:rPr>
            </w:pPr>
          </w:p>
        </w:tc>
        <w:tc>
          <w:tcPr>
            <w:tcW w:w="2160" w:type="dxa"/>
            <w:vAlign w:val="bottom"/>
            <w:shd w:val="clear" w:color="auto" w:fill="E5E9E3"/>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220" w:type="dxa"/>
            <w:vAlign w:val="bottom"/>
            <w:shd w:val="clear" w:color="auto" w:fill="E5E9E3"/>
          </w:tcPr>
          <w:p>
            <w:pPr>
              <w:spacing w:after="0"/>
              <w:rPr>
                <w:sz w:val="16"/>
                <w:szCs w:val="16"/>
                <w:color w:val="auto"/>
              </w:rPr>
            </w:pPr>
          </w:p>
        </w:tc>
        <w:tc>
          <w:tcPr>
            <w:tcW w:w="420" w:type="dxa"/>
            <w:vAlign w:val="bottom"/>
            <w:vMerge w:val="restart"/>
            <w:shd w:val="clear" w:color="auto" w:fill="E5E9E3"/>
          </w:tcPr>
          <w:p>
            <w:pPr>
              <w:jc w:val="center"/>
              <w:ind w:left="28"/>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E5E9E3"/>
          </w:tcPr>
          <w:p>
            <w:pPr>
              <w:spacing w:after="0"/>
              <w:rPr>
                <w:sz w:val="16"/>
                <w:szCs w:val="16"/>
                <w:color w:val="auto"/>
              </w:rPr>
            </w:pPr>
          </w:p>
        </w:tc>
        <w:tc>
          <w:tcPr>
            <w:tcW w:w="1080" w:type="dxa"/>
            <w:vAlign w:val="bottom"/>
            <w:vMerge w:val="restart"/>
            <w:shd w:val="clear" w:color="auto" w:fill="E5E9E3"/>
          </w:tcPr>
          <w:p>
            <w:pPr>
              <w:jc w:val="right"/>
              <w:ind w:right="148"/>
              <w:spacing w:after="0"/>
              <w:rPr>
                <w:sz w:val="20"/>
                <w:szCs w:val="20"/>
                <w:color w:val="auto"/>
              </w:rPr>
            </w:pPr>
            <w:r>
              <w:rPr>
                <w:rFonts w:ascii="Arial" w:cs="Arial" w:eastAsia="Arial" w:hAnsi="Arial"/>
                <w:sz w:val="14"/>
                <w:szCs w:val="14"/>
                <w:color w:val="auto"/>
              </w:rPr>
              <w:t>1,150,000</w:t>
            </w:r>
          </w:p>
        </w:tc>
        <w:tc>
          <w:tcPr>
            <w:tcW w:w="1080" w:type="dxa"/>
            <w:vAlign w:val="bottom"/>
            <w:vMerge w:val="restart"/>
            <w:shd w:val="clear" w:color="auto" w:fill="E5E9E3"/>
          </w:tcPr>
          <w:p>
            <w:pPr>
              <w:jc w:val="right"/>
              <w:ind w:right="149"/>
              <w:spacing w:after="0"/>
              <w:rPr>
                <w:sz w:val="20"/>
                <w:szCs w:val="20"/>
                <w:color w:val="auto"/>
              </w:rPr>
            </w:pPr>
            <w:r>
              <w:rPr>
                <w:rFonts w:ascii="Arial" w:cs="Arial" w:eastAsia="Arial" w:hAnsi="Arial"/>
                <w:sz w:val="14"/>
                <w:szCs w:val="14"/>
                <w:color w:val="auto"/>
              </w:rPr>
              <w:t>7,499,721</w:t>
            </w:r>
          </w:p>
        </w:tc>
        <w:tc>
          <w:tcPr>
            <w:tcW w:w="1440" w:type="dxa"/>
            <w:vAlign w:val="bottom"/>
            <w:vMerge w:val="restart"/>
            <w:shd w:val="clear" w:color="auto" w:fill="E5E9E3"/>
          </w:tcPr>
          <w:p>
            <w:pPr>
              <w:jc w:val="right"/>
              <w:ind w:right="149"/>
              <w:spacing w:after="0"/>
              <w:rPr>
                <w:sz w:val="20"/>
                <w:szCs w:val="20"/>
                <w:color w:val="auto"/>
              </w:rPr>
            </w:pPr>
            <w:r>
              <w:rPr>
                <w:rFonts w:ascii="Arial" w:cs="Arial" w:eastAsia="Arial" w:hAnsi="Arial"/>
                <w:sz w:val="14"/>
                <w:szCs w:val="14"/>
                <w:color w:val="auto"/>
              </w:rPr>
              <w:t>1,794,000</w:t>
            </w:r>
          </w:p>
        </w:tc>
        <w:tc>
          <w:tcPr>
            <w:tcW w:w="1440" w:type="dxa"/>
            <w:vAlign w:val="bottom"/>
            <w:vMerge w:val="restart"/>
            <w:shd w:val="clear" w:color="auto" w:fill="E5E9E3"/>
          </w:tcPr>
          <w:p>
            <w:pPr>
              <w:jc w:val="right"/>
              <w:ind w:right="169"/>
              <w:spacing w:after="0"/>
              <w:rPr>
                <w:sz w:val="20"/>
                <w:szCs w:val="20"/>
                <w:color w:val="auto"/>
              </w:rPr>
            </w:pPr>
            <w:r>
              <w:rPr>
                <w:rFonts w:ascii="Arial" w:cs="Arial" w:eastAsia="Arial" w:hAnsi="Arial"/>
                <w:sz w:val="14"/>
                <w:szCs w:val="14"/>
                <w:color w:val="auto"/>
              </w:rPr>
              <w:t>83,887</w:t>
            </w:r>
          </w:p>
        </w:tc>
        <w:tc>
          <w:tcPr>
            <w:tcW w:w="1080" w:type="dxa"/>
            <w:vAlign w:val="bottom"/>
            <w:vMerge w:val="restart"/>
            <w:shd w:val="clear" w:color="auto" w:fill="E5E9E3"/>
          </w:tcPr>
          <w:p>
            <w:pPr>
              <w:jc w:val="right"/>
              <w:ind w:right="68"/>
              <w:spacing w:after="0"/>
              <w:rPr>
                <w:sz w:val="20"/>
                <w:szCs w:val="20"/>
                <w:color w:val="auto"/>
              </w:rPr>
            </w:pPr>
            <w:r>
              <w:rPr>
                <w:rFonts w:ascii="Arial" w:cs="Arial" w:eastAsia="Arial" w:hAnsi="Arial"/>
                <w:sz w:val="14"/>
                <w:szCs w:val="14"/>
                <w:color w:val="auto"/>
              </w:rPr>
              <w:t>10,527,608</w:t>
            </w:r>
          </w:p>
        </w:tc>
        <w:tc>
          <w:tcPr>
            <w:tcW w:w="0" w:type="dxa"/>
            <w:vAlign w:val="bottom"/>
          </w:tcPr>
          <w:p>
            <w:pPr>
              <w:spacing w:after="0"/>
              <w:rPr>
                <w:sz w:val="1"/>
                <w:szCs w:val="1"/>
                <w:color w:val="auto"/>
              </w:rPr>
            </w:pPr>
          </w:p>
        </w:tc>
      </w:tr>
      <w:tr>
        <w:trPr>
          <w:trHeight w:val="81"/>
        </w:trPr>
        <w:tc>
          <w:tcPr>
            <w:tcW w:w="40" w:type="dxa"/>
            <w:vAlign w:val="bottom"/>
            <w:shd w:val="clear" w:color="auto" w:fill="E5E9E3"/>
          </w:tcPr>
          <w:p>
            <w:pPr>
              <w:spacing w:after="0"/>
              <w:rPr>
                <w:sz w:val="7"/>
                <w:szCs w:val="7"/>
                <w:color w:val="auto"/>
              </w:rPr>
            </w:pPr>
          </w:p>
        </w:tc>
        <w:tc>
          <w:tcPr>
            <w:tcW w:w="2160" w:type="dxa"/>
            <w:vAlign w:val="bottom"/>
            <w:shd w:val="clear" w:color="auto" w:fill="E5E9E3"/>
          </w:tcPr>
          <w:p>
            <w:pPr>
              <w:spacing w:after="0"/>
              <w:rPr>
                <w:sz w:val="7"/>
                <w:szCs w:val="7"/>
                <w:color w:val="auto"/>
              </w:rPr>
            </w:pPr>
          </w:p>
        </w:tc>
        <w:tc>
          <w:tcPr>
            <w:tcW w:w="220" w:type="dxa"/>
            <w:vAlign w:val="bottom"/>
            <w:shd w:val="clear" w:color="auto" w:fill="E5E9E3"/>
          </w:tcPr>
          <w:p>
            <w:pPr>
              <w:spacing w:after="0"/>
              <w:rPr>
                <w:sz w:val="7"/>
                <w:szCs w:val="7"/>
                <w:color w:val="auto"/>
              </w:rPr>
            </w:pPr>
          </w:p>
        </w:tc>
        <w:tc>
          <w:tcPr>
            <w:tcW w:w="420" w:type="dxa"/>
            <w:vAlign w:val="bottom"/>
            <w:vMerge w:val="continue"/>
            <w:shd w:val="clear" w:color="auto" w:fill="E5E9E3"/>
          </w:tcPr>
          <w:p>
            <w:pPr>
              <w:spacing w:after="0"/>
              <w:rPr>
                <w:sz w:val="7"/>
                <w:szCs w:val="7"/>
                <w:color w:val="auto"/>
              </w:rPr>
            </w:pPr>
          </w:p>
        </w:tc>
        <w:tc>
          <w:tcPr>
            <w:tcW w:w="220" w:type="dxa"/>
            <w:vAlign w:val="bottom"/>
            <w:shd w:val="clear" w:color="auto" w:fill="E5E9E3"/>
          </w:tcPr>
          <w:p>
            <w:pPr>
              <w:spacing w:after="0"/>
              <w:rPr>
                <w:sz w:val="7"/>
                <w:szCs w:val="7"/>
                <w:color w:val="auto"/>
              </w:rPr>
            </w:pPr>
          </w:p>
        </w:tc>
        <w:tc>
          <w:tcPr>
            <w:tcW w:w="1080" w:type="dxa"/>
            <w:vAlign w:val="bottom"/>
            <w:vMerge w:val="continue"/>
            <w:shd w:val="clear" w:color="auto" w:fill="E5E9E3"/>
          </w:tcPr>
          <w:p>
            <w:pPr>
              <w:spacing w:after="0"/>
              <w:rPr>
                <w:sz w:val="7"/>
                <w:szCs w:val="7"/>
                <w:color w:val="auto"/>
              </w:rPr>
            </w:pPr>
          </w:p>
        </w:tc>
        <w:tc>
          <w:tcPr>
            <w:tcW w:w="1080" w:type="dxa"/>
            <w:vAlign w:val="bottom"/>
            <w:vMerge w:val="continue"/>
            <w:shd w:val="clear" w:color="auto" w:fill="E5E9E3"/>
          </w:tcPr>
          <w:p>
            <w:pPr>
              <w:spacing w:after="0"/>
              <w:rPr>
                <w:sz w:val="7"/>
                <w:szCs w:val="7"/>
                <w:color w:val="auto"/>
              </w:rPr>
            </w:pPr>
          </w:p>
        </w:tc>
        <w:tc>
          <w:tcPr>
            <w:tcW w:w="1440" w:type="dxa"/>
            <w:vAlign w:val="bottom"/>
            <w:vMerge w:val="continue"/>
            <w:shd w:val="clear" w:color="auto" w:fill="E5E9E3"/>
          </w:tcPr>
          <w:p>
            <w:pPr>
              <w:spacing w:after="0"/>
              <w:rPr>
                <w:sz w:val="7"/>
                <w:szCs w:val="7"/>
                <w:color w:val="auto"/>
              </w:rPr>
            </w:pPr>
          </w:p>
        </w:tc>
        <w:tc>
          <w:tcPr>
            <w:tcW w:w="1440" w:type="dxa"/>
            <w:vAlign w:val="bottom"/>
            <w:vMerge w:val="continue"/>
            <w:shd w:val="clear" w:color="auto" w:fill="E5E9E3"/>
          </w:tcPr>
          <w:p>
            <w:pPr>
              <w:spacing w:after="0"/>
              <w:rPr>
                <w:sz w:val="7"/>
                <w:szCs w:val="7"/>
                <w:color w:val="auto"/>
              </w:rPr>
            </w:pPr>
          </w:p>
        </w:tc>
        <w:tc>
          <w:tcPr>
            <w:tcW w:w="1080" w:type="dxa"/>
            <w:vAlign w:val="bottom"/>
            <w:vMerge w:val="continue"/>
            <w:shd w:val="clear" w:color="auto" w:fill="E5E9E3"/>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E5E9E3"/>
            </w:tcBorders>
            <w:shd w:val="clear" w:color="auto" w:fill="E5E9E3"/>
          </w:tcPr>
          <w:p>
            <w:pPr>
              <w:spacing w:after="0"/>
              <w:rPr>
                <w:sz w:val="21"/>
                <w:szCs w:val="21"/>
                <w:color w:val="auto"/>
              </w:rPr>
            </w:pPr>
          </w:p>
        </w:tc>
        <w:tc>
          <w:tcPr>
            <w:tcW w:w="2160" w:type="dxa"/>
            <w:vAlign w:val="bottom"/>
            <w:tcBorders>
              <w:bottom w:val="single" w:sz="8" w:color="E5E9E3"/>
            </w:tcBorders>
            <w:shd w:val="clear" w:color="auto" w:fill="E5E9E3"/>
          </w:tcPr>
          <w:p>
            <w:pPr>
              <w:spacing w:after="0"/>
              <w:rPr>
                <w:sz w:val="21"/>
                <w:szCs w:val="21"/>
                <w:color w:val="auto"/>
              </w:rPr>
            </w:pPr>
          </w:p>
        </w:tc>
        <w:tc>
          <w:tcPr>
            <w:tcW w:w="220" w:type="dxa"/>
            <w:vAlign w:val="bottom"/>
            <w:tcBorders>
              <w:bottom w:val="single" w:sz="8" w:color="E5E9E3"/>
            </w:tcBorders>
            <w:shd w:val="clear" w:color="auto" w:fill="E5E9E3"/>
          </w:tcPr>
          <w:p>
            <w:pPr>
              <w:spacing w:after="0"/>
              <w:rPr>
                <w:sz w:val="21"/>
                <w:szCs w:val="21"/>
                <w:color w:val="auto"/>
              </w:rPr>
            </w:pPr>
          </w:p>
        </w:tc>
        <w:tc>
          <w:tcPr>
            <w:tcW w:w="420" w:type="dxa"/>
            <w:vAlign w:val="bottom"/>
            <w:tcBorders>
              <w:bottom w:val="single" w:sz="8" w:color="E5E9E3"/>
            </w:tcBorders>
            <w:shd w:val="clear" w:color="auto" w:fill="E5E9E3"/>
          </w:tcPr>
          <w:p>
            <w:pPr>
              <w:jc w:val="center"/>
              <w:ind w:left="28"/>
              <w:spacing w:after="0"/>
              <w:rPr>
                <w:sz w:val="20"/>
                <w:szCs w:val="20"/>
                <w:color w:val="auto"/>
              </w:rPr>
            </w:pPr>
            <w:r>
              <w:rPr>
                <w:rFonts w:ascii="Arial" w:cs="Arial" w:eastAsia="Arial" w:hAnsi="Arial"/>
                <w:sz w:val="14"/>
                <w:szCs w:val="14"/>
                <w:color w:val="auto"/>
              </w:rPr>
              <w:t>2022</w:t>
            </w:r>
          </w:p>
        </w:tc>
        <w:tc>
          <w:tcPr>
            <w:tcW w:w="220" w:type="dxa"/>
            <w:vAlign w:val="bottom"/>
            <w:tcBorders>
              <w:bottom w:val="single" w:sz="8" w:color="E5E9E3"/>
            </w:tcBorders>
            <w:shd w:val="clear" w:color="auto" w:fill="E5E9E3"/>
          </w:tcPr>
          <w:p>
            <w:pPr>
              <w:spacing w:after="0"/>
              <w:rPr>
                <w:sz w:val="21"/>
                <w:szCs w:val="21"/>
                <w:color w:val="auto"/>
              </w:rPr>
            </w:pPr>
          </w:p>
        </w:tc>
        <w:tc>
          <w:tcPr>
            <w:tcW w:w="1080" w:type="dxa"/>
            <w:vAlign w:val="bottom"/>
            <w:tcBorders>
              <w:bottom w:val="single" w:sz="8" w:color="E5E9E3"/>
            </w:tcBorders>
            <w:shd w:val="clear" w:color="auto" w:fill="E5E9E3"/>
          </w:tcPr>
          <w:p>
            <w:pPr>
              <w:jc w:val="right"/>
              <w:ind w:right="148"/>
              <w:spacing w:after="0"/>
              <w:rPr>
                <w:sz w:val="20"/>
                <w:szCs w:val="20"/>
                <w:color w:val="auto"/>
              </w:rPr>
            </w:pPr>
            <w:r>
              <w:rPr>
                <w:rFonts w:ascii="Arial" w:cs="Arial" w:eastAsia="Arial" w:hAnsi="Arial"/>
                <w:sz w:val="14"/>
                <w:szCs w:val="14"/>
                <w:color w:val="auto"/>
              </w:rPr>
              <w:t>1,025,000</w:t>
            </w:r>
          </w:p>
        </w:tc>
        <w:tc>
          <w:tcPr>
            <w:tcW w:w="1080" w:type="dxa"/>
            <w:vAlign w:val="bottom"/>
            <w:tcBorders>
              <w:bottom w:val="single" w:sz="8" w:color="E5E9E3"/>
            </w:tcBorders>
            <w:shd w:val="clear" w:color="auto" w:fill="E5E9E3"/>
          </w:tcPr>
          <w:p>
            <w:pPr>
              <w:jc w:val="right"/>
              <w:ind w:right="149"/>
              <w:spacing w:after="0"/>
              <w:rPr>
                <w:sz w:val="20"/>
                <w:szCs w:val="20"/>
                <w:color w:val="auto"/>
              </w:rPr>
            </w:pPr>
            <w:r>
              <w:rPr>
                <w:rFonts w:ascii="Arial" w:cs="Arial" w:eastAsia="Arial" w:hAnsi="Arial"/>
                <w:sz w:val="14"/>
                <w:szCs w:val="14"/>
                <w:color w:val="auto"/>
              </w:rPr>
              <w:t>7,199,814</w:t>
            </w:r>
          </w:p>
        </w:tc>
        <w:tc>
          <w:tcPr>
            <w:tcW w:w="1440" w:type="dxa"/>
            <w:vAlign w:val="bottom"/>
            <w:tcBorders>
              <w:bottom w:val="single" w:sz="8" w:color="E5E9E3"/>
            </w:tcBorders>
            <w:shd w:val="clear" w:color="auto" w:fill="E5E9E3"/>
          </w:tcPr>
          <w:p>
            <w:pPr>
              <w:jc w:val="right"/>
              <w:ind w:right="149"/>
              <w:spacing w:after="0"/>
              <w:rPr>
                <w:sz w:val="20"/>
                <w:szCs w:val="20"/>
                <w:color w:val="auto"/>
              </w:rPr>
            </w:pPr>
            <w:r>
              <w:rPr>
                <w:rFonts w:ascii="Arial" w:cs="Arial" w:eastAsia="Arial" w:hAnsi="Arial"/>
                <w:sz w:val="14"/>
                <w:szCs w:val="14"/>
                <w:color w:val="auto"/>
              </w:rPr>
              <w:t>1,638,000</w:t>
            </w:r>
          </w:p>
        </w:tc>
        <w:tc>
          <w:tcPr>
            <w:tcW w:w="1440" w:type="dxa"/>
            <w:vAlign w:val="bottom"/>
            <w:tcBorders>
              <w:bottom w:val="single" w:sz="8" w:color="E5E9E3"/>
            </w:tcBorders>
            <w:shd w:val="clear" w:color="auto" w:fill="E5E9E3"/>
          </w:tcPr>
          <w:p>
            <w:pPr>
              <w:jc w:val="right"/>
              <w:ind w:right="169"/>
              <w:spacing w:after="0"/>
              <w:rPr>
                <w:sz w:val="20"/>
                <w:szCs w:val="20"/>
                <w:color w:val="auto"/>
              </w:rPr>
            </w:pPr>
            <w:r>
              <w:rPr>
                <w:rFonts w:ascii="Arial" w:cs="Arial" w:eastAsia="Arial" w:hAnsi="Arial"/>
                <w:sz w:val="14"/>
                <w:szCs w:val="14"/>
                <w:color w:val="auto"/>
              </w:rPr>
              <w:t>74,141</w:t>
            </w:r>
          </w:p>
        </w:tc>
        <w:tc>
          <w:tcPr>
            <w:tcW w:w="1080" w:type="dxa"/>
            <w:vAlign w:val="bottom"/>
            <w:tcBorders>
              <w:bottom w:val="single" w:sz="8" w:color="E5E9E3"/>
            </w:tcBorders>
            <w:shd w:val="clear" w:color="auto" w:fill="E5E9E3"/>
          </w:tcPr>
          <w:p>
            <w:pPr>
              <w:jc w:val="right"/>
              <w:ind w:right="68"/>
              <w:spacing w:after="0"/>
              <w:rPr>
                <w:sz w:val="20"/>
                <w:szCs w:val="20"/>
                <w:color w:val="auto"/>
              </w:rPr>
            </w:pPr>
            <w:r>
              <w:rPr>
                <w:rFonts w:ascii="Arial" w:cs="Arial" w:eastAsia="Arial" w:hAnsi="Arial"/>
                <w:sz w:val="14"/>
                <w:szCs w:val="14"/>
                <w:color w:val="auto"/>
              </w:rPr>
              <w:t>9,936,955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14"/>
                <w:szCs w:val="14"/>
                <w:b w:val="1"/>
                <w:bCs w:val="1"/>
                <w:color w:val="auto"/>
              </w:rPr>
              <w:t>Dr. Harpal Gill</w:t>
            </w:r>
          </w:p>
        </w:tc>
        <w:tc>
          <w:tcPr>
            <w:tcW w:w="64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578255"/>
              </w:rPr>
              <w:t>2024</w:t>
            </w:r>
          </w:p>
        </w:tc>
        <w:tc>
          <w:tcPr>
            <w:tcW w:w="220" w:type="dxa"/>
            <w:vAlign w:val="bottom"/>
          </w:tcPr>
          <w:p>
            <w:pPr>
              <w:spacing w:after="0"/>
              <w:rPr>
                <w:sz w:val="16"/>
                <w:szCs w:val="16"/>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578255"/>
              </w:rPr>
              <w:t>1,060,000</w:t>
            </w: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578255"/>
              </w:rPr>
              <w:t>4,874,564</w:t>
            </w:r>
          </w:p>
        </w:tc>
        <w:tc>
          <w:tcPr>
            <w:tcW w:w="1440" w:type="dxa"/>
            <w:vAlign w:val="bottom"/>
          </w:tcPr>
          <w:p>
            <w:pPr>
              <w:jc w:val="right"/>
              <w:ind w:right="149"/>
              <w:spacing w:after="0"/>
              <w:rPr>
                <w:sz w:val="20"/>
                <w:szCs w:val="20"/>
                <w:color w:val="auto"/>
              </w:rPr>
            </w:pPr>
            <w:r>
              <w:rPr>
                <w:rFonts w:ascii="Arial" w:cs="Arial" w:eastAsia="Arial" w:hAnsi="Arial"/>
                <w:sz w:val="14"/>
                <w:szCs w:val="14"/>
                <w:b w:val="1"/>
                <w:bCs w:val="1"/>
                <w:color w:val="578255"/>
              </w:rPr>
              <w:t>1,648,777</w:t>
            </w:r>
          </w:p>
        </w:tc>
        <w:tc>
          <w:tcPr>
            <w:tcW w:w="1440" w:type="dxa"/>
            <w:vAlign w:val="bottom"/>
          </w:tcPr>
          <w:p>
            <w:pPr>
              <w:jc w:val="right"/>
              <w:ind w:right="149"/>
              <w:spacing w:after="0"/>
              <w:rPr>
                <w:sz w:val="20"/>
                <w:szCs w:val="20"/>
                <w:color w:val="auto"/>
              </w:rPr>
            </w:pPr>
            <w:r>
              <w:rPr>
                <w:rFonts w:ascii="Arial" w:cs="Arial" w:eastAsia="Arial" w:hAnsi="Arial"/>
                <w:sz w:val="14"/>
                <w:szCs w:val="14"/>
                <w:b w:val="1"/>
                <w:bCs w:val="1"/>
                <w:color w:val="578255"/>
              </w:rPr>
              <w:t>1,342,592</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578255"/>
              </w:rPr>
              <w:t>8,925,933</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Arial" w:cs="Arial" w:eastAsia="Arial" w:hAnsi="Arial"/>
                <w:sz w:val="14"/>
                <w:szCs w:val="14"/>
                <w:i w:val="1"/>
                <w:iCs w:val="1"/>
                <w:color w:val="auto"/>
              </w:rPr>
              <w:t>President and Chief</w:t>
            </w:r>
          </w:p>
        </w:tc>
        <w:tc>
          <w:tcPr>
            <w:tcW w:w="64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1,040,300</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4,874,837</w:t>
            </w:r>
          </w:p>
        </w:tc>
        <w:tc>
          <w:tcPr>
            <w:tcW w:w="1440" w:type="dxa"/>
            <w:vAlign w:val="bottom"/>
            <w:vMerge w:val="restart"/>
          </w:tcPr>
          <w:p>
            <w:pPr>
              <w:jc w:val="right"/>
              <w:ind w:right="149"/>
              <w:spacing w:after="0"/>
              <w:rPr>
                <w:sz w:val="20"/>
                <w:szCs w:val="20"/>
                <w:color w:val="auto"/>
              </w:rPr>
            </w:pPr>
            <w:r>
              <w:rPr>
                <w:rFonts w:ascii="Arial" w:cs="Arial" w:eastAsia="Arial" w:hAnsi="Arial"/>
                <w:sz w:val="14"/>
                <w:szCs w:val="14"/>
                <w:color w:val="auto"/>
              </w:rPr>
              <w:t>1,622,868</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704,116</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8,242,121</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Operating Officer</w:t>
            </w:r>
          </w:p>
        </w:tc>
        <w:tc>
          <w:tcPr>
            <w:tcW w:w="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64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7"/>
                <w:szCs w:val="7"/>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1,010,000</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4,499,958</w:t>
            </w:r>
          </w:p>
        </w:tc>
        <w:tc>
          <w:tcPr>
            <w:tcW w:w="1440" w:type="dxa"/>
            <w:vAlign w:val="bottom"/>
            <w:vMerge w:val="restart"/>
          </w:tcPr>
          <w:p>
            <w:pPr>
              <w:jc w:val="right"/>
              <w:ind w:right="149"/>
              <w:spacing w:after="0"/>
              <w:rPr>
                <w:sz w:val="20"/>
                <w:szCs w:val="20"/>
                <w:color w:val="auto"/>
              </w:rPr>
            </w:pPr>
            <w:r>
              <w:rPr>
                <w:rFonts w:ascii="Arial" w:cs="Arial" w:eastAsia="Arial" w:hAnsi="Arial"/>
                <w:sz w:val="14"/>
                <w:szCs w:val="14"/>
                <w:color w:val="auto"/>
              </w:rPr>
              <w:t>1,590,000</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516,112</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7,616,070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shd w:val="clear" w:color="auto" w:fill="E5E9E3"/>
          </w:tcPr>
          <w:p>
            <w:pPr>
              <w:spacing w:after="0"/>
              <w:rPr>
                <w:sz w:val="19"/>
                <w:szCs w:val="19"/>
                <w:color w:val="auto"/>
              </w:rPr>
            </w:pPr>
          </w:p>
        </w:tc>
        <w:tc>
          <w:tcPr>
            <w:tcW w:w="2160" w:type="dxa"/>
            <w:vAlign w:val="bottom"/>
            <w:shd w:val="clear" w:color="auto" w:fill="E5E9E3"/>
          </w:tcPr>
          <w:p>
            <w:pPr>
              <w:ind w:left="40"/>
              <w:spacing w:after="0" w:line="222" w:lineRule="exact"/>
              <w:rPr>
                <w:sz w:val="20"/>
                <w:szCs w:val="20"/>
                <w:color w:val="auto"/>
              </w:rPr>
            </w:pPr>
            <w:r>
              <w:rPr>
                <w:rFonts w:ascii="Arial" w:cs="Arial" w:eastAsia="Arial" w:hAnsi="Arial"/>
                <w:sz w:val="14"/>
                <w:szCs w:val="14"/>
                <w:b w:val="1"/>
                <w:bCs w:val="1"/>
                <w:color w:val="auto"/>
              </w:rPr>
              <w:t>Csaba Sverha</w:t>
            </w:r>
            <w:r>
              <w:rPr>
                <w:rFonts w:ascii="Arial" w:cs="Arial" w:eastAsia="Arial" w:hAnsi="Arial"/>
                <w:sz w:val="23"/>
                <w:szCs w:val="23"/>
                <w:color w:val="auto"/>
                <w:vertAlign w:val="superscript"/>
              </w:rPr>
              <w:t>(5)</w:t>
            </w:r>
          </w:p>
        </w:tc>
        <w:tc>
          <w:tcPr>
            <w:tcW w:w="220" w:type="dxa"/>
            <w:vAlign w:val="bottom"/>
            <w:shd w:val="clear" w:color="auto" w:fill="E5E9E3"/>
          </w:tcPr>
          <w:p>
            <w:pPr>
              <w:spacing w:after="0"/>
              <w:rPr>
                <w:sz w:val="19"/>
                <w:szCs w:val="19"/>
                <w:color w:val="auto"/>
              </w:rPr>
            </w:pPr>
          </w:p>
        </w:tc>
        <w:tc>
          <w:tcPr>
            <w:tcW w:w="420" w:type="dxa"/>
            <w:vAlign w:val="bottom"/>
            <w:shd w:val="clear" w:color="auto" w:fill="E5E9E3"/>
          </w:tcPr>
          <w:p>
            <w:pPr>
              <w:jc w:val="center"/>
              <w:ind w:left="28"/>
              <w:spacing w:after="0"/>
              <w:rPr>
                <w:sz w:val="20"/>
                <w:szCs w:val="20"/>
                <w:color w:val="auto"/>
              </w:rPr>
            </w:pPr>
            <w:r>
              <w:rPr>
                <w:rFonts w:ascii="Arial" w:cs="Arial" w:eastAsia="Arial" w:hAnsi="Arial"/>
                <w:sz w:val="14"/>
                <w:szCs w:val="14"/>
                <w:b w:val="1"/>
                <w:bCs w:val="1"/>
                <w:color w:val="578255"/>
              </w:rPr>
              <w:t>2024</w:t>
            </w:r>
          </w:p>
        </w:tc>
        <w:tc>
          <w:tcPr>
            <w:tcW w:w="220" w:type="dxa"/>
            <w:vAlign w:val="bottom"/>
            <w:shd w:val="clear" w:color="auto" w:fill="E5E9E3"/>
          </w:tcPr>
          <w:p>
            <w:pPr>
              <w:spacing w:after="0"/>
              <w:rPr>
                <w:sz w:val="19"/>
                <w:szCs w:val="19"/>
                <w:color w:val="auto"/>
              </w:rPr>
            </w:pPr>
          </w:p>
        </w:tc>
        <w:tc>
          <w:tcPr>
            <w:tcW w:w="1080" w:type="dxa"/>
            <w:vAlign w:val="bottom"/>
            <w:shd w:val="clear" w:color="auto" w:fill="E5E9E3"/>
          </w:tcPr>
          <w:p>
            <w:pPr>
              <w:jc w:val="right"/>
              <w:ind w:right="168"/>
              <w:spacing w:after="0"/>
              <w:rPr>
                <w:sz w:val="20"/>
                <w:szCs w:val="20"/>
                <w:color w:val="auto"/>
              </w:rPr>
            </w:pPr>
            <w:r>
              <w:rPr>
                <w:rFonts w:ascii="Arial" w:cs="Arial" w:eastAsia="Arial" w:hAnsi="Arial"/>
                <w:sz w:val="14"/>
                <w:szCs w:val="14"/>
                <w:b w:val="1"/>
                <w:bCs w:val="1"/>
                <w:color w:val="578255"/>
              </w:rPr>
              <w:t>590,000</w:t>
            </w:r>
          </w:p>
        </w:tc>
        <w:tc>
          <w:tcPr>
            <w:tcW w:w="1080" w:type="dxa"/>
            <w:vAlign w:val="bottom"/>
            <w:shd w:val="clear" w:color="auto" w:fill="E5E9E3"/>
          </w:tcPr>
          <w:p>
            <w:pPr>
              <w:jc w:val="right"/>
              <w:ind w:right="149"/>
              <w:spacing w:after="0"/>
              <w:rPr>
                <w:sz w:val="20"/>
                <w:szCs w:val="20"/>
                <w:color w:val="auto"/>
              </w:rPr>
            </w:pPr>
            <w:r>
              <w:rPr>
                <w:rFonts w:ascii="Arial" w:cs="Arial" w:eastAsia="Arial" w:hAnsi="Arial"/>
                <w:sz w:val="14"/>
                <w:szCs w:val="14"/>
                <w:b w:val="1"/>
                <w:bCs w:val="1"/>
                <w:color w:val="578255"/>
              </w:rPr>
              <w:t>2,699,722</w:t>
            </w:r>
          </w:p>
        </w:tc>
        <w:tc>
          <w:tcPr>
            <w:tcW w:w="1440" w:type="dxa"/>
            <w:vAlign w:val="bottom"/>
            <w:shd w:val="clear" w:color="auto" w:fill="E5E9E3"/>
          </w:tcPr>
          <w:p>
            <w:pPr>
              <w:jc w:val="right"/>
              <w:ind w:right="169"/>
              <w:spacing w:after="0"/>
              <w:rPr>
                <w:sz w:val="20"/>
                <w:szCs w:val="20"/>
                <w:color w:val="auto"/>
              </w:rPr>
            </w:pPr>
            <w:r>
              <w:rPr>
                <w:rFonts w:ascii="Arial" w:cs="Arial" w:eastAsia="Arial" w:hAnsi="Arial"/>
                <w:sz w:val="14"/>
                <w:szCs w:val="14"/>
                <w:b w:val="1"/>
                <w:bCs w:val="1"/>
                <w:color w:val="578255"/>
              </w:rPr>
              <w:t>600,045</w:t>
            </w:r>
          </w:p>
        </w:tc>
        <w:tc>
          <w:tcPr>
            <w:tcW w:w="1440" w:type="dxa"/>
            <w:vAlign w:val="bottom"/>
            <w:shd w:val="clear" w:color="auto" w:fill="E5E9E3"/>
          </w:tcPr>
          <w:p>
            <w:pPr>
              <w:jc w:val="right"/>
              <w:ind w:right="149"/>
              <w:spacing w:after="0"/>
              <w:rPr>
                <w:sz w:val="20"/>
                <w:szCs w:val="20"/>
                <w:color w:val="auto"/>
              </w:rPr>
            </w:pPr>
            <w:r>
              <w:rPr>
                <w:rFonts w:ascii="Arial" w:cs="Arial" w:eastAsia="Arial" w:hAnsi="Arial"/>
                <w:sz w:val="14"/>
                <w:szCs w:val="14"/>
                <w:b w:val="1"/>
                <w:bCs w:val="1"/>
                <w:color w:val="578255"/>
              </w:rPr>
              <w:t>229,114</w:t>
            </w:r>
          </w:p>
        </w:tc>
        <w:tc>
          <w:tcPr>
            <w:tcW w:w="1080" w:type="dxa"/>
            <w:vAlign w:val="bottom"/>
            <w:shd w:val="clear" w:color="auto" w:fill="E5E9E3"/>
          </w:tcPr>
          <w:p>
            <w:pPr>
              <w:jc w:val="right"/>
              <w:ind w:right="68"/>
              <w:spacing w:after="0"/>
              <w:rPr>
                <w:sz w:val="20"/>
                <w:szCs w:val="20"/>
                <w:color w:val="auto"/>
              </w:rPr>
            </w:pPr>
            <w:r>
              <w:rPr>
                <w:rFonts w:ascii="Arial" w:cs="Arial" w:eastAsia="Arial" w:hAnsi="Arial"/>
                <w:sz w:val="14"/>
                <w:szCs w:val="14"/>
                <w:b w:val="1"/>
                <w:bCs w:val="1"/>
                <w:color w:val="578255"/>
              </w:rPr>
              <w:t>4,118,881</w:t>
            </w:r>
          </w:p>
        </w:tc>
        <w:tc>
          <w:tcPr>
            <w:tcW w:w="0" w:type="dxa"/>
            <w:vAlign w:val="bottom"/>
          </w:tcPr>
          <w:p>
            <w:pPr>
              <w:spacing w:after="0"/>
              <w:rPr>
                <w:sz w:val="1"/>
                <w:szCs w:val="1"/>
                <w:color w:val="auto"/>
              </w:rPr>
            </w:pPr>
          </w:p>
        </w:tc>
      </w:tr>
      <w:tr>
        <w:trPr>
          <w:trHeight w:val="162"/>
        </w:trPr>
        <w:tc>
          <w:tcPr>
            <w:tcW w:w="40" w:type="dxa"/>
            <w:vAlign w:val="bottom"/>
            <w:shd w:val="clear" w:color="auto" w:fill="E5E9E3"/>
          </w:tcPr>
          <w:p>
            <w:pPr>
              <w:spacing w:after="0"/>
              <w:rPr>
                <w:sz w:val="14"/>
                <w:szCs w:val="14"/>
                <w:color w:val="auto"/>
              </w:rPr>
            </w:pPr>
          </w:p>
        </w:tc>
        <w:tc>
          <w:tcPr>
            <w:tcW w:w="2160" w:type="dxa"/>
            <w:vAlign w:val="bottom"/>
            <w:shd w:val="clear" w:color="auto" w:fill="E5E9E3"/>
          </w:tcPr>
          <w:p>
            <w:pPr>
              <w:ind w:left="180"/>
              <w:spacing w:after="0"/>
              <w:rPr>
                <w:sz w:val="20"/>
                <w:szCs w:val="20"/>
                <w:color w:val="auto"/>
              </w:rPr>
            </w:pPr>
            <w:r>
              <w:rPr>
                <w:rFonts w:ascii="Arial" w:cs="Arial" w:eastAsia="Arial" w:hAnsi="Arial"/>
                <w:sz w:val="14"/>
                <w:szCs w:val="14"/>
                <w:i w:val="1"/>
                <w:iCs w:val="1"/>
                <w:color w:val="auto"/>
              </w:rPr>
              <w:t>Executive Vice President,</w:t>
            </w:r>
          </w:p>
        </w:tc>
        <w:tc>
          <w:tcPr>
            <w:tcW w:w="220" w:type="dxa"/>
            <w:vAlign w:val="bottom"/>
            <w:shd w:val="clear" w:color="auto" w:fill="E5E9E3"/>
          </w:tcPr>
          <w:p>
            <w:pPr>
              <w:spacing w:after="0"/>
              <w:rPr>
                <w:sz w:val="14"/>
                <w:szCs w:val="14"/>
                <w:color w:val="auto"/>
              </w:rPr>
            </w:pPr>
          </w:p>
        </w:tc>
        <w:tc>
          <w:tcPr>
            <w:tcW w:w="420" w:type="dxa"/>
            <w:vAlign w:val="bottom"/>
            <w:vMerge w:val="restart"/>
            <w:shd w:val="clear" w:color="auto" w:fill="E5E9E3"/>
          </w:tcPr>
          <w:p>
            <w:pPr>
              <w:jc w:val="center"/>
              <w:ind w:left="28"/>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E5E9E3"/>
          </w:tcPr>
          <w:p>
            <w:pPr>
              <w:spacing w:after="0"/>
              <w:rPr>
                <w:sz w:val="14"/>
                <w:szCs w:val="14"/>
                <w:color w:val="auto"/>
              </w:rPr>
            </w:pPr>
          </w:p>
        </w:tc>
        <w:tc>
          <w:tcPr>
            <w:tcW w:w="1080" w:type="dxa"/>
            <w:vAlign w:val="bottom"/>
            <w:vMerge w:val="restart"/>
            <w:shd w:val="clear" w:color="auto" w:fill="E5E9E3"/>
          </w:tcPr>
          <w:p>
            <w:pPr>
              <w:jc w:val="right"/>
              <w:ind w:right="168"/>
              <w:spacing w:after="0"/>
              <w:rPr>
                <w:sz w:val="20"/>
                <w:szCs w:val="20"/>
                <w:color w:val="auto"/>
              </w:rPr>
            </w:pPr>
            <w:r>
              <w:rPr>
                <w:rFonts w:ascii="Arial" w:cs="Arial" w:eastAsia="Arial" w:hAnsi="Arial"/>
                <w:sz w:val="14"/>
                <w:szCs w:val="14"/>
                <w:color w:val="auto"/>
              </w:rPr>
              <w:t>575,000</w:t>
            </w:r>
          </w:p>
        </w:tc>
        <w:tc>
          <w:tcPr>
            <w:tcW w:w="1080" w:type="dxa"/>
            <w:vAlign w:val="bottom"/>
            <w:vMerge w:val="restart"/>
            <w:shd w:val="clear" w:color="auto" w:fill="E5E9E3"/>
          </w:tcPr>
          <w:p>
            <w:pPr>
              <w:jc w:val="right"/>
              <w:ind w:right="149"/>
              <w:spacing w:after="0"/>
              <w:rPr>
                <w:sz w:val="20"/>
                <w:szCs w:val="20"/>
                <w:color w:val="auto"/>
              </w:rPr>
            </w:pPr>
            <w:r>
              <w:rPr>
                <w:rFonts w:ascii="Arial" w:cs="Arial" w:eastAsia="Arial" w:hAnsi="Arial"/>
                <w:sz w:val="14"/>
                <w:szCs w:val="14"/>
                <w:color w:val="auto"/>
              </w:rPr>
              <w:t>2,549,898</w:t>
            </w:r>
          </w:p>
        </w:tc>
        <w:tc>
          <w:tcPr>
            <w:tcW w:w="1440" w:type="dxa"/>
            <w:vAlign w:val="bottom"/>
            <w:vMerge w:val="restart"/>
            <w:shd w:val="clear" w:color="auto" w:fill="E5E9E3"/>
          </w:tcPr>
          <w:p>
            <w:pPr>
              <w:jc w:val="right"/>
              <w:ind w:right="169"/>
              <w:spacing w:after="0"/>
              <w:rPr>
                <w:sz w:val="20"/>
                <w:szCs w:val="20"/>
                <w:color w:val="auto"/>
              </w:rPr>
            </w:pPr>
            <w:r>
              <w:rPr>
                <w:rFonts w:ascii="Arial" w:cs="Arial" w:eastAsia="Arial" w:hAnsi="Arial"/>
                <w:sz w:val="14"/>
                <w:szCs w:val="14"/>
                <w:color w:val="auto"/>
              </w:rPr>
              <w:t>586,500</w:t>
            </w:r>
          </w:p>
        </w:tc>
        <w:tc>
          <w:tcPr>
            <w:tcW w:w="1440" w:type="dxa"/>
            <w:vAlign w:val="bottom"/>
            <w:vMerge w:val="restart"/>
            <w:shd w:val="clear" w:color="auto" w:fill="E5E9E3"/>
          </w:tcPr>
          <w:p>
            <w:pPr>
              <w:jc w:val="right"/>
              <w:ind w:right="169"/>
              <w:spacing w:after="0"/>
              <w:rPr>
                <w:sz w:val="20"/>
                <w:szCs w:val="20"/>
                <w:color w:val="auto"/>
              </w:rPr>
            </w:pPr>
            <w:r>
              <w:rPr>
                <w:rFonts w:ascii="Arial" w:cs="Arial" w:eastAsia="Arial" w:hAnsi="Arial"/>
                <w:sz w:val="14"/>
                <w:szCs w:val="14"/>
                <w:color w:val="auto"/>
              </w:rPr>
              <w:t>343,539</w:t>
            </w:r>
          </w:p>
        </w:tc>
        <w:tc>
          <w:tcPr>
            <w:tcW w:w="1080" w:type="dxa"/>
            <w:vAlign w:val="bottom"/>
            <w:vMerge w:val="restart"/>
            <w:shd w:val="clear" w:color="auto" w:fill="E5E9E3"/>
          </w:tcPr>
          <w:p>
            <w:pPr>
              <w:jc w:val="right"/>
              <w:ind w:right="68"/>
              <w:spacing w:after="0"/>
              <w:rPr>
                <w:sz w:val="20"/>
                <w:szCs w:val="20"/>
                <w:color w:val="auto"/>
              </w:rPr>
            </w:pPr>
            <w:r>
              <w:rPr>
                <w:rFonts w:ascii="Arial" w:cs="Arial" w:eastAsia="Arial" w:hAnsi="Arial"/>
                <w:sz w:val="14"/>
                <w:szCs w:val="14"/>
                <w:color w:val="auto"/>
              </w:rPr>
              <w:t>4,054,937</w:t>
            </w:r>
          </w:p>
        </w:tc>
        <w:tc>
          <w:tcPr>
            <w:tcW w:w="0" w:type="dxa"/>
            <w:vAlign w:val="bottom"/>
          </w:tcPr>
          <w:p>
            <w:pPr>
              <w:spacing w:after="0"/>
              <w:rPr>
                <w:sz w:val="1"/>
                <w:szCs w:val="1"/>
                <w:color w:val="auto"/>
              </w:rPr>
            </w:pPr>
          </w:p>
        </w:tc>
      </w:tr>
      <w:tr>
        <w:trPr>
          <w:trHeight w:val="80"/>
        </w:trPr>
        <w:tc>
          <w:tcPr>
            <w:tcW w:w="40" w:type="dxa"/>
            <w:vAlign w:val="bottom"/>
            <w:shd w:val="clear" w:color="auto" w:fill="E5E9E3"/>
          </w:tcPr>
          <w:p>
            <w:pPr>
              <w:spacing w:after="0"/>
              <w:rPr>
                <w:sz w:val="6"/>
                <w:szCs w:val="6"/>
                <w:color w:val="auto"/>
              </w:rPr>
            </w:pPr>
          </w:p>
        </w:tc>
        <w:tc>
          <w:tcPr>
            <w:tcW w:w="2160" w:type="dxa"/>
            <w:vAlign w:val="bottom"/>
            <w:vMerge w:val="restart"/>
            <w:shd w:val="clear" w:color="auto" w:fill="E5E9E3"/>
          </w:tcPr>
          <w:p>
            <w:pPr>
              <w:ind w:left="180"/>
              <w:spacing w:after="0"/>
              <w:rPr>
                <w:sz w:val="20"/>
                <w:szCs w:val="20"/>
                <w:color w:val="auto"/>
              </w:rPr>
            </w:pPr>
            <w:r>
              <w:rPr>
                <w:rFonts w:ascii="Arial" w:cs="Arial" w:eastAsia="Arial" w:hAnsi="Arial"/>
                <w:sz w:val="14"/>
                <w:szCs w:val="14"/>
                <w:i w:val="1"/>
                <w:iCs w:val="1"/>
                <w:color w:val="auto"/>
              </w:rPr>
              <w:t>Chief Financial Officer</w:t>
            </w:r>
          </w:p>
        </w:tc>
        <w:tc>
          <w:tcPr>
            <w:tcW w:w="220" w:type="dxa"/>
            <w:vAlign w:val="bottom"/>
            <w:shd w:val="clear" w:color="auto" w:fill="E5E9E3"/>
          </w:tcPr>
          <w:p>
            <w:pPr>
              <w:spacing w:after="0"/>
              <w:rPr>
                <w:sz w:val="6"/>
                <w:szCs w:val="6"/>
                <w:color w:val="auto"/>
              </w:rPr>
            </w:pPr>
          </w:p>
        </w:tc>
        <w:tc>
          <w:tcPr>
            <w:tcW w:w="420" w:type="dxa"/>
            <w:vAlign w:val="bottom"/>
            <w:vMerge w:val="continue"/>
            <w:shd w:val="clear" w:color="auto" w:fill="E5E9E3"/>
          </w:tcPr>
          <w:p>
            <w:pPr>
              <w:spacing w:after="0"/>
              <w:rPr>
                <w:sz w:val="6"/>
                <w:szCs w:val="6"/>
                <w:color w:val="auto"/>
              </w:rPr>
            </w:pPr>
          </w:p>
        </w:tc>
        <w:tc>
          <w:tcPr>
            <w:tcW w:w="220" w:type="dxa"/>
            <w:vAlign w:val="bottom"/>
            <w:shd w:val="clear" w:color="auto" w:fill="E5E9E3"/>
          </w:tcPr>
          <w:p>
            <w:pPr>
              <w:spacing w:after="0"/>
              <w:rPr>
                <w:sz w:val="6"/>
                <w:szCs w:val="6"/>
                <w:color w:val="auto"/>
              </w:rPr>
            </w:pPr>
          </w:p>
        </w:tc>
        <w:tc>
          <w:tcPr>
            <w:tcW w:w="1080" w:type="dxa"/>
            <w:vAlign w:val="bottom"/>
            <w:vMerge w:val="continue"/>
            <w:shd w:val="clear" w:color="auto" w:fill="E5E9E3"/>
          </w:tcPr>
          <w:p>
            <w:pPr>
              <w:spacing w:after="0"/>
              <w:rPr>
                <w:sz w:val="6"/>
                <w:szCs w:val="6"/>
                <w:color w:val="auto"/>
              </w:rPr>
            </w:pPr>
          </w:p>
        </w:tc>
        <w:tc>
          <w:tcPr>
            <w:tcW w:w="1080" w:type="dxa"/>
            <w:vAlign w:val="bottom"/>
            <w:vMerge w:val="continue"/>
            <w:shd w:val="clear" w:color="auto" w:fill="E5E9E3"/>
          </w:tcPr>
          <w:p>
            <w:pPr>
              <w:spacing w:after="0"/>
              <w:rPr>
                <w:sz w:val="6"/>
                <w:szCs w:val="6"/>
                <w:color w:val="auto"/>
              </w:rPr>
            </w:pPr>
          </w:p>
        </w:tc>
        <w:tc>
          <w:tcPr>
            <w:tcW w:w="1440" w:type="dxa"/>
            <w:vAlign w:val="bottom"/>
            <w:vMerge w:val="continue"/>
            <w:shd w:val="clear" w:color="auto" w:fill="E5E9E3"/>
          </w:tcPr>
          <w:p>
            <w:pPr>
              <w:spacing w:after="0"/>
              <w:rPr>
                <w:sz w:val="6"/>
                <w:szCs w:val="6"/>
                <w:color w:val="auto"/>
              </w:rPr>
            </w:pPr>
          </w:p>
        </w:tc>
        <w:tc>
          <w:tcPr>
            <w:tcW w:w="1440" w:type="dxa"/>
            <w:vAlign w:val="bottom"/>
            <w:vMerge w:val="continue"/>
            <w:shd w:val="clear" w:color="auto" w:fill="E5E9E3"/>
          </w:tcPr>
          <w:p>
            <w:pPr>
              <w:spacing w:after="0"/>
              <w:rPr>
                <w:sz w:val="6"/>
                <w:szCs w:val="6"/>
                <w:color w:val="auto"/>
              </w:rPr>
            </w:pPr>
          </w:p>
        </w:tc>
        <w:tc>
          <w:tcPr>
            <w:tcW w:w="1080" w:type="dxa"/>
            <w:vAlign w:val="bottom"/>
            <w:vMerge w:val="continue"/>
            <w:shd w:val="clear" w:color="auto" w:fill="E5E9E3"/>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 w:type="dxa"/>
            <w:vAlign w:val="bottom"/>
            <w:shd w:val="clear" w:color="auto" w:fill="E5E9E3"/>
          </w:tcPr>
          <w:p>
            <w:pPr>
              <w:spacing w:after="0"/>
              <w:rPr>
                <w:sz w:val="9"/>
                <w:szCs w:val="9"/>
                <w:color w:val="auto"/>
              </w:rPr>
            </w:pPr>
          </w:p>
        </w:tc>
        <w:tc>
          <w:tcPr>
            <w:tcW w:w="2160" w:type="dxa"/>
            <w:vAlign w:val="bottom"/>
            <w:vMerge w:val="continue"/>
            <w:shd w:val="clear" w:color="auto" w:fill="E5E9E3"/>
          </w:tcPr>
          <w:p>
            <w:pPr>
              <w:spacing w:after="0"/>
              <w:rPr>
                <w:sz w:val="9"/>
                <w:szCs w:val="9"/>
                <w:color w:val="auto"/>
              </w:rPr>
            </w:pPr>
          </w:p>
        </w:tc>
        <w:tc>
          <w:tcPr>
            <w:tcW w:w="220" w:type="dxa"/>
            <w:vAlign w:val="bottom"/>
            <w:shd w:val="clear" w:color="auto" w:fill="E5E9E3"/>
          </w:tcPr>
          <w:p>
            <w:pPr>
              <w:spacing w:after="0"/>
              <w:rPr>
                <w:sz w:val="9"/>
                <w:szCs w:val="9"/>
                <w:color w:val="auto"/>
              </w:rPr>
            </w:pPr>
          </w:p>
        </w:tc>
        <w:tc>
          <w:tcPr>
            <w:tcW w:w="420" w:type="dxa"/>
            <w:vAlign w:val="bottom"/>
            <w:vMerge w:val="restart"/>
            <w:shd w:val="clear" w:color="auto" w:fill="E5E9E3"/>
          </w:tcPr>
          <w:p>
            <w:pPr>
              <w:jc w:val="center"/>
              <w:ind w:left="28"/>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E5E9E3"/>
          </w:tcPr>
          <w:p>
            <w:pPr>
              <w:spacing w:after="0"/>
              <w:rPr>
                <w:sz w:val="9"/>
                <w:szCs w:val="9"/>
                <w:color w:val="auto"/>
              </w:rPr>
            </w:pPr>
          </w:p>
        </w:tc>
        <w:tc>
          <w:tcPr>
            <w:tcW w:w="1080" w:type="dxa"/>
            <w:vAlign w:val="bottom"/>
            <w:vMerge w:val="restart"/>
            <w:shd w:val="clear" w:color="auto" w:fill="E5E9E3"/>
          </w:tcPr>
          <w:p>
            <w:pPr>
              <w:jc w:val="right"/>
              <w:ind w:right="168"/>
              <w:spacing w:after="0"/>
              <w:rPr>
                <w:sz w:val="20"/>
                <w:szCs w:val="20"/>
                <w:color w:val="auto"/>
              </w:rPr>
            </w:pPr>
            <w:r>
              <w:rPr>
                <w:rFonts w:ascii="Arial" w:cs="Arial" w:eastAsia="Arial" w:hAnsi="Arial"/>
                <w:sz w:val="14"/>
                <w:szCs w:val="14"/>
                <w:color w:val="auto"/>
              </w:rPr>
              <w:t>500,000</w:t>
            </w:r>
          </w:p>
        </w:tc>
        <w:tc>
          <w:tcPr>
            <w:tcW w:w="1080" w:type="dxa"/>
            <w:vAlign w:val="bottom"/>
            <w:vMerge w:val="restart"/>
            <w:shd w:val="clear" w:color="auto" w:fill="E5E9E3"/>
          </w:tcPr>
          <w:p>
            <w:pPr>
              <w:jc w:val="right"/>
              <w:ind w:right="149"/>
              <w:spacing w:after="0"/>
              <w:rPr>
                <w:sz w:val="20"/>
                <w:szCs w:val="20"/>
                <w:color w:val="auto"/>
              </w:rPr>
            </w:pPr>
            <w:r>
              <w:rPr>
                <w:rFonts w:ascii="Arial" w:cs="Arial" w:eastAsia="Arial" w:hAnsi="Arial"/>
                <w:sz w:val="14"/>
                <w:szCs w:val="14"/>
                <w:color w:val="auto"/>
              </w:rPr>
              <w:t>2,399,736</w:t>
            </w:r>
          </w:p>
        </w:tc>
        <w:tc>
          <w:tcPr>
            <w:tcW w:w="1440" w:type="dxa"/>
            <w:vAlign w:val="bottom"/>
            <w:vMerge w:val="restart"/>
            <w:shd w:val="clear" w:color="auto" w:fill="E5E9E3"/>
          </w:tcPr>
          <w:p>
            <w:pPr>
              <w:jc w:val="right"/>
              <w:ind w:right="169"/>
              <w:spacing w:after="0"/>
              <w:rPr>
                <w:sz w:val="20"/>
                <w:szCs w:val="20"/>
                <w:color w:val="auto"/>
              </w:rPr>
            </w:pPr>
            <w:r>
              <w:rPr>
                <w:rFonts w:ascii="Arial" w:cs="Arial" w:eastAsia="Arial" w:hAnsi="Arial"/>
                <w:sz w:val="14"/>
                <w:szCs w:val="14"/>
                <w:color w:val="auto"/>
              </w:rPr>
              <w:t>510,000</w:t>
            </w:r>
          </w:p>
        </w:tc>
        <w:tc>
          <w:tcPr>
            <w:tcW w:w="1440" w:type="dxa"/>
            <w:vAlign w:val="bottom"/>
            <w:vMerge w:val="restart"/>
            <w:shd w:val="clear" w:color="auto" w:fill="E5E9E3"/>
          </w:tcPr>
          <w:p>
            <w:pPr>
              <w:jc w:val="right"/>
              <w:ind w:right="169"/>
              <w:spacing w:after="0"/>
              <w:rPr>
                <w:sz w:val="20"/>
                <w:szCs w:val="20"/>
                <w:color w:val="auto"/>
              </w:rPr>
            </w:pPr>
            <w:r>
              <w:rPr>
                <w:rFonts w:ascii="Arial" w:cs="Arial" w:eastAsia="Arial" w:hAnsi="Arial"/>
                <w:sz w:val="14"/>
                <w:szCs w:val="14"/>
                <w:color w:val="auto"/>
              </w:rPr>
              <w:t>291,197</w:t>
            </w:r>
          </w:p>
        </w:tc>
        <w:tc>
          <w:tcPr>
            <w:tcW w:w="1080" w:type="dxa"/>
            <w:vAlign w:val="bottom"/>
            <w:vMerge w:val="restart"/>
            <w:shd w:val="clear" w:color="auto" w:fill="E5E9E3"/>
          </w:tcPr>
          <w:p>
            <w:pPr>
              <w:jc w:val="right"/>
              <w:ind w:right="68"/>
              <w:spacing w:after="0"/>
              <w:rPr>
                <w:sz w:val="20"/>
                <w:szCs w:val="20"/>
                <w:color w:val="auto"/>
              </w:rPr>
            </w:pPr>
            <w:r>
              <w:rPr>
                <w:rFonts w:ascii="Arial" w:cs="Arial" w:eastAsia="Arial" w:hAnsi="Arial"/>
                <w:sz w:val="14"/>
                <w:szCs w:val="14"/>
                <w:color w:val="auto"/>
              </w:rPr>
              <w:t>3,700,933</w:t>
            </w:r>
          </w:p>
        </w:tc>
        <w:tc>
          <w:tcPr>
            <w:tcW w:w="0" w:type="dxa"/>
            <w:vAlign w:val="bottom"/>
          </w:tcPr>
          <w:p>
            <w:pPr>
              <w:spacing w:after="0"/>
              <w:rPr>
                <w:sz w:val="1"/>
                <w:szCs w:val="1"/>
                <w:color w:val="auto"/>
              </w:rPr>
            </w:pPr>
          </w:p>
        </w:tc>
      </w:tr>
      <w:tr>
        <w:trPr>
          <w:trHeight w:val="137"/>
        </w:trPr>
        <w:tc>
          <w:tcPr>
            <w:tcW w:w="40" w:type="dxa"/>
            <w:vAlign w:val="bottom"/>
            <w:tcBorders>
              <w:bottom w:val="single" w:sz="8" w:color="E5E9E3"/>
            </w:tcBorders>
            <w:shd w:val="clear" w:color="auto" w:fill="E5E9E3"/>
          </w:tcPr>
          <w:p>
            <w:pPr>
              <w:spacing w:after="0"/>
              <w:rPr>
                <w:sz w:val="11"/>
                <w:szCs w:val="11"/>
                <w:color w:val="auto"/>
              </w:rPr>
            </w:pPr>
          </w:p>
        </w:tc>
        <w:tc>
          <w:tcPr>
            <w:tcW w:w="2160" w:type="dxa"/>
            <w:vAlign w:val="bottom"/>
            <w:tcBorders>
              <w:bottom w:val="single" w:sz="8" w:color="E5E9E3"/>
            </w:tcBorders>
            <w:shd w:val="clear" w:color="auto" w:fill="E5E9E3"/>
          </w:tcPr>
          <w:p>
            <w:pPr>
              <w:spacing w:after="0"/>
              <w:rPr>
                <w:sz w:val="11"/>
                <w:szCs w:val="11"/>
                <w:color w:val="auto"/>
              </w:rPr>
            </w:pPr>
          </w:p>
        </w:tc>
        <w:tc>
          <w:tcPr>
            <w:tcW w:w="220" w:type="dxa"/>
            <w:vAlign w:val="bottom"/>
            <w:tcBorders>
              <w:bottom w:val="single" w:sz="8" w:color="E5E9E3"/>
            </w:tcBorders>
            <w:shd w:val="clear" w:color="auto" w:fill="E5E9E3"/>
          </w:tcPr>
          <w:p>
            <w:pPr>
              <w:spacing w:after="0"/>
              <w:rPr>
                <w:sz w:val="11"/>
                <w:szCs w:val="11"/>
                <w:color w:val="auto"/>
              </w:rPr>
            </w:pPr>
          </w:p>
        </w:tc>
        <w:tc>
          <w:tcPr>
            <w:tcW w:w="420" w:type="dxa"/>
            <w:vAlign w:val="bottom"/>
            <w:tcBorders>
              <w:bottom w:val="single" w:sz="8" w:color="E5E9E3"/>
            </w:tcBorders>
            <w:vMerge w:val="continue"/>
            <w:shd w:val="clear" w:color="auto" w:fill="E5E9E3"/>
          </w:tcPr>
          <w:p>
            <w:pPr>
              <w:spacing w:after="0"/>
              <w:rPr>
                <w:sz w:val="11"/>
                <w:szCs w:val="11"/>
                <w:color w:val="auto"/>
              </w:rPr>
            </w:pPr>
          </w:p>
        </w:tc>
        <w:tc>
          <w:tcPr>
            <w:tcW w:w="220" w:type="dxa"/>
            <w:vAlign w:val="bottom"/>
            <w:tcBorders>
              <w:bottom w:val="single" w:sz="8" w:color="E5E9E3"/>
            </w:tcBorders>
            <w:shd w:val="clear" w:color="auto" w:fill="E5E9E3"/>
          </w:tcPr>
          <w:p>
            <w:pPr>
              <w:spacing w:after="0"/>
              <w:rPr>
                <w:sz w:val="11"/>
                <w:szCs w:val="11"/>
                <w:color w:val="auto"/>
              </w:rPr>
            </w:pPr>
          </w:p>
        </w:tc>
        <w:tc>
          <w:tcPr>
            <w:tcW w:w="1080" w:type="dxa"/>
            <w:vAlign w:val="bottom"/>
            <w:tcBorders>
              <w:bottom w:val="single" w:sz="8" w:color="E5E9E3"/>
            </w:tcBorders>
            <w:vMerge w:val="continue"/>
            <w:shd w:val="clear" w:color="auto" w:fill="E5E9E3"/>
          </w:tcPr>
          <w:p>
            <w:pPr>
              <w:spacing w:after="0"/>
              <w:rPr>
                <w:sz w:val="11"/>
                <w:szCs w:val="11"/>
                <w:color w:val="auto"/>
              </w:rPr>
            </w:pPr>
          </w:p>
        </w:tc>
        <w:tc>
          <w:tcPr>
            <w:tcW w:w="1080" w:type="dxa"/>
            <w:vAlign w:val="bottom"/>
            <w:tcBorders>
              <w:bottom w:val="single" w:sz="8" w:color="E5E9E3"/>
            </w:tcBorders>
            <w:vMerge w:val="continue"/>
            <w:shd w:val="clear" w:color="auto" w:fill="E5E9E3"/>
          </w:tcPr>
          <w:p>
            <w:pPr>
              <w:spacing w:after="0"/>
              <w:rPr>
                <w:sz w:val="11"/>
                <w:szCs w:val="11"/>
                <w:color w:val="auto"/>
              </w:rPr>
            </w:pPr>
          </w:p>
        </w:tc>
        <w:tc>
          <w:tcPr>
            <w:tcW w:w="1440" w:type="dxa"/>
            <w:vAlign w:val="bottom"/>
            <w:tcBorders>
              <w:bottom w:val="single" w:sz="8" w:color="E5E9E3"/>
            </w:tcBorders>
            <w:vMerge w:val="continue"/>
            <w:shd w:val="clear" w:color="auto" w:fill="E5E9E3"/>
          </w:tcPr>
          <w:p>
            <w:pPr>
              <w:spacing w:after="0"/>
              <w:rPr>
                <w:sz w:val="11"/>
                <w:szCs w:val="11"/>
                <w:color w:val="auto"/>
              </w:rPr>
            </w:pPr>
          </w:p>
        </w:tc>
        <w:tc>
          <w:tcPr>
            <w:tcW w:w="1440" w:type="dxa"/>
            <w:vAlign w:val="bottom"/>
            <w:tcBorders>
              <w:bottom w:val="single" w:sz="8" w:color="E5E9E3"/>
            </w:tcBorders>
            <w:vMerge w:val="continue"/>
            <w:shd w:val="clear" w:color="auto" w:fill="E5E9E3"/>
          </w:tcPr>
          <w:p>
            <w:pPr>
              <w:spacing w:after="0"/>
              <w:rPr>
                <w:sz w:val="11"/>
                <w:szCs w:val="11"/>
                <w:color w:val="auto"/>
              </w:rPr>
            </w:pPr>
          </w:p>
        </w:tc>
        <w:tc>
          <w:tcPr>
            <w:tcW w:w="1080" w:type="dxa"/>
            <w:vAlign w:val="bottom"/>
            <w:tcBorders>
              <w:bottom w:val="single" w:sz="8" w:color="E5E9E3"/>
            </w:tcBorders>
            <w:vMerge w:val="continue"/>
            <w:shd w:val="clear" w:color="auto" w:fill="E5E9E3"/>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14"/>
                <w:szCs w:val="14"/>
                <w:b w:val="1"/>
                <w:bCs w:val="1"/>
                <w:color w:val="auto"/>
              </w:rPr>
              <w:t>Edward T. Archer</w:t>
            </w:r>
          </w:p>
        </w:tc>
        <w:tc>
          <w:tcPr>
            <w:tcW w:w="64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578255"/>
              </w:rPr>
              <w:t>2024</w:t>
            </w:r>
          </w:p>
        </w:tc>
        <w:tc>
          <w:tcPr>
            <w:tcW w:w="220" w:type="dxa"/>
            <w:vAlign w:val="bottom"/>
          </w:tcPr>
          <w:p>
            <w:pPr>
              <w:spacing w:after="0"/>
              <w:rPr>
                <w:sz w:val="16"/>
                <w:szCs w:val="16"/>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b w:val="1"/>
                <w:bCs w:val="1"/>
                <w:color w:val="578255"/>
              </w:rPr>
              <w:t>510,000</w:t>
            </w: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578255"/>
              </w:rPr>
              <w:t>2,249,689</w:t>
            </w:r>
          </w:p>
        </w:tc>
        <w:tc>
          <w:tcPr>
            <w:tcW w:w="1440" w:type="dxa"/>
            <w:vAlign w:val="bottom"/>
          </w:tcPr>
          <w:p>
            <w:pPr>
              <w:jc w:val="right"/>
              <w:ind w:right="169"/>
              <w:spacing w:after="0"/>
              <w:rPr>
                <w:sz w:val="20"/>
                <w:szCs w:val="20"/>
                <w:color w:val="auto"/>
              </w:rPr>
            </w:pPr>
            <w:r>
              <w:rPr>
                <w:rFonts w:ascii="Arial" w:cs="Arial" w:eastAsia="Arial" w:hAnsi="Arial"/>
                <w:sz w:val="14"/>
                <w:szCs w:val="14"/>
                <w:b w:val="1"/>
                <w:bCs w:val="1"/>
                <w:color w:val="578255"/>
              </w:rPr>
              <w:t>488,172</w:t>
            </w:r>
          </w:p>
        </w:tc>
        <w:tc>
          <w:tcPr>
            <w:tcW w:w="1440" w:type="dxa"/>
            <w:vAlign w:val="bottom"/>
          </w:tcPr>
          <w:p>
            <w:pPr>
              <w:jc w:val="right"/>
              <w:ind w:right="169"/>
              <w:spacing w:after="0"/>
              <w:rPr>
                <w:sz w:val="20"/>
                <w:szCs w:val="20"/>
                <w:color w:val="auto"/>
              </w:rPr>
            </w:pPr>
            <w:r>
              <w:rPr>
                <w:rFonts w:ascii="Arial" w:cs="Arial" w:eastAsia="Arial" w:hAnsi="Arial"/>
                <w:sz w:val="14"/>
                <w:szCs w:val="14"/>
                <w:b w:val="1"/>
                <w:bCs w:val="1"/>
                <w:color w:val="578255"/>
              </w:rPr>
              <w:t>87,498</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578255"/>
              </w:rPr>
              <w:t>3,335,359</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Arial" w:cs="Arial" w:eastAsia="Arial" w:hAnsi="Arial"/>
                <w:sz w:val="14"/>
                <w:szCs w:val="14"/>
                <w:i w:val="1"/>
                <w:iCs w:val="1"/>
                <w:color w:val="auto"/>
              </w:rPr>
              <w:t>Executive Vice President,</w:t>
            </w:r>
          </w:p>
        </w:tc>
        <w:tc>
          <w:tcPr>
            <w:tcW w:w="64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4"/>
                <w:szCs w:val="14"/>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500,000</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2,249,952</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480,000</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83,587</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3,313,539</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Sales &amp; Marketing</w:t>
            </w:r>
          </w:p>
        </w:tc>
        <w:tc>
          <w:tcPr>
            <w:tcW w:w="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640" w:type="dxa"/>
            <w:vAlign w:val="bottom"/>
            <w:gridSpan w:val="2"/>
            <w:vMerge w:val="restart"/>
          </w:tcPr>
          <w:p>
            <w:pPr>
              <w:jc w:val="center"/>
              <w:ind w:left="248"/>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7"/>
                <w:szCs w:val="7"/>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color w:val="auto"/>
              </w:rPr>
              <w:t>460,000</w:t>
            </w:r>
          </w:p>
        </w:tc>
        <w:tc>
          <w:tcPr>
            <w:tcW w:w="1080" w:type="dxa"/>
            <w:vAlign w:val="bottom"/>
            <w:vMerge w:val="restart"/>
          </w:tcPr>
          <w:p>
            <w:pPr>
              <w:jc w:val="right"/>
              <w:ind w:right="149"/>
              <w:spacing w:after="0"/>
              <w:rPr>
                <w:sz w:val="20"/>
                <w:szCs w:val="20"/>
                <w:color w:val="auto"/>
              </w:rPr>
            </w:pPr>
            <w:r>
              <w:rPr>
                <w:rFonts w:ascii="Arial" w:cs="Arial" w:eastAsia="Arial" w:hAnsi="Arial"/>
                <w:sz w:val="14"/>
                <w:szCs w:val="14"/>
                <w:color w:val="auto"/>
              </w:rPr>
              <w:t>2,099,919</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444,000</w:t>
            </w:r>
          </w:p>
        </w:tc>
        <w:tc>
          <w:tcPr>
            <w:tcW w:w="1440" w:type="dxa"/>
            <w:vAlign w:val="bottom"/>
            <w:vMerge w:val="restart"/>
          </w:tcPr>
          <w:p>
            <w:pPr>
              <w:jc w:val="right"/>
              <w:ind w:right="169"/>
              <w:spacing w:after="0"/>
              <w:rPr>
                <w:sz w:val="20"/>
                <w:szCs w:val="20"/>
                <w:color w:val="auto"/>
              </w:rPr>
            </w:pPr>
            <w:r>
              <w:rPr>
                <w:rFonts w:ascii="Arial" w:cs="Arial" w:eastAsia="Arial" w:hAnsi="Arial"/>
                <w:sz w:val="14"/>
                <w:szCs w:val="14"/>
                <w:color w:val="auto"/>
              </w:rPr>
              <w:t>73,541</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3,077,460</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819F7C"/>
          </w:tcPr>
          <w:p>
            <w:pPr>
              <w:spacing w:after="0"/>
              <w:rPr>
                <w:sz w:val="8"/>
                <w:szCs w:val="8"/>
                <w:color w:val="auto"/>
              </w:rPr>
            </w:pPr>
          </w:p>
        </w:tc>
        <w:tc>
          <w:tcPr>
            <w:tcW w:w="2160" w:type="dxa"/>
            <w:vAlign w:val="bottom"/>
            <w:shd w:val="clear" w:color="auto" w:fill="819F7C"/>
          </w:tcPr>
          <w:p>
            <w:pPr>
              <w:spacing w:after="0"/>
              <w:rPr>
                <w:sz w:val="8"/>
                <w:szCs w:val="8"/>
                <w:color w:val="auto"/>
              </w:rPr>
            </w:pPr>
          </w:p>
        </w:tc>
        <w:tc>
          <w:tcPr>
            <w:tcW w:w="220" w:type="dxa"/>
            <w:vAlign w:val="bottom"/>
            <w:shd w:val="clear" w:color="auto" w:fill="819F7C"/>
          </w:tcPr>
          <w:p>
            <w:pPr>
              <w:spacing w:after="0"/>
              <w:rPr>
                <w:sz w:val="8"/>
                <w:szCs w:val="8"/>
                <w:color w:val="auto"/>
              </w:rPr>
            </w:pPr>
          </w:p>
        </w:tc>
        <w:tc>
          <w:tcPr>
            <w:tcW w:w="420" w:type="dxa"/>
            <w:vAlign w:val="bottom"/>
            <w:shd w:val="clear" w:color="auto" w:fill="819F7C"/>
          </w:tcPr>
          <w:p>
            <w:pPr>
              <w:spacing w:after="0"/>
              <w:rPr>
                <w:sz w:val="8"/>
                <w:szCs w:val="8"/>
                <w:color w:val="auto"/>
              </w:rPr>
            </w:pPr>
          </w:p>
        </w:tc>
        <w:tc>
          <w:tcPr>
            <w:tcW w:w="220" w:type="dxa"/>
            <w:vAlign w:val="bottom"/>
            <w:shd w:val="clear" w:color="auto" w:fill="819F7C"/>
          </w:tcPr>
          <w:p>
            <w:pPr>
              <w:spacing w:after="0"/>
              <w:rPr>
                <w:sz w:val="8"/>
                <w:szCs w:val="8"/>
                <w:color w:val="auto"/>
              </w:rPr>
            </w:pPr>
          </w:p>
        </w:tc>
        <w:tc>
          <w:tcPr>
            <w:tcW w:w="1080" w:type="dxa"/>
            <w:vAlign w:val="bottom"/>
            <w:shd w:val="clear" w:color="auto" w:fill="819F7C"/>
          </w:tcPr>
          <w:p>
            <w:pPr>
              <w:spacing w:after="0"/>
              <w:rPr>
                <w:sz w:val="8"/>
                <w:szCs w:val="8"/>
                <w:color w:val="auto"/>
              </w:rPr>
            </w:pPr>
          </w:p>
        </w:tc>
        <w:tc>
          <w:tcPr>
            <w:tcW w:w="1080" w:type="dxa"/>
            <w:vAlign w:val="bottom"/>
            <w:shd w:val="clear" w:color="auto" w:fill="819F7C"/>
          </w:tcPr>
          <w:p>
            <w:pPr>
              <w:spacing w:after="0"/>
              <w:rPr>
                <w:sz w:val="8"/>
                <w:szCs w:val="8"/>
                <w:color w:val="auto"/>
              </w:rPr>
            </w:pPr>
          </w:p>
        </w:tc>
        <w:tc>
          <w:tcPr>
            <w:tcW w:w="1440" w:type="dxa"/>
            <w:vAlign w:val="bottom"/>
            <w:shd w:val="clear" w:color="auto" w:fill="819F7C"/>
          </w:tcPr>
          <w:p>
            <w:pPr>
              <w:spacing w:after="0"/>
              <w:rPr>
                <w:sz w:val="8"/>
                <w:szCs w:val="8"/>
                <w:color w:val="auto"/>
              </w:rPr>
            </w:pPr>
          </w:p>
        </w:tc>
        <w:tc>
          <w:tcPr>
            <w:tcW w:w="1440" w:type="dxa"/>
            <w:vAlign w:val="bottom"/>
            <w:shd w:val="clear" w:color="auto" w:fill="819F7C"/>
          </w:tcPr>
          <w:p>
            <w:pPr>
              <w:spacing w:after="0"/>
              <w:rPr>
                <w:sz w:val="8"/>
                <w:szCs w:val="8"/>
                <w:color w:val="auto"/>
              </w:rPr>
            </w:pPr>
          </w:p>
        </w:tc>
        <w:tc>
          <w:tcPr>
            <w:tcW w:w="108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200" w:right="920" w:hanging="286"/>
        <w:spacing w:after="0" w:line="252" w:lineRule="auto"/>
        <w:tabs>
          <w:tab w:leader="none" w:pos="12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in this column include the aggregate grant date fair value (computed in accordance with FASB ASC Topic 718) of time-based RSU awards granted during the designated fiscal year. The assumptions used in the valuation of these awards are set forth in the notes to our consolidated financial statements, which are included in our Annual Report on Form 10-K for our fiscal year ended June 28, 2024, filed with the SEC on August 20, 2024. These amounts do not necessarily correspond to the actual value that may be recognized by the Named Officer.</w:t>
      </w:r>
    </w:p>
    <w:p>
      <w:pPr>
        <w:spacing w:after="0" w:line="20" w:lineRule="exact"/>
        <w:rPr>
          <w:rFonts w:ascii="Arial" w:cs="Arial" w:eastAsia="Arial" w:hAnsi="Arial"/>
          <w:sz w:val="13"/>
          <w:szCs w:val="13"/>
          <w:color w:val="auto"/>
        </w:rPr>
      </w:pPr>
    </w:p>
    <w:p>
      <w:pPr>
        <w:jc w:val="both"/>
        <w:ind w:left="1200" w:right="920" w:hanging="286"/>
        <w:spacing w:after="0" w:line="259" w:lineRule="auto"/>
        <w:tabs>
          <w:tab w:leader="none" w:pos="12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amounts in this column also include the value at the grant date of performance-based RSUs (PSUs) granted during the designated fiscal year based upon the probable outcome of the performance conditions for such awards, consistent with the estimate of aggregate compensation cost to be recognized over the service period determined as of the grant date under FASB ASC Topic 718, excluding the effect of estimated forfeitures.</w:t>
      </w:r>
    </w:p>
    <w:p>
      <w:pPr>
        <w:spacing w:after="0" w:line="15" w:lineRule="exact"/>
        <w:rPr>
          <w:rFonts w:ascii="Arial" w:cs="Arial" w:eastAsia="Arial" w:hAnsi="Arial"/>
          <w:sz w:val="13"/>
          <w:szCs w:val="13"/>
          <w:color w:val="auto"/>
        </w:rPr>
      </w:pPr>
    </w:p>
    <w:p>
      <w:pPr>
        <w:jc w:val="both"/>
        <w:ind w:left="1200" w:right="920"/>
        <w:spacing w:after="0" w:line="249" w:lineRule="auto"/>
        <w:rPr>
          <w:rFonts w:ascii="Arial" w:cs="Arial" w:eastAsia="Arial" w:hAnsi="Arial"/>
          <w:sz w:val="13"/>
          <w:szCs w:val="13"/>
          <w:color w:val="auto"/>
        </w:rPr>
      </w:pPr>
      <w:r>
        <w:rPr>
          <w:rFonts w:ascii="Arial" w:cs="Arial" w:eastAsia="Arial" w:hAnsi="Arial"/>
          <w:sz w:val="13"/>
          <w:szCs w:val="13"/>
          <w:color w:val="auto"/>
        </w:rPr>
        <w:t>On August 15, 2023, the Compensation Committee approved the grant, effective as of August 24, 2023, of PSUs and “Stretch” PSUs to each of our Named Officers that will vest, if at all, following a 2-year cumulative performance period covering fiscal 2024 and fiscal 2025. As of the date of grant, consistent with the estimate determined as of the grant date under FASB ASC Topic 718, the probable outcome of the performance conditions for these grants was 100% achievement. Accordingly, the fair value reported for the PSUs and “Stretch” PSUs granted in fiscal 2024 assumes that the highest level of performance conditions will be achieved and the grants will vest at their maximum level of 100%, as shown in the following table:</w:t>
      </w:r>
    </w:p>
    <w:p>
      <w:pPr>
        <w:spacing w:after="0" w:line="101" w:lineRule="exact"/>
        <w:rPr>
          <w:sz w:val="20"/>
          <w:szCs w:val="20"/>
          <w:color w:val="auto"/>
        </w:rPr>
      </w:pPr>
    </w:p>
    <w:tbl>
      <w:tblPr>
        <w:tblLayout w:type="fixed"/>
        <w:tblInd w:w="1280" w:type="dxa"/>
        <w:tblCellMar>
          <w:top w:w="0" w:type="dxa"/>
          <w:left w:w="0" w:type="dxa"/>
          <w:bottom w:w="0" w:type="dxa"/>
          <w:right w:w="0" w:type="dxa"/>
        </w:tblCellMar>
      </w:tblPr>
      <w:tr>
        <w:trPr>
          <w:trHeight w:val="261"/>
        </w:trPr>
        <w:tc>
          <w:tcPr>
            <w:tcW w:w="3440" w:type="dxa"/>
            <w:vAlign w:val="bottom"/>
            <w:shd w:val="clear" w:color="auto" w:fill="819F7C"/>
          </w:tcPr>
          <w:p>
            <w:pPr>
              <w:spacing w:after="0"/>
              <w:rPr>
                <w:sz w:val="22"/>
                <w:szCs w:val="22"/>
                <w:color w:val="auto"/>
              </w:rPr>
            </w:pPr>
          </w:p>
        </w:tc>
        <w:tc>
          <w:tcPr>
            <w:tcW w:w="5000" w:type="dxa"/>
            <w:vAlign w:val="bottom"/>
            <w:shd w:val="clear" w:color="auto" w:fill="819F7C"/>
          </w:tcPr>
          <w:p>
            <w:pPr>
              <w:jc w:val="right"/>
              <w:ind w:right="68"/>
              <w:spacing w:after="0"/>
              <w:rPr>
                <w:sz w:val="20"/>
                <w:szCs w:val="20"/>
                <w:color w:val="auto"/>
              </w:rPr>
            </w:pPr>
            <w:r>
              <w:rPr>
                <w:rFonts w:ascii="Arial" w:cs="Arial" w:eastAsia="Arial" w:hAnsi="Arial"/>
                <w:sz w:val="14"/>
                <w:szCs w:val="14"/>
                <w:b w:val="1"/>
                <w:bCs w:val="1"/>
                <w:color w:val="FFFFFF"/>
              </w:rPr>
              <w:t>Maximum Value of PSUs and</w:t>
            </w:r>
          </w:p>
        </w:tc>
      </w:tr>
      <w:tr>
        <w:trPr>
          <w:trHeight w:val="162"/>
        </w:trPr>
        <w:tc>
          <w:tcPr>
            <w:tcW w:w="3440" w:type="dxa"/>
            <w:vAlign w:val="bottom"/>
            <w:shd w:val="clear" w:color="auto" w:fill="819F7C"/>
          </w:tcPr>
          <w:p>
            <w:pPr>
              <w:spacing w:after="0"/>
              <w:rPr>
                <w:sz w:val="14"/>
                <w:szCs w:val="14"/>
                <w:color w:val="auto"/>
              </w:rPr>
            </w:pPr>
          </w:p>
        </w:tc>
        <w:tc>
          <w:tcPr>
            <w:tcW w:w="5000" w:type="dxa"/>
            <w:vAlign w:val="bottom"/>
            <w:shd w:val="clear" w:color="auto" w:fill="819F7C"/>
          </w:tcPr>
          <w:p>
            <w:pPr>
              <w:jc w:val="right"/>
              <w:ind w:right="28"/>
              <w:spacing w:after="0"/>
              <w:rPr>
                <w:sz w:val="20"/>
                <w:szCs w:val="20"/>
                <w:color w:val="auto"/>
              </w:rPr>
            </w:pPr>
            <w:r>
              <w:rPr>
                <w:rFonts w:ascii="Arial" w:cs="Arial" w:eastAsia="Arial" w:hAnsi="Arial"/>
                <w:sz w:val="14"/>
                <w:szCs w:val="14"/>
                <w:b w:val="1"/>
                <w:bCs w:val="1"/>
                <w:color w:val="FFFFFF"/>
              </w:rPr>
              <w:t>“Stretch” PSUs Granted in Fiscal 2024</w:t>
            </w:r>
          </w:p>
        </w:tc>
      </w:tr>
      <w:tr>
        <w:trPr>
          <w:trHeight w:val="212"/>
        </w:trPr>
        <w:tc>
          <w:tcPr>
            <w:tcW w:w="344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5000" w:type="dxa"/>
            <w:vAlign w:val="bottom"/>
            <w:shd w:val="clear" w:color="auto" w:fill="819F7C"/>
          </w:tcPr>
          <w:p>
            <w:pPr>
              <w:jc w:val="right"/>
              <w:ind w:right="28"/>
              <w:spacing w:after="0"/>
              <w:rPr>
                <w:sz w:val="20"/>
                <w:szCs w:val="20"/>
                <w:color w:val="auto"/>
              </w:rPr>
            </w:pPr>
            <w:r>
              <w:rPr>
                <w:rFonts w:ascii="Arial" w:cs="Arial" w:eastAsia="Arial" w:hAnsi="Arial"/>
                <w:sz w:val="14"/>
                <w:szCs w:val="14"/>
                <w:b w:val="1"/>
                <w:bCs w:val="1"/>
                <w:color w:val="FFFFFF"/>
              </w:rPr>
              <w:t>(Fiscal 2024-2025 Performance Period)</w:t>
            </w:r>
          </w:p>
        </w:tc>
      </w:tr>
      <w:tr>
        <w:trPr>
          <w:trHeight w:val="223"/>
        </w:trPr>
        <w:tc>
          <w:tcPr>
            <w:tcW w:w="344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Seamus Grady</w:t>
            </w:r>
          </w:p>
        </w:tc>
        <w:tc>
          <w:tcPr>
            <w:tcW w:w="5000" w:type="dxa"/>
            <w:vAlign w:val="bottom"/>
            <w:tcBorders>
              <w:bottom w:val="single" w:sz="8" w:color="E5E9E3"/>
            </w:tcBorders>
            <w:shd w:val="clear" w:color="auto" w:fill="E5E9E3"/>
          </w:tcPr>
          <w:p>
            <w:pPr>
              <w:jc w:val="right"/>
              <w:ind w:right="28"/>
              <w:spacing w:after="0"/>
              <w:rPr>
                <w:sz w:val="20"/>
                <w:szCs w:val="20"/>
                <w:color w:val="auto"/>
              </w:rPr>
            </w:pPr>
            <w:r>
              <w:rPr>
                <w:rFonts w:ascii="Arial" w:cs="Arial" w:eastAsia="Arial" w:hAnsi="Arial"/>
                <w:sz w:val="14"/>
                <w:szCs w:val="14"/>
                <w:color w:val="auto"/>
              </w:rPr>
              <w:t>$5,199,853</w:t>
            </w:r>
          </w:p>
        </w:tc>
      </w:tr>
      <w:tr>
        <w:trPr>
          <w:trHeight w:val="221"/>
        </w:trPr>
        <w:tc>
          <w:tcPr>
            <w:tcW w:w="3440" w:type="dxa"/>
            <w:vAlign w:val="bottom"/>
          </w:tcPr>
          <w:p>
            <w:pPr>
              <w:ind w:left="80"/>
              <w:spacing w:after="0"/>
              <w:rPr>
                <w:sz w:val="20"/>
                <w:szCs w:val="20"/>
                <w:color w:val="auto"/>
              </w:rPr>
            </w:pPr>
            <w:r>
              <w:rPr>
                <w:rFonts w:ascii="Arial" w:cs="Arial" w:eastAsia="Arial" w:hAnsi="Arial"/>
                <w:sz w:val="14"/>
                <w:szCs w:val="14"/>
                <w:color w:val="auto"/>
              </w:rPr>
              <w:t>Dr. Harpal Gill</w:t>
            </w:r>
          </w:p>
        </w:tc>
        <w:tc>
          <w:tcPr>
            <w:tcW w:w="5000" w:type="dxa"/>
            <w:vAlign w:val="bottom"/>
          </w:tcPr>
          <w:p>
            <w:pPr>
              <w:jc w:val="right"/>
              <w:ind w:right="28"/>
              <w:spacing w:after="0"/>
              <w:rPr>
                <w:sz w:val="20"/>
                <w:szCs w:val="20"/>
                <w:color w:val="auto"/>
              </w:rPr>
            </w:pPr>
            <w:r>
              <w:rPr>
                <w:rFonts w:ascii="Arial" w:cs="Arial" w:eastAsia="Arial" w:hAnsi="Arial"/>
                <w:sz w:val="14"/>
                <w:szCs w:val="14"/>
                <w:color w:val="auto"/>
              </w:rPr>
              <w:t>$3,249,710</w:t>
            </w:r>
          </w:p>
        </w:tc>
      </w:tr>
      <w:tr>
        <w:trPr>
          <w:trHeight w:val="22"/>
        </w:trPr>
        <w:tc>
          <w:tcPr>
            <w:tcW w:w="3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23"/>
        </w:trPr>
        <w:tc>
          <w:tcPr>
            <w:tcW w:w="344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Csaba Sverha</w:t>
            </w:r>
          </w:p>
        </w:tc>
        <w:tc>
          <w:tcPr>
            <w:tcW w:w="5000" w:type="dxa"/>
            <w:vAlign w:val="bottom"/>
            <w:tcBorders>
              <w:bottom w:val="single" w:sz="8" w:color="E5E9E3"/>
            </w:tcBorders>
            <w:shd w:val="clear" w:color="auto" w:fill="E5E9E3"/>
          </w:tcPr>
          <w:p>
            <w:pPr>
              <w:jc w:val="right"/>
              <w:ind w:right="28"/>
              <w:spacing w:after="0"/>
              <w:rPr>
                <w:sz w:val="20"/>
                <w:szCs w:val="20"/>
                <w:color w:val="auto"/>
              </w:rPr>
            </w:pPr>
            <w:r>
              <w:rPr>
                <w:rFonts w:ascii="Arial" w:cs="Arial" w:eastAsia="Arial" w:hAnsi="Arial"/>
                <w:sz w:val="14"/>
                <w:szCs w:val="14"/>
                <w:color w:val="auto"/>
              </w:rPr>
              <w:t>$1,799,815</w:t>
            </w:r>
          </w:p>
        </w:tc>
      </w:tr>
      <w:tr>
        <w:trPr>
          <w:trHeight w:val="216"/>
        </w:trPr>
        <w:tc>
          <w:tcPr>
            <w:tcW w:w="3440" w:type="dxa"/>
            <w:vAlign w:val="bottom"/>
          </w:tcPr>
          <w:p>
            <w:pPr>
              <w:ind w:left="80"/>
              <w:spacing w:after="0"/>
              <w:rPr>
                <w:sz w:val="20"/>
                <w:szCs w:val="20"/>
                <w:color w:val="auto"/>
              </w:rPr>
            </w:pPr>
            <w:r>
              <w:rPr>
                <w:rFonts w:ascii="Arial" w:cs="Arial" w:eastAsia="Arial" w:hAnsi="Arial"/>
                <w:sz w:val="14"/>
                <w:szCs w:val="14"/>
                <w:color w:val="auto"/>
              </w:rPr>
              <w:t>Edward T. Archer</w:t>
            </w:r>
          </w:p>
        </w:tc>
        <w:tc>
          <w:tcPr>
            <w:tcW w:w="5000" w:type="dxa"/>
            <w:vAlign w:val="bottom"/>
          </w:tcPr>
          <w:p>
            <w:pPr>
              <w:jc w:val="right"/>
              <w:ind w:right="28"/>
              <w:spacing w:after="0"/>
              <w:rPr>
                <w:sz w:val="20"/>
                <w:szCs w:val="20"/>
                <w:color w:val="auto"/>
              </w:rPr>
            </w:pPr>
            <w:r>
              <w:rPr>
                <w:rFonts w:ascii="Arial" w:cs="Arial" w:eastAsia="Arial" w:hAnsi="Arial"/>
                <w:sz w:val="14"/>
                <w:szCs w:val="14"/>
                <w:color w:val="auto"/>
              </w:rPr>
              <w:t>$1,499,793</w:t>
            </w:r>
          </w:p>
        </w:tc>
      </w:tr>
      <w:tr>
        <w:trPr>
          <w:trHeight w:val="95"/>
        </w:trPr>
        <w:tc>
          <w:tcPr>
            <w:tcW w:w="3440" w:type="dxa"/>
            <w:vAlign w:val="bottom"/>
            <w:shd w:val="clear" w:color="auto" w:fill="819F7C"/>
          </w:tcPr>
          <w:p>
            <w:pPr>
              <w:spacing w:after="0"/>
              <w:rPr>
                <w:sz w:val="8"/>
                <w:szCs w:val="8"/>
                <w:color w:val="auto"/>
              </w:rPr>
            </w:pPr>
          </w:p>
        </w:tc>
        <w:tc>
          <w:tcPr>
            <w:tcW w:w="5000" w:type="dxa"/>
            <w:vAlign w:val="bottom"/>
            <w:shd w:val="clear" w:color="auto" w:fill="819F7C"/>
          </w:tcPr>
          <w:p>
            <w:pPr>
              <w:spacing w:after="0"/>
              <w:rPr>
                <w:sz w:val="8"/>
                <w:szCs w:val="8"/>
                <w:color w:val="auto"/>
              </w:rPr>
            </w:pPr>
          </w:p>
        </w:tc>
      </w:tr>
    </w:tbl>
    <w:p>
      <w:pPr>
        <w:spacing w:after="0" w:line="82" w:lineRule="exact"/>
        <w:rPr>
          <w:sz w:val="20"/>
          <w:szCs w:val="20"/>
          <w:color w:val="auto"/>
        </w:rPr>
      </w:pPr>
    </w:p>
    <w:p>
      <w:pPr>
        <w:jc w:val="both"/>
        <w:ind w:left="1200" w:right="940" w:hanging="286"/>
        <w:spacing w:after="0" w:line="249" w:lineRule="auto"/>
        <w:tabs>
          <w:tab w:leader="none" w:pos="12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amounts in this column reflect cash bonuses earned under our cash-based incentive plan for the applicable fiscal year. Amounts earned under our Fiscal 2024 Bonus Plan are reported as compensation for fiscal 2024 but were paid in fiscal 2025. Amounts earned under our fiscal 2023 cash-based incentive plan are reported as compensation for fiscal 2023 but were paid in fiscal 2024. Amounts earned under our fiscal 2022 cash-based incentive plan are reported as compensation for fiscal 2022 but were paid in fiscal 2023. For more information, see the “</w:t>
      </w:r>
      <w:r>
        <w:rPr>
          <w:rFonts w:ascii="Arial" w:cs="Arial" w:eastAsia="Arial" w:hAnsi="Arial"/>
          <w:sz w:val="13"/>
          <w:szCs w:val="13"/>
          <w:i w:val="1"/>
          <w:iCs w:val="1"/>
          <w:color w:val="auto"/>
        </w:rPr>
        <w:t>Grants of Plan-Based</w:t>
      </w:r>
      <w:r>
        <w:rPr>
          <w:rFonts w:ascii="Arial" w:cs="Arial" w:eastAsia="Arial" w:hAnsi="Arial"/>
          <w:sz w:val="13"/>
          <w:szCs w:val="13"/>
          <w:color w:val="auto"/>
        </w:rPr>
        <w:t xml:space="preserve"> </w:t>
      </w:r>
      <w:r>
        <w:rPr>
          <w:rFonts w:ascii="Arial" w:cs="Arial" w:eastAsia="Arial" w:hAnsi="Arial"/>
          <w:sz w:val="13"/>
          <w:szCs w:val="13"/>
          <w:i w:val="1"/>
          <w:iCs w:val="1"/>
          <w:color w:val="auto"/>
        </w:rPr>
        <w:t>Awards in Fiscal 2024</w:t>
      </w:r>
      <w:r>
        <w:rPr>
          <w:rFonts w:ascii="Arial" w:cs="Arial" w:eastAsia="Arial" w:hAnsi="Arial"/>
          <w:sz w:val="13"/>
          <w:szCs w:val="13"/>
          <w:color w:val="auto"/>
        </w:rPr>
        <w:t>” table below.</w:t>
      </w:r>
    </w:p>
    <w:p>
      <w:pPr>
        <w:spacing w:after="0" w:line="20" w:lineRule="exact"/>
        <w:rPr>
          <w:rFonts w:ascii="Arial" w:cs="Arial" w:eastAsia="Arial" w:hAnsi="Arial"/>
          <w:sz w:val="13"/>
          <w:szCs w:val="13"/>
          <w:color w:val="auto"/>
        </w:rPr>
      </w:pPr>
    </w:p>
    <w:p>
      <w:pPr>
        <w:ind w:left="1200" w:hanging="286"/>
        <w:spacing w:after="0"/>
        <w:tabs>
          <w:tab w:leader="none" w:pos="12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For more information, see the “</w:t>
      </w:r>
      <w:r>
        <w:rPr>
          <w:rFonts w:ascii="Arial" w:cs="Arial" w:eastAsia="Arial" w:hAnsi="Arial"/>
          <w:sz w:val="13"/>
          <w:szCs w:val="13"/>
          <w:i w:val="1"/>
          <w:iCs w:val="1"/>
          <w:color w:val="auto"/>
        </w:rPr>
        <w:t>All Other Compensation for Fiscal 2024</w:t>
      </w:r>
      <w:r>
        <w:rPr>
          <w:rFonts w:ascii="Arial" w:cs="Arial" w:eastAsia="Arial" w:hAnsi="Arial"/>
          <w:sz w:val="13"/>
          <w:szCs w:val="13"/>
          <w:color w:val="auto"/>
        </w:rPr>
        <w:t>” table below.</w:t>
      </w:r>
    </w:p>
    <w:p>
      <w:pPr>
        <w:spacing w:after="0" w:line="53" w:lineRule="exact"/>
        <w:rPr>
          <w:rFonts w:ascii="Arial" w:cs="Arial" w:eastAsia="Arial" w:hAnsi="Arial"/>
          <w:sz w:val="13"/>
          <w:szCs w:val="13"/>
          <w:color w:val="auto"/>
        </w:rPr>
      </w:pPr>
    </w:p>
    <w:p>
      <w:pPr>
        <w:jc w:val="both"/>
        <w:ind w:left="1200" w:right="920" w:hanging="286"/>
        <w:spacing w:after="0" w:line="246" w:lineRule="auto"/>
        <w:tabs>
          <w:tab w:leader="none" w:pos="12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Beginning December 31, 2022, Mr. Sverha’s salary, non-equity incentive plan compensation, and certain amounts reported in the “All Other Compensation” column were paid in his home country currency of Thai baht. For payments during fiscal 2024 to Mr. Sverha in Thai baht, translation of compensation into U.S. dollars was calculated using the Fabrinet Corporate Group USD to THB Exchange Rate, which was the Bank of Thailand’s middle rate (midpoint of the bid and ask rates) as of June 29, 2023, of 35.63 Thai baht to 1.0 U.S. dollar. The exchange rate for conversion of Mr. Sverha’s compensation will be reset annually in or about August of each year based on the Fabrinet Corporate Group USD to THB Exchange Rate as of the last day of the preceding fiscal quarter.</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47</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All Other Compensation for Fiscal 2024</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1360" w:type="dxa"/>
            <w:vAlign w:val="bottom"/>
            <w:shd w:val="clear" w:color="auto" w:fill="819F7C"/>
          </w:tcPr>
          <w:p>
            <w:pPr>
              <w:spacing w:after="0"/>
              <w:rPr>
                <w:sz w:val="23"/>
                <w:szCs w:val="23"/>
                <w:color w:val="auto"/>
              </w:rPr>
            </w:pPr>
          </w:p>
        </w:tc>
        <w:tc>
          <w:tcPr>
            <w:tcW w:w="1360" w:type="dxa"/>
            <w:vAlign w:val="bottom"/>
            <w:shd w:val="clear" w:color="auto" w:fill="819F7C"/>
          </w:tcPr>
          <w:p>
            <w:pPr>
              <w:spacing w:after="0"/>
              <w:rPr>
                <w:sz w:val="23"/>
                <w:szCs w:val="23"/>
                <w:color w:val="auto"/>
              </w:rPr>
            </w:pPr>
          </w:p>
        </w:tc>
        <w:tc>
          <w:tcPr>
            <w:tcW w:w="920" w:type="dxa"/>
            <w:vAlign w:val="bottom"/>
            <w:shd w:val="clear" w:color="auto" w:fill="819F7C"/>
          </w:tcPr>
          <w:p>
            <w:pPr>
              <w:spacing w:after="0"/>
              <w:rPr>
                <w:sz w:val="23"/>
                <w:szCs w:val="23"/>
                <w:color w:val="auto"/>
              </w:rPr>
            </w:pPr>
          </w:p>
        </w:tc>
        <w:tc>
          <w:tcPr>
            <w:tcW w:w="1180" w:type="dxa"/>
            <w:vAlign w:val="bottom"/>
            <w:shd w:val="clear" w:color="auto" w:fill="819F7C"/>
          </w:tcPr>
          <w:p>
            <w:pPr>
              <w:spacing w:after="0"/>
              <w:rPr>
                <w:sz w:val="23"/>
                <w:szCs w:val="23"/>
                <w:color w:val="auto"/>
              </w:rPr>
            </w:pPr>
          </w:p>
        </w:tc>
        <w:tc>
          <w:tcPr>
            <w:tcW w:w="940" w:type="dxa"/>
            <w:vAlign w:val="bottom"/>
            <w:shd w:val="clear" w:color="auto" w:fill="819F7C"/>
          </w:tcPr>
          <w:p>
            <w:pPr>
              <w:jc w:val="right"/>
              <w:ind w:right="130"/>
              <w:spacing w:after="0"/>
              <w:rPr>
                <w:sz w:val="20"/>
                <w:szCs w:val="20"/>
                <w:color w:val="auto"/>
              </w:rPr>
            </w:pPr>
            <w:r>
              <w:rPr>
                <w:rFonts w:ascii="Arial" w:cs="Arial" w:eastAsia="Arial" w:hAnsi="Arial"/>
                <w:sz w:val="14"/>
                <w:szCs w:val="14"/>
                <w:b w:val="1"/>
                <w:bCs w:val="1"/>
                <w:color w:val="FFFFFF"/>
              </w:rPr>
              <w:t>Foreign</w:t>
            </w:r>
          </w:p>
        </w:tc>
        <w:tc>
          <w:tcPr>
            <w:tcW w:w="1060" w:type="dxa"/>
            <w:vAlign w:val="bottom"/>
            <w:shd w:val="clear" w:color="auto" w:fill="819F7C"/>
          </w:tcPr>
          <w:p>
            <w:pPr>
              <w:spacing w:after="0"/>
              <w:rPr>
                <w:sz w:val="23"/>
                <w:szCs w:val="23"/>
                <w:color w:val="auto"/>
              </w:rPr>
            </w:pPr>
          </w:p>
        </w:tc>
        <w:tc>
          <w:tcPr>
            <w:tcW w:w="1400" w:type="dxa"/>
            <w:vAlign w:val="bottom"/>
            <w:shd w:val="clear" w:color="auto" w:fill="819F7C"/>
          </w:tcPr>
          <w:p>
            <w:pPr>
              <w:jc w:val="right"/>
              <w:ind w:right="128"/>
              <w:spacing w:after="0"/>
              <w:rPr>
                <w:sz w:val="20"/>
                <w:szCs w:val="20"/>
                <w:color w:val="auto"/>
              </w:rPr>
            </w:pPr>
            <w:r>
              <w:rPr>
                <w:rFonts w:ascii="Arial" w:cs="Arial" w:eastAsia="Arial" w:hAnsi="Arial"/>
                <w:sz w:val="14"/>
                <w:szCs w:val="14"/>
                <w:b w:val="1"/>
                <w:bCs w:val="1"/>
                <w:color w:val="FFFFFF"/>
              </w:rPr>
              <w:t>Company-</w:t>
            </w:r>
          </w:p>
        </w:tc>
        <w:tc>
          <w:tcPr>
            <w:tcW w:w="960" w:type="dxa"/>
            <w:vAlign w:val="bottom"/>
            <w:shd w:val="clear" w:color="auto" w:fill="819F7C"/>
          </w:tcPr>
          <w:p>
            <w:pPr>
              <w:spacing w:after="0"/>
              <w:rPr>
                <w:sz w:val="23"/>
                <w:szCs w:val="23"/>
                <w:color w:val="auto"/>
              </w:rPr>
            </w:pPr>
          </w:p>
        </w:tc>
      </w:tr>
      <w:tr>
        <w:trPr>
          <w:trHeight w:val="162"/>
        </w:trPr>
        <w:tc>
          <w:tcPr>
            <w:tcW w:w="1360" w:type="dxa"/>
            <w:vAlign w:val="bottom"/>
            <w:shd w:val="clear" w:color="auto" w:fill="819F7C"/>
          </w:tcPr>
          <w:p>
            <w:pPr>
              <w:spacing w:after="0"/>
              <w:rPr>
                <w:sz w:val="14"/>
                <w:szCs w:val="14"/>
                <w:color w:val="auto"/>
              </w:rPr>
            </w:pPr>
          </w:p>
        </w:tc>
        <w:tc>
          <w:tcPr>
            <w:tcW w:w="1360" w:type="dxa"/>
            <w:vAlign w:val="bottom"/>
            <w:shd w:val="clear" w:color="auto" w:fill="819F7C"/>
          </w:tcPr>
          <w:p>
            <w:pPr>
              <w:spacing w:after="0"/>
              <w:rPr>
                <w:sz w:val="14"/>
                <w:szCs w:val="14"/>
                <w:color w:val="auto"/>
              </w:rPr>
            </w:pPr>
          </w:p>
        </w:tc>
        <w:tc>
          <w:tcPr>
            <w:tcW w:w="920" w:type="dxa"/>
            <w:vAlign w:val="bottom"/>
            <w:shd w:val="clear" w:color="auto" w:fill="819F7C"/>
          </w:tcPr>
          <w:p>
            <w:pPr>
              <w:spacing w:after="0"/>
              <w:rPr>
                <w:sz w:val="14"/>
                <w:szCs w:val="14"/>
                <w:color w:val="auto"/>
              </w:rPr>
            </w:pPr>
          </w:p>
        </w:tc>
        <w:tc>
          <w:tcPr>
            <w:tcW w:w="1180" w:type="dxa"/>
            <w:vAlign w:val="bottom"/>
            <w:shd w:val="clear" w:color="auto" w:fill="819F7C"/>
          </w:tcPr>
          <w:p>
            <w:pPr>
              <w:jc w:val="right"/>
              <w:ind w:right="130"/>
              <w:spacing w:after="0"/>
              <w:rPr>
                <w:sz w:val="20"/>
                <w:szCs w:val="20"/>
                <w:color w:val="auto"/>
              </w:rPr>
            </w:pPr>
            <w:r>
              <w:rPr>
                <w:rFonts w:ascii="Arial" w:cs="Arial" w:eastAsia="Arial" w:hAnsi="Arial"/>
                <w:sz w:val="14"/>
                <w:szCs w:val="14"/>
                <w:b w:val="1"/>
                <w:bCs w:val="1"/>
                <w:color w:val="FFFFFF"/>
              </w:rPr>
              <w:t>Tax</w:t>
            </w:r>
          </w:p>
        </w:tc>
        <w:tc>
          <w:tcPr>
            <w:tcW w:w="940" w:type="dxa"/>
            <w:vAlign w:val="bottom"/>
            <w:shd w:val="clear" w:color="auto" w:fill="819F7C"/>
          </w:tcPr>
          <w:p>
            <w:pPr>
              <w:jc w:val="right"/>
              <w:ind w:right="130"/>
              <w:spacing w:after="0"/>
              <w:rPr>
                <w:sz w:val="20"/>
                <w:szCs w:val="20"/>
                <w:color w:val="auto"/>
              </w:rPr>
            </w:pPr>
            <w:r>
              <w:rPr>
                <w:rFonts w:ascii="Arial" w:cs="Arial" w:eastAsia="Arial" w:hAnsi="Arial"/>
                <w:sz w:val="14"/>
                <w:szCs w:val="14"/>
                <w:b w:val="1"/>
                <w:bCs w:val="1"/>
                <w:color w:val="FFFFFF"/>
              </w:rPr>
              <w:t>Service</w:t>
            </w:r>
          </w:p>
        </w:tc>
        <w:tc>
          <w:tcPr>
            <w:tcW w:w="1060" w:type="dxa"/>
            <w:vAlign w:val="bottom"/>
            <w:shd w:val="clear" w:color="auto" w:fill="819F7C"/>
          </w:tcPr>
          <w:p>
            <w:pPr>
              <w:jc w:val="right"/>
              <w:ind w:right="148"/>
              <w:spacing w:after="0"/>
              <w:rPr>
                <w:sz w:val="20"/>
                <w:szCs w:val="20"/>
                <w:color w:val="auto"/>
              </w:rPr>
            </w:pPr>
            <w:r>
              <w:rPr>
                <w:rFonts w:ascii="Arial" w:cs="Arial" w:eastAsia="Arial" w:hAnsi="Arial"/>
                <w:sz w:val="14"/>
                <w:szCs w:val="14"/>
                <w:b w:val="1"/>
                <w:bCs w:val="1"/>
                <w:color w:val="FFFFFF"/>
              </w:rPr>
              <w:t>Health</w:t>
            </w:r>
          </w:p>
        </w:tc>
        <w:tc>
          <w:tcPr>
            <w:tcW w:w="1400" w:type="dxa"/>
            <w:vAlign w:val="bottom"/>
            <w:shd w:val="clear" w:color="auto" w:fill="819F7C"/>
          </w:tcPr>
          <w:p>
            <w:pPr>
              <w:jc w:val="right"/>
              <w:ind w:right="128"/>
              <w:spacing w:after="0"/>
              <w:rPr>
                <w:sz w:val="20"/>
                <w:szCs w:val="20"/>
                <w:color w:val="auto"/>
              </w:rPr>
            </w:pPr>
            <w:r>
              <w:rPr>
                <w:rFonts w:ascii="Arial" w:cs="Arial" w:eastAsia="Arial" w:hAnsi="Arial"/>
                <w:sz w:val="14"/>
                <w:szCs w:val="14"/>
                <w:b w:val="1"/>
                <w:bCs w:val="1"/>
                <w:color w:val="FFFFFF"/>
              </w:rPr>
              <w:t>Paid 401(k) or</w:t>
            </w:r>
          </w:p>
        </w:tc>
        <w:tc>
          <w:tcPr>
            <w:tcW w:w="960" w:type="dxa"/>
            <w:vAlign w:val="bottom"/>
            <w:shd w:val="clear" w:color="auto" w:fill="819F7C"/>
          </w:tcPr>
          <w:p>
            <w:pPr>
              <w:spacing w:after="0"/>
              <w:rPr>
                <w:sz w:val="14"/>
                <w:szCs w:val="14"/>
                <w:color w:val="auto"/>
              </w:rPr>
            </w:pPr>
          </w:p>
        </w:tc>
      </w:tr>
      <w:tr>
        <w:trPr>
          <w:trHeight w:val="162"/>
        </w:trPr>
        <w:tc>
          <w:tcPr>
            <w:tcW w:w="1360" w:type="dxa"/>
            <w:vAlign w:val="bottom"/>
            <w:shd w:val="clear" w:color="auto" w:fill="819F7C"/>
          </w:tcPr>
          <w:p>
            <w:pPr>
              <w:spacing w:after="0"/>
              <w:rPr>
                <w:sz w:val="14"/>
                <w:szCs w:val="14"/>
                <w:color w:val="auto"/>
              </w:rPr>
            </w:pPr>
          </w:p>
        </w:tc>
        <w:tc>
          <w:tcPr>
            <w:tcW w:w="1360" w:type="dxa"/>
            <w:vAlign w:val="bottom"/>
            <w:shd w:val="clear" w:color="auto" w:fill="819F7C"/>
          </w:tcPr>
          <w:p>
            <w:pPr>
              <w:spacing w:after="0"/>
              <w:rPr>
                <w:sz w:val="14"/>
                <w:szCs w:val="14"/>
                <w:color w:val="auto"/>
              </w:rPr>
            </w:pPr>
          </w:p>
        </w:tc>
        <w:tc>
          <w:tcPr>
            <w:tcW w:w="920" w:type="dxa"/>
            <w:vAlign w:val="bottom"/>
            <w:shd w:val="clear" w:color="auto" w:fill="819F7C"/>
          </w:tcPr>
          <w:p>
            <w:pPr>
              <w:spacing w:after="0"/>
              <w:rPr>
                <w:sz w:val="14"/>
                <w:szCs w:val="14"/>
                <w:color w:val="auto"/>
              </w:rPr>
            </w:pPr>
          </w:p>
        </w:tc>
        <w:tc>
          <w:tcPr>
            <w:tcW w:w="1180" w:type="dxa"/>
            <w:vAlign w:val="bottom"/>
            <w:shd w:val="clear" w:color="auto" w:fill="819F7C"/>
          </w:tcPr>
          <w:p>
            <w:pPr>
              <w:jc w:val="right"/>
              <w:ind w:right="90"/>
              <w:spacing w:after="0"/>
              <w:rPr>
                <w:sz w:val="20"/>
                <w:szCs w:val="20"/>
                <w:color w:val="auto"/>
              </w:rPr>
            </w:pPr>
            <w:r>
              <w:rPr>
                <w:rFonts w:ascii="Arial" w:cs="Arial" w:eastAsia="Arial" w:hAnsi="Arial"/>
                <w:sz w:val="14"/>
                <w:szCs w:val="14"/>
                <w:b w:val="1"/>
                <w:bCs w:val="1"/>
                <w:color w:val="FFFFFF"/>
              </w:rPr>
              <w:t>Equalization</w:t>
            </w:r>
          </w:p>
        </w:tc>
        <w:tc>
          <w:tcPr>
            <w:tcW w:w="940" w:type="dxa"/>
            <w:vAlign w:val="bottom"/>
            <w:shd w:val="clear" w:color="auto" w:fill="819F7C"/>
          </w:tcPr>
          <w:p>
            <w:pPr>
              <w:jc w:val="right"/>
              <w:ind w:right="90"/>
              <w:spacing w:after="0"/>
              <w:rPr>
                <w:sz w:val="20"/>
                <w:szCs w:val="20"/>
                <w:color w:val="auto"/>
              </w:rPr>
            </w:pPr>
            <w:r>
              <w:rPr>
                <w:rFonts w:ascii="Arial" w:cs="Arial" w:eastAsia="Arial" w:hAnsi="Arial"/>
                <w:sz w:val="14"/>
                <w:szCs w:val="14"/>
                <w:b w:val="1"/>
                <w:bCs w:val="1"/>
                <w:color w:val="FFFFFF"/>
              </w:rPr>
              <w:t>Premium</w:t>
            </w:r>
          </w:p>
        </w:tc>
        <w:tc>
          <w:tcPr>
            <w:tcW w:w="106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Insurance</w:t>
            </w:r>
          </w:p>
        </w:tc>
        <w:tc>
          <w:tcPr>
            <w:tcW w:w="1400" w:type="dxa"/>
            <w:vAlign w:val="bottom"/>
            <w:shd w:val="clear" w:color="auto" w:fill="819F7C"/>
          </w:tcPr>
          <w:p>
            <w:pPr>
              <w:jc w:val="right"/>
              <w:ind w:right="88"/>
              <w:spacing w:after="0"/>
              <w:rPr>
                <w:sz w:val="20"/>
                <w:szCs w:val="20"/>
                <w:color w:val="auto"/>
              </w:rPr>
            </w:pPr>
            <w:r>
              <w:rPr>
                <w:rFonts w:ascii="Arial" w:cs="Arial" w:eastAsia="Arial" w:hAnsi="Arial"/>
                <w:sz w:val="14"/>
                <w:szCs w:val="14"/>
                <w:b w:val="1"/>
                <w:bCs w:val="1"/>
                <w:color w:val="FFFFFF"/>
              </w:rPr>
              <w:t>Provident Fund</w:t>
            </w:r>
          </w:p>
        </w:tc>
        <w:tc>
          <w:tcPr>
            <w:tcW w:w="960" w:type="dxa"/>
            <w:vAlign w:val="bottom"/>
            <w:shd w:val="clear" w:color="auto" w:fill="819F7C"/>
          </w:tcPr>
          <w:p>
            <w:pPr>
              <w:spacing w:after="0"/>
              <w:rPr>
                <w:sz w:val="14"/>
                <w:szCs w:val="14"/>
                <w:color w:val="auto"/>
              </w:rPr>
            </w:pPr>
          </w:p>
        </w:tc>
      </w:tr>
      <w:tr>
        <w:trPr>
          <w:trHeight w:val="162"/>
        </w:trPr>
        <w:tc>
          <w:tcPr>
            <w:tcW w:w="1360" w:type="dxa"/>
            <w:vAlign w:val="bottom"/>
            <w:shd w:val="clear" w:color="auto" w:fill="819F7C"/>
          </w:tcPr>
          <w:p>
            <w:pPr>
              <w:spacing w:after="0"/>
              <w:rPr>
                <w:sz w:val="14"/>
                <w:szCs w:val="14"/>
                <w:color w:val="auto"/>
              </w:rPr>
            </w:pPr>
          </w:p>
        </w:tc>
        <w:tc>
          <w:tcPr>
            <w:tcW w:w="1360" w:type="dxa"/>
            <w:vAlign w:val="bottom"/>
            <w:shd w:val="clear" w:color="auto" w:fill="819F7C"/>
          </w:tcPr>
          <w:p>
            <w:pPr>
              <w:jc w:val="right"/>
              <w:ind w:right="91"/>
              <w:spacing w:after="0"/>
              <w:rPr>
                <w:sz w:val="20"/>
                <w:szCs w:val="20"/>
                <w:color w:val="auto"/>
              </w:rPr>
            </w:pPr>
            <w:r>
              <w:rPr>
                <w:rFonts w:ascii="Arial" w:cs="Arial" w:eastAsia="Arial" w:hAnsi="Arial"/>
                <w:sz w:val="14"/>
                <w:szCs w:val="14"/>
                <w:b w:val="1"/>
                <w:bCs w:val="1"/>
                <w:color w:val="FFFFFF"/>
              </w:rPr>
              <w:t>Transportation</w:t>
            </w:r>
          </w:p>
        </w:tc>
        <w:tc>
          <w:tcPr>
            <w:tcW w:w="920" w:type="dxa"/>
            <w:vAlign w:val="bottom"/>
            <w:shd w:val="clear" w:color="auto" w:fill="819F7C"/>
          </w:tcPr>
          <w:p>
            <w:pPr>
              <w:jc w:val="right"/>
              <w:ind w:right="111"/>
              <w:spacing w:after="0"/>
              <w:rPr>
                <w:sz w:val="20"/>
                <w:szCs w:val="20"/>
                <w:color w:val="auto"/>
              </w:rPr>
            </w:pPr>
            <w:r>
              <w:rPr>
                <w:rFonts w:ascii="Arial" w:cs="Arial" w:eastAsia="Arial" w:hAnsi="Arial"/>
                <w:sz w:val="14"/>
                <w:szCs w:val="14"/>
                <w:b w:val="1"/>
                <w:bCs w:val="1"/>
                <w:color w:val="FFFFFF"/>
              </w:rPr>
              <w:t>Housing</w:t>
            </w:r>
          </w:p>
        </w:tc>
        <w:tc>
          <w:tcPr>
            <w:tcW w:w="1180" w:type="dxa"/>
            <w:vAlign w:val="bottom"/>
            <w:shd w:val="clear" w:color="auto" w:fill="819F7C"/>
          </w:tcPr>
          <w:p>
            <w:pPr>
              <w:jc w:val="right"/>
              <w:ind w:right="130"/>
              <w:spacing w:after="0"/>
              <w:rPr>
                <w:sz w:val="20"/>
                <w:szCs w:val="20"/>
                <w:color w:val="auto"/>
              </w:rPr>
            </w:pPr>
            <w:r>
              <w:rPr>
                <w:rFonts w:ascii="Arial" w:cs="Arial" w:eastAsia="Arial" w:hAnsi="Arial"/>
                <w:sz w:val="14"/>
                <w:szCs w:val="14"/>
                <w:b w:val="1"/>
                <w:bCs w:val="1"/>
                <w:color w:val="FFFFFF"/>
              </w:rPr>
              <w:t>Payment</w:t>
            </w:r>
          </w:p>
        </w:tc>
        <w:tc>
          <w:tcPr>
            <w:tcW w:w="940" w:type="dxa"/>
            <w:vAlign w:val="bottom"/>
            <w:shd w:val="clear" w:color="auto" w:fill="819F7C"/>
          </w:tcPr>
          <w:p>
            <w:pPr>
              <w:jc w:val="right"/>
              <w:ind w:right="130"/>
              <w:spacing w:after="0"/>
              <w:rPr>
                <w:sz w:val="20"/>
                <w:szCs w:val="20"/>
                <w:color w:val="auto"/>
              </w:rPr>
            </w:pPr>
            <w:r>
              <w:rPr>
                <w:rFonts w:ascii="Arial" w:cs="Arial" w:eastAsia="Arial" w:hAnsi="Arial"/>
                <w:sz w:val="14"/>
                <w:szCs w:val="14"/>
                <w:b w:val="1"/>
                <w:bCs w:val="1"/>
                <w:color w:val="FFFFFF"/>
              </w:rPr>
              <w:t>Pay</w:t>
            </w:r>
          </w:p>
        </w:tc>
        <w:tc>
          <w:tcPr>
            <w:tcW w:w="106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Premiums</w:t>
            </w:r>
          </w:p>
        </w:tc>
        <w:tc>
          <w:tcPr>
            <w:tcW w:w="1400" w:type="dxa"/>
            <w:vAlign w:val="bottom"/>
            <w:shd w:val="clear" w:color="auto" w:fill="819F7C"/>
          </w:tcPr>
          <w:p>
            <w:pPr>
              <w:jc w:val="right"/>
              <w:ind w:right="128"/>
              <w:spacing w:after="0"/>
              <w:rPr>
                <w:sz w:val="20"/>
                <w:szCs w:val="20"/>
                <w:color w:val="auto"/>
              </w:rPr>
            </w:pPr>
            <w:r>
              <w:rPr>
                <w:rFonts w:ascii="Arial" w:cs="Arial" w:eastAsia="Arial" w:hAnsi="Arial"/>
                <w:sz w:val="14"/>
                <w:szCs w:val="14"/>
                <w:b w:val="1"/>
                <w:bCs w:val="1"/>
                <w:color w:val="FFFFFF"/>
              </w:rPr>
              <w:t>Contributions</w:t>
            </w:r>
          </w:p>
        </w:tc>
        <w:tc>
          <w:tcPr>
            <w:tcW w:w="960" w:type="dxa"/>
            <w:vAlign w:val="bottom"/>
            <w:shd w:val="clear" w:color="auto" w:fill="819F7C"/>
          </w:tcPr>
          <w:p>
            <w:pPr>
              <w:jc w:val="right"/>
              <w:ind w:right="8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136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1360" w:type="dxa"/>
            <w:vAlign w:val="bottom"/>
            <w:shd w:val="clear" w:color="auto" w:fill="819F7C"/>
          </w:tcPr>
          <w:p>
            <w:pPr>
              <w:jc w:val="right"/>
              <w:ind w:right="91"/>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(1)</w:t>
            </w:r>
          </w:p>
        </w:tc>
        <w:tc>
          <w:tcPr>
            <w:tcW w:w="920" w:type="dxa"/>
            <w:vAlign w:val="bottom"/>
            <w:shd w:val="clear" w:color="auto" w:fill="819F7C"/>
          </w:tcPr>
          <w:p>
            <w:pPr>
              <w:jc w:val="right"/>
              <w:ind w:right="111"/>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(2)</w:t>
            </w:r>
          </w:p>
        </w:tc>
        <w:tc>
          <w:tcPr>
            <w:tcW w:w="1180" w:type="dxa"/>
            <w:vAlign w:val="bottom"/>
            <w:shd w:val="clear" w:color="auto" w:fill="819F7C"/>
          </w:tcPr>
          <w:p>
            <w:pPr>
              <w:jc w:val="right"/>
              <w:ind w:right="90"/>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(3)</w:t>
            </w:r>
          </w:p>
        </w:tc>
        <w:tc>
          <w:tcPr>
            <w:tcW w:w="940" w:type="dxa"/>
            <w:vAlign w:val="bottom"/>
            <w:shd w:val="clear" w:color="auto" w:fill="819F7C"/>
          </w:tcPr>
          <w:p>
            <w:pPr>
              <w:jc w:val="right"/>
              <w:ind w:right="90"/>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1"/>
                <w:szCs w:val="11"/>
                <w:b w:val="1"/>
                <w:bCs w:val="1"/>
                <w:color w:val="FFFFFF"/>
              </w:rPr>
              <w:t>(4)</w:t>
            </w:r>
          </w:p>
        </w:tc>
        <w:tc>
          <w:tcPr>
            <w:tcW w:w="106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819F7C"/>
          </w:tcPr>
          <w:p>
            <w:pPr>
              <w:jc w:val="right"/>
              <w:ind w:right="88"/>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819F7C"/>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23"/>
        </w:trPr>
        <w:tc>
          <w:tcPr>
            <w:tcW w:w="136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Seamus Grady</w:t>
            </w:r>
          </w:p>
        </w:tc>
        <w:tc>
          <w:tcPr>
            <w:tcW w:w="1360" w:type="dxa"/>
            <w:vAlign w:val="bottom"/>
            <w:tcBorders>
              <w:bottom w:val="single" w:sz="8" w:color="E5E9E3"/>
            </w:tcBorders>
            <w:shd w:val="clear" w:color="auto" w:fill="E5E9E3"/>
          </w:tcPr>
          <w:p>
            <w:pPr>
              <w:jc w:val="right"/>
              <w:ind w:right="91"/>
              <w:spacing w:after="0"/>
              <w:rPr>
                <w:sz w:val="20"/>
                <w:szCs w:val="20"/>
                <w:color w:val="auto"/>
              </w:rPr>
            </w:pPr>
            <w:r>
              <w:rPr>
                <w:rFonts w:ascii="Arial" w:cs="Arial" w:eastAsia="Arial" w:hAnsi="Arial"/>
                <w:sz w:val="14"/>
                <w:szCs w:val="14"/>
                <w:color w:val="auto"/>
              </w:rPr>
              <w:t>12,000</w:t>
            </w:r>
          </w:p>
        </w:tc>
        <w:tc>
          <w:tcPr>
            <w:tcW w:w="920" w:type="dxa"/>
            <w:vAlign w:val="bottom"/>
            <w:tcBorders>
              <w:bottom w:val="single" w:sz="8" w:color="E5E9E3"/>
            </w:tcBorders>
            <w:shd w:val="clear" w:color="auto" w:fill="E5E9E3"/>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E5E9E3"/>
            </w:tcBorders>
            <w:shd w:val="clear" w:color="auto" w:fill="E5E9E3"/>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9E3"/>
            </w:tcBorders>
            <w:shd w:val="clear" w:color="auto" w:fill="E5E9E3"/>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9E3"/>
            </w:tcBorders>
            <w:shd w:val="clear" w:color="auto" w:fill="E5E9E3"/>
          </w:tcPr>
          <w:p>
            <w:pPr>
              <w:jc w:val="right"/>
              <w:ind w:right="128"/>
              <w:spacing w:after="0"/>
              <w:rPr>
                <w:sz w:val="20"/>
                <w:szCs w:val="20"/>
                <w:color w:val="auto"/>
              </w:rPr>
            </w:pPr>
            <w:r>
              <w:rPr>
                <w:rFonts w:ascii="Arial" w:cs="Arial" w:eastAsia="Arial" w:hAnsi="Arial"/>
                <w:sz w:val="14"/>
                <w:szCs w:val="14"/>
                <w:color w:val="auto"/>
              </w:rPr>
              <w:t>55,398</w:t>
            </w:r>
          </w:p>
        </w:tc>
        <w:tc>
          <w:tcPr>
            <w:tcW w:w="1400" w:type="dxa"/>
            <w:vAlign w:val="bottom"/>
            <w:tcBorders>
              <w:bottom w:val="single" w:sz="8" w:color="E5E9E3"/>
            </w:tcBorders>
            <w:shd w:val="clear" w:color="auto" w:fill="E5E9E3"/>
          </w:tcPr>
          <w:p>
            <w:pPr>
              <w:jc w:val="right"/>
              <w:ind w:right="128"/>
              <w:spacing w:after="0"/>
              <w:rPr>
                <w:sz w:val="20"/>
                <w:szCs w:val="20"/>
                <w:color w:val="auto"/>
              </w:rPr>
            </w:pPr>
            <w:r>
              <w:rPr>
                <w:rFonts w:ascii="Arial" w:cs="Arial" w:eastAsia="Arial" w:hAnsi="Arial"/>
                <w:sz w:val="14"/>
                <w:szCs w:val="14"/>
                <w:color w:val="auto"/>
              </w:rPr>
              <w:t>20,700</w:t>
            </w:r>
          </w:p>
        </w:tc>
        <w:tc>
          <w:tcPr>
            <w:tcW w:w="960" w:type="dxa"/>
            <w:vAlign w:val="bottom"/>
            <w:tcBorders>
              <w:bottom w:val="single" w:sz="8" w:color="E5E9E3"/>
            </w:tcBorders>
            <w:shd w:val="clear" w:color="auto" w:fill="E5E9E3"/>
          </w:tcPr>
          <w:p>
            <w:pPr>
              <w:jc w:val="right"/>
              <w:ind w:right="108"/>
              <w:spacing w:after="0"/>
              <w:rPr>
                <w:sz w:val="20"/>
                <w:szCs w:val="20"/>
                <w:color w:val="auto"/>
              </w:rPr>
            </w:pPr>
            <w:r>
              <w:rPr>
                <w:rFonts w:ascii="Arial" w:cs="Arial" w:eastAsia="Arial" w:hAnsi="Arial"/>
                <w:sz w:val="14"/>
                <w:szCs w:val="14"/>
                <w:color w:val="auto"/>
              </w:rPr>
              <w:t>88,098</w:t>
            </w:r>
          </w:p>
        </w:tc>
      </w:tr>
      <w:tr>
        <w:trPr>
          <w:trHeight w:val="222"/>
        </w:trPr>
        <w:tc>
          <w:tcPr>
            <w:tcW w:w="1360" w:type="dxa"/>
            <w:vAlign w:val="bottom"/>
          </w:tcPr>
          <w:p>
            <w:pPr>
              <w:ind w:left="80"/>
              <w:spacing w:after="0"/>
              <w:rPr>
                <w:sz w:val="20"/>
                <w:szCs w:val="20"/>
                <w:color w:val="auto"/>
              </w:rPr>
            </w:pPr>
            <w:r>
              <w:rPr>
                <w:rFonts w:ascii="Arial" w:cs="Arial" w:eastAsia="Arial" w:hAnsi="Arial"/>
                <w:sz w:val="14"/>
                <w:szCs w:val="14"/>
                <w:color w:val="auto"/>
              </w:rPr>
              <w:t>Dr. Harpal Gill</w:t>
            </w: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55,776</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120,000</w:t>
            </w: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898,863</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217,102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30,437</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20,414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1,342,592</w:t>
            </w:r>
          </w:p>
        </w:tc>
      </w:tr>
      <w:tr>
        <w:trPr>
          <w:trHeight w:val="22"/>
        </w:trPr>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36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Csaba Sverha</w:t>
            </w:r>
          </w:p>
        </w:tc>
        <w:tc>
          <w:tcPr>
            <w:tcW w:w="1360" w:type="dxa"/>
            <w:vAlign w:val="bottom"/>
            <w:tcBorders>
              <w:bottom w:val="single" w:sz="8" w:color="E5E9E3"/>
            </w:tcBorders>
            <w:shd w:val="clear" w:color="auto" w:fill="E5E9E3"/>
          </w:tcPr>
          <w:p>
            <w:pPr>
              <w:jc w:val="right"/>
              <w:ind w:right="91"/>
              <w:spacing w:after="0"/>
              <w:rPr>
                <w:sz w:val="20"/>
                <w:szCs w:val="20"/>
                <w:color w:val="auto"/>
              </w:rPr>
            </w:pPr>
            <w:r>
              <w:rPr>
                <w:rFonts w:ascii="Arial" w:cs="Arial" w:eastAsia="Arial" w:hAnsi="Arial"/>
                <w:sz w:val="14"/>
                <w:szCs w:val="14"/>
                <w:color w:val="auto"/>
              </w:rPr>
              <w:t>37,671</w:t>
            </w:r>
          </w:p>
        </w:tc>
        <w:tc>
          <w:tcPr>
            <w:tcW w:w="920" w:type="dxa"/>
            <w:vAlign w:val="bottom"/>
            <w:tcBorders>
              <w:bottom w:val="single" w:sz="8" w:color="E5E9E3"/>
            </w:tcBorders>
            <w:shd w:val="clear" w:color="auto" w:fill="E5E9E3"/>
          </w:tcPr>
          <w:p>
            <w:pPr>
              <w:jc w:val="right"/>
              <w:ind w:right="111"/>
              <w:spacing w:after="0"/>
              <w:rPr>
                <w:sz w:val="20"/>
                <w:szCs w:val="20"/>
                <w:color w:val="auto"/>
              </w:rPr>
            </w:pPr>
            <w:r>
              <w:rPr>
                <w:rFonts w:ascii="Arial" w:cs="Arial" w:eastAsia="Arial" w:hAnsi="Arial"/>
                <w:sz w:val="14"/>
                <w:szCs w:val="14"/>
                <w:color w:val="auto"/>
              </w:rPr>
              <w:t>120,000</w:t>
            </w:r>
          </w:p>
        </w:tc>
        <w:tc>
          <w:tcPr>
            <w:tcW w:w="1180" w:type="dxa"/>
            <w:vAlign w:val="bottom"/>
            <w:tcBorders>
              <w:bottom w:val="single" w:sz="8" w:color="E5E9E3"/>
            </w:tcBorders>
            <w:shd w:val="clear" w:color="auto" w:fill="E5E9E3"/>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9E3"/>
            </w:tcBorders>
            <w:shd w:val="clear" w:color="auto" w:fill="E5E9E3"/>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9E3"/>
            </w:tcBorders>
            <w:shd w:val="clear" w:color="auto" w:fill="E5E9E3"/>
          </w:tcPr>
          <w:p>
            <w:pPr>
              <w:jc w:val="right"/>
              <w:ind w:right="128"/>
              <w:spacing w:after="0"/>
              <w:rPr>
                <w:sz w:val="20"/>
                <w:szCs w:val="20"/>
                <w:color w:val="auto"/>
              </w:rPr>
            </w:pPr>
            <w:r>
              <w:rPr>
                <w:rFonts w:ascii="Arial" w:cs="Arial" w:eastAsia="Arial" w:hAnsi="Arial"/>
                <w:sz w:val="14"/>
                <w:szCs w:val="14"/>
                <w:color w:val="auto"/>
              </w:rPr>
              <w:t>45,082</w:t>
            </w:r>
          </w:p>
        </w:tc>
        <w:tc>
          <w:tcPr>
            <w:tcW w:w="1400" w:type="dxa"/>
            <w:vAlign w:val="bottom"/>
            <w:tcBorders>
              <w:bottom w:val="single" w:sz="8" w:color="E5E9E3"/>
            </w:tcBorders>
            <w:shd w:val="clear" w:color="auto" w:fill="E5E9E3"/>
          </w:tcPr>
          <w:p>
            <w:pPr>
              <w:jc w:val="right"/>
              <w:ind w:right="128"/>
              <w:spacing w:after="0"/>
              <w:rPr>
                <w:sz w:val="20"/>
                <w:szCs w:val="20"/>
                <w:color w:val="auto"/>
              </w:rPr>
            </w:pPr>
            <w:r>
              <w:rPr>
                <w:rFonts w:ascii="Arial" w:cs="Arial" w:eastAsia="Arial" w:hAnsi="Arial"/>
                <w:sz w:val="14"/>
                <w:szCs w:val="14"/>
                <w:color w:val="auto"/>
              </w:rPr>
              <w:t>26,361</w:t>
            </w:r>
          </w:p>
        </w:tc>
        <w:tc>
          <w:tcPr>
            <w:tcW w:w="960" w:type="dxa"/>
            <w:vAlign w:val="bottom"/>
            <w:tcBorders>
              <w:bottom w:val="single" w:sz="8" w:color="E5E9E3"/>
            </w:tcBorders>
            <w:shd w:val="clear" w:color="auto" w:fill="E5E9E3"/>
          </w:tcPr>
          <w:p>
            <w:pPr>
              <w:jc w:val="right"/>
              <w:ind w:right="108"/>
              <w:spacing w:after="0"/>
              <w:rPr>
                <w:sz w:val="20"/>
                <w:szCs w:val="20"/>
                <w:color w:val="auto"/>
              </w:rPr>
            </w:pPr>
            <w:r>
              <w:rPr>
                <w:rFonts w:ascii="Arial" w:cs="Arial" w:eastAsia="Arial" w:hAnsi="Arial"/>
                <w:sz w:val="14"/>
                <w:szCs w:val="14"/>
                <w:color w:val="auto"/>
              </w:rPr>
              <w:t>229,114</w:t>
            </w:r>
          </w:p>
        </w:tc>
      </w:tr>
      <w:tr>
        <w:trPr>
          <w:trHeight w:val="216"/>
        </w:trPr>
        <w:tc>
          <w:tcPr>
            <w:tcW w:w="1360" w:type="dxa"/>
            <w:vAlign w:val="bottom"/>
          </w:tcPr>
          <w:p>
            <w:pPr>
              <w:ind w:left="80"/>
              <w:spacing w:after="0"/>
              <w:rPr>
                <w:sz w:val="20"/>
                <w:szCs w:val="20"/>
                <w:color w:val="auto"/>
              </w:rPr>
            </w:pPr>
            <w:r>
              <w:rPr>
                <w:rFonts w:ascii="Arial" w:cs="Arial" w:eastAsia="Arial" w:hAnsi="Arial"/>
                <w:sz w:val="14"/>
                <w:szCs w:val="14"/>
                <w:color w:val="auto"/>
              </w:rPr>
              <w:t>Edward T. Archer</w:t>
            </w:r>
          </w:p>
        </w:tc>
        <w:tc>
          <w:tcPr>
            <w:tcW w:w="1360" w:type="dxa"/>
            <w:vAlign w:val="bottom"/>
          </w:tcPr>
          <w:p>
            <w:pPr>
              <w:jc w:val="right"/>
              <w:ind w:right="91"/>
              <w:spacing w:after="0"/>
              <w:rPr>
                <w:sz w:val="20"/>
                <w:szCs w:val="20"/>
                <w:color w:val="auto"/>
              </w:rPr>
            </w:pPr>
            <w:r>
              <w:rPr>
                <w:rFonts w:ascii="Arial" w:cs="Arial" w:eastAsia="Arial" w:hAnsi="Arial"/>
                <w:sz w:val="14"/>
                <w:szCs w:val="14"/>
                <w:color w:val="auto"/>
              </w:rPr>
              <w:t>12,000</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55,398</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20,100</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87,498</w:t>
            </w:r>
          </w:p>
        </w:tc>
      </w:tr>
      <w:tr>
        <w:trPr>
          <w:trHeight w:val="95"/>
        </w:trPr>
        <w:tc>
          <w:tcPr>
            <w:tcW w:w="1360" w:type="dxa"/>
            <w:vAlign w:val="bottom"/>
            <w:shd w:val="clear" w:color="auto" w:fill="819F7C"/>
          </w:tcPr>
          <w:p>
            <w:pPr>
              <w:spacing w:after="0"/>
              <w:rPr>
                <w:sz w:val="8"/>
                <w:szCs w:val="8"/>
                <w:color w:val="auto"/>
              </w:rPr>
            </w:pPr>
          </w:p>
        </w:tc>
        <w:tc>
          <w:tcPr>
            <w:tcW w:w="1360" w:type="dxa"/>
            <w:vAlign w:val="bottom"/>
            <w:shd w:val="clear" w:color="auto" w:fill="819F7C"/>
          </w:tcPr>
          <w:p>
            <w:pPr>
              <w:spacing w:after="0"/>
              <w:rPr>
                <w:sz w:val="8"/>
                <w:szCs w:val="8"/>
                <w:color w:val="auto"/>
              </w:rPr>
            </w:pPr>
          </w:p>
        </w:tc>
        <w:tc>
          <w:tcPr>
            <w:tcW w:w="920" w:type="dxa"/>
            <w:vAlign w:val="bottom"/>
            <w:shd w:val="clear" w:color="auto" w:fill="819F7C"/>
          </w:tcPr>
          <w:p>
            <w:pPr>
              <w:spacing w:after="0"/>
              <w:rPr>
                <w:sz w:val="8"/>
                <w:szCs w:val="8"/>
                <w:color w:val="auto"/>
              </w:rPr>
            </w:pPr>
          </w:p>
        </w:tc>
        <w:tc>
          <w:tcPr>
            <w:tcW w:w="1180" w:type="dxa"/>
            <w:vAlign w:val="bottom"/>
            <w:shd w:val="clear" w:color="auto" w:fill="819F7C"/>
          </w:tcPr>
          <w:p>
            <w:pPr>
              <w:spacing w:after="0"/>
              <w:rPr>
                <w:sz w:val="8"/>
                <w:szCs w:val="8"/>
                <w:color w:val="auto"/>
              </w:rPr>
            </w:pPr>
          </w:p>
        </w:tc>
        <w:tc>
          <w:tcPr>
            <w:tcW w:w="940" w:type="dxa"/>
            <w:vAlign w:val="bottom"/>
            <w:shd w:val="clear" w:color="auto" w:fill="819F7C"/>
          </w:tcPr>
          <w:p>
            <w:pPr>
              <w:spacing w:after="0"/>
              <w:rPr>
                <w:sz w:val="8"/>
                <w:szCs w:val="8"/>
                <w:color w:val="auto"/>
              </w:rPr>
            </w:pPr>
          </w:p>
        </w:tc>
        <w:tc>
          <w:tcPr>
            <w:tcW w:w="1060" w:type="dxa"/>
            <w:vAlign w:val="bottom"/>
            <w:shd w:val="clear" w:color="auto" w:fill="819F7C"/>
          </w:tcPr>
          <w:p>
            <w:pPr>
              <w:spacing w:after="0"/>
              <w:rPr>
                <w:sz w:val="8"/>
                <w:szCs w:val="8"/>
                <w:color w:val="auto"/>
              </w:rPr>
            </w:pPr>
          </w:p>
        </w:tc>
        <w:tc>
          <w:tcPr>
            <w:tcW w:w="1400" w:type="dxa"/>
            <w:vAlign w:val="bottom"/>
            <w:shd w:val="clear" w:color="auto" w:fill="819F7C"/>
          </w:tcPr>
          <w:p>
            <w:pPr>
              <w:spacing w:after="0"/>
              <w:rPr>
                <w:sz w:val="8"/>
                <w:szCs w:val="8"/>
                <w:color w:val="auto"/>
              </w:rPr>
            </w:pPr>
          </w:p>
        </w:tc>
        <w:tc>
          <w:tcPr>
            <w:tcW w:w="960" w:type="dxa"/>
            <w:vAlign w:val="bottom"/>
            <w:shd w:val="clear" w:color="auto" w:fill="819F7C"/>
          </w:tcPr>
          <w:p>
            <w:pPr>
              <w:spacing w:after="0"/>
              <w:rPr>
                <w:sz w:val="8"/>
                <w:szCs w:val="8"/>
                <w:color w:val="auto"/>
              </w:rPr>
            </w:pPr>
          </w:p>
        </w:tc>
      </w:tr>
    </w:tbl>
    <w:p>
      <w:pPr>
        <w:spacing w:after="0" w:line="82" w:lineRule="exact"/>
        <w:rPr>
          <w:sz w:val="20"/>
          <w:szCs w:val="20"/>
          <w:color w:val="auto"/>
        </w:rPr>
      </w:pPr>
    </w:p>
    <w:p>
      <w:pPr>
        <w:jc w:val="both"/>
        <w:ind w:left="340" w:right="20" w:hanging="286"/>
        <w:spacing w:after="0" w:line="259"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For Mr. Grady and Mr. Archer, represents an annual automobile allowance. For Dr. Gill, represents (i) an annual travel allowance of $25,000 ($25,602, inclusive of tax gross-up), (ii) an annual automobile allowance of $12,000, and (iii) $18,174 of expenses related to a car and driver in Thailand. For Mr. Sverha, represents expenses related to a car and driver in Thailand.</w:t>
      </w:r>
    </w:p>
    <w:p>
      <w:pPr>
        <w:spacing w:after="0" w:line="15" w:lineRule="exact"/>
        <w:rPr>
          <w:rFonts w:ascii="Arial" w:cs="Arial" w:eastAsia="Arial" w:hAnsi="Arial"/>
          <w:sz w:val="13"/>
          <w:szCs w:val="13"/>
          <w:color w:val="auto"/>
        </w:rPr>
      </w:pPr>
    </w:p>
    <w:p>
      <w:pPr>
        <w:ind w:left="340" w:hanging="286"/>
        <w:spacing w:after="0"/>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an annual cash allowance for housing and related living expenses in Thailand.</w:t>
      </w:r>
    </w:p>
    <w:p>
      <w:pPr>
        <w:spacing w:after="0" w:line="53" w:lineRule="exact"/>
        <w:rPr>
          <w:rFonts w:ascii="Arial" w:cs="Arial" w:eastAsia="Arial" w:hAnsi="Arial"/>
          <w:sz w:val="13"/>
          <w:szCs w:val="13"/>
          <w:color w:val="auto"/>
        </w:rPr>
      </w:pPr>
    </w:p>
    <w:p>
      <w:pPr>
        <w:jc w:val="both"/>
        <w:ind w:left="340" w:hanging="286"/>
        <w:spacing w:after="0" w:line="254"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foreign tax liability payments by Fabrinet on Dr. Gill’s behalf to satisfy his applicable non-U.S. taxes for calendar year 2022. Consistent with corporate policy, we pay on behalf of all U.S. citizens who are working on our behalf in Asia on an expatriate basis a tax equalization payment that is intended to put the employee in the same position, from a tax-liability perspective, that he or she would be in if they were still located in the United States.</w:t>
      </w:r>
    </w:p>
    <w:p>
      <w:pPr>
        <w:spacing w:after="0" w:line="173" w:lineRule="exact"/>
        <w:rPr>
          <w:rFonts w:ascii="Arial" w:cs="Arial" w:eastAsia="Arial" w:hAnsi="Arial"/>
          <w:sz w:val="13"/>
          <w:szCs w:val="13"/>
          <w:color w:val="auto"/>
        </w:rPr>
      </w:pPr>
    </w:p>
    <w:p>
      <w:pPr>
        <w:ind w:left="340" w:right="20" w:hanging="286"/>
        <w:spacing w:after="0" w:line="281"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additional cash compensation in the amount of 20% of Dr. Gill’s annual base salary, with a tax gross-up, to incentivize him to continue working for us in Thailand and ameliorate the resulting hardship to his family, which is located in the United States.</w:t>
      </w:r>
    </w:p>
    <w:p>
      <w:pPr>
        <w:spacing w:after="0" w:line="266"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48</w:t>
      </w:r>
      <w:r>
        <w:rPr>
          <w:sz w:val="20"/>
          <w:szCs w:val="20"/>
          <w:color w:val="auto"/>
        </w:rPr>
        <w:tab/>
      </w:r>
      <w:r>
        <w:rPr>
          <w:sz w:val="1"/>
          <w:szCs w:val="1"/>
          <w:color w:val="auto"/>
        </w:rPr>
        <w:drawing>
          <wp:inline distT="0" distB="0" distL="0" distR="0">
            <wp:extent cx="342900" cy="7747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bookmarkStart w:id="54" w:name="page55"/>
    <w:bookmarkEnd w:id="54"/>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Grants of Plan-Based Awards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44" w:lineRule="exact"/>
        <w:rPr>
          <w:sz w:val="20"/>
          <w:szCs w:val="20"/>
          <w:color w:val="auto"/>
        </w:rPr>
      </w:pPr>
    </w:p>
    <w:p>
      <w:pPr>
        <w:ind w:left="920" w:right="940"/>
        <w:spacing w:after="0" w:line="271" w:lineRule="auto"/>
        <w:rPr>
          <w:sz w:val="20"/>
          <w:szCs w:val="20"/>
          <w:color w:val="auto"/>
        </w:rPr>
      </w:pPr>
      <w:r>
        <w:rPr>
          <w:rFonts w:ascii="Arial" w:cs="Arial" w:eastAsia="Arial" w:hAnsi="Arial"/>
          <w:sz w:val="18"/>
          <w:szCs w:val="18"/>
          <w:color w:val="auto"/>
        </w:rPr>
        <w:t>The following table presents information concerning each grant of an award made to a Named Officer in fiscal 2024 under any plan. No option awards were granted to a Named Officer in fiscal 2024.</w:t>
      </w:r>
    </w:p>
    <w:p>
      <w:pPr>
        <w:spacing w:after="0" w:line="91"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40" w:type="dxa"/>
            <w:vAlign w:val="bottom"/>
            <w:shd w:val="clear" w:color="auto" w:fill="819F7C"/>
          </w:tcPr>
          <w:p>
            <w:pPr>
              <w:spacing w:after="0"/>
              <w:rPr>
                <w:sz w:val="19"/>
                <w:szCs w:val="19"/>
                <w:color w:val="auto"/>
              </w:rPr>
            </w:pPr>
          </w:p>
        </w:tc>
        <w:tc>
          <w:tcPr>
            <w:tcW w:w="800" w:type="dxa"/>
            <w:vAlign w:val="bottom"/>
            <w:shd w:val="clear" w:color="auto" w:fill="819F7C"/>
          </w:tcPr>
          <w:p>
            <w:pPr>
              <w:spacing w:after="0"/>
              <w:rPr>
                <w:sz w:val="19"/>
                <w:szCs w:val="19"/>
                <w:color w:val="auto"/>
              </w:rPr>
            </w:pPr>
          </w:p>
        </w:tc>
        <w:tc>
          <w:tcPr>
            <w:tcW w:w="120" w:type="dxa"/>
            <w:vAlign w:val="bottom"/>
            <w:shd w:val="clear" w:color="auto" w:fill="819F7C"/>
          </w:tcPr>
          <w:p>
            <w:pPr>
              <w:spacing w:after="0"/>
              <w:rPr>
                <w:sz w:val="19"/>
                <w:szCs w:val="19"/>
                <w:color w:val="auto"/>
              </w:rPr>
            </w:pPr>
          </w:p>
        </w:tc>
        <w:tc>
          <w:tcPr>
            <w:tcW w:w="560" w:type="dxa"/>
            <w:vAlign w:val="bottom"/>
            <w:shd w:val="clear" w:color="auto" w:fill="819F7C"/>
          </w:tcPr>
          <w:p>
            <w:pPr>
              <w:spacing w:after="0"/>
              <w:rPr>
                <w:sz w:val="19"/>
                <w:szCs w:val="19"/>
                <w:color w:val="auto"/>
              </w:rPr>
            </w:pPr>
          </w:p>
        </w:tc>
        <w:tc>
          <w:tcPr>
            <w:tcW w:w="60" w:type="dxa"/>
            <w:vAlign w:val="bottom"/>
            <w:shd w:val="clear" w:color="auto" w:fill="819F7C"/>
          </w:tcPr>
          <w:p>
            <w:pPr>
              <w:spacing w:after="0"/>
              <w:rPr>
                <w:sz w:val="19"/>
                <w:szCs w:val="19"/>
                <w:color w:val="auto"/>
              </w:rPr>
            </w:pPr>
          </w:p>
        </w:tc>
        <w:tc>
          <w:tcPr>
            <w:tcW w:w="700" w:type="dxa"/>
            <w:vAlign w:val="bottom"/>
            <w:shd w:val="clear" w:color="auto" w:fill="819F7C"/>
          </w:tcPr>
          <w:p>
            <w:pPr>
              <w:spacing w:after="0"/>
              <w:rPr>
                <w:sz w:val="19"/>
                <w:szCs w:val="19"/>
                <w:color w:val="auto"/>
              </w:rPr>
            </w:pPr>
          </w:p>
        </w:tc>
        <w:tc>
          <w:tcPr>
            <w:tcW w:w="640" w:type="dxa"/>
            <w:vAlign w:val="bottom"/>
            <w:shd w:val="clear" w:color="auto" w:fill="819F7C"/>
          </w:tcPr>
          <w:p>
            <w:pPr>
              <w:spacing w:after="0"/>
              <w:rPr>
                <w:sz w:val="19"/>
                <w:szCs w:val="19"/>
                <w:color w:val="auto"/>
              </w:rPr>
            </w:pPr>
          </w:p>
        </w:tc>
        <w:tc>
          <w:tcPr>
            <w:tcW w:w="840" w:type="dxa"/>
            <w:vAlign w:val="bottom"/>
            <w:shd w:val="clear" w:color="auto" w:fill="819F7C"/>
          </w:tcPr>
          <w:p>
            <w:pPr>
              <w:spacing w:after="0"/>
              <w:rPr>
                <w:sz w:val="19"/>
                <w:szCs w:val="19"/>
                <w:color w:val="auto"/>
              </w:rPr>
            </w:pPr>
          </w:p>
        </w:tc>
        <w:tc>
          <w:tcPr>
            <w:tcW w:w="740" w:type="dxa"/>
            <w:vAlign w:val="bottom"/>
            <w:shd w:val="clear" w:color="auto" w:fill="819F7C"/>
          </w:tcPr>
          <w:p>
            <w:pPr>
              <w:spacing w:after="0"/>
              <w:rPr>
                <w:sz w:val="19"/>
                <w:szCs w:val="19"/>
                <w:color w:val="auto"/>
              </w:rPr>
            </w:pPr>
          </w:p>
        </w:tc>
        <w:tc>
          <w:tcPr>
            <w:tcW w:w="560" w:type="dxa"/>
            <w:vAlign w:val="bottom"/>
            <w:shd w:val="clear" w:color="auto" w:fill="819F7C"/>
          </w:tcPr>
          <w:p>
            <w:pPr>
              <w:spacing w:after="0"/>
              <w:rPr>
                <w:sz w:val="19"/>
                <w:szCs w:val="19"/>
                <w:color w:val="auto"/>
              </w:rPr>
            </w:pPr>
          </w:p>
        </w:tc>
        <w:tc>
          <w:tcPr>
            <w:tcW w:w="160" w:type="dxa"/>
            <w:vAlign w:val="bottom"/>
            <w:shd w:val="clear" w:color="auto" w:fill="819F7C"/>
          </w:tcPr>
          <w:p>
            <w:pPr>
              <w:spacing w:after="0"/>
              <w:rPr>
                <w:sz w:val="19"/>
                <w:szCs w:val="19"/>
                <w:color w:val="auto"/>
              </w:rPr>
            </w:pPr>
          </w:p>
        </w:tc>
        <w:tc>
          <w:tcPr>
            <w:tcW w:w="60" w:type="dxa"/>
            <w:vAlign w:val="bottom"/>
            <w:shd w:val="clear" w:color="auto" w:fill="819F7C"/>
          </w:tcPr>
          <w:p>
            <w:pPr>
              <w:spacing w:after="0"/>
              <w:rPr>
                <w:sz w:val="19"/>
                <w:szCs w:val="19"/>
                <w:color w:val="auto"/>
              </w:rPr>
            </w:pPr>
          </w:p>
        </w:tc>
        <w:tc>
          <w:tcPr>
            <w:tcW w:w="880" w:type="dxa"/>
            <w:vAlign w:val="bottom"/>
            <w:shd w:val="clear" w:color="auto" w:fill="819F7C"/>
          </w:tcPr>
          <w:p>
            <w:pPr>
              <w:spacing w:after="0"/>
              <w:rPr>
                <w:sz w:val="19"/>
                <w:szCs w:val="19"/>
                <w:color w:val="auto"/>
              </w:rPr>
            </w:pPr>
          </w:p>
        </w:tc>
        <w:tc>
          <w:tcPr>
            <w:tcW w:w="620" w:type="dxa"/>
            <w:vAlign w:val="bottom"/>
            <w:shd w:val="clear" w:color="auto" w:fill="819F7C"/>
          </w:tcPr>
          <w:p>
            <w:pPr>
              <w:spacing w:after="0"/>
              <w:rPr>
                <w:sz w:val="19"/>
                <w:szCs w:val="19"/>
                <w:color w:val="auto"/>
              </w:rPr>
            </w:pPr>
          </w:p>
        </w:tc>
        <w:tc>
          <w:tcPr>
            <w:tcW w:w="740" w:type="dxa"/>
            <w:vAlign w:val="bottom"/>
            <w:shd w:val="clear" w:color="auto" w:fill="819F7C"/>
          </w:tcPr>
          <w:p>
            <w:pPr>
              <w:spacing w:after="0"/>
              <w:rPr>
                <w:sz w:val="19"/>
                <w:szCs w:val="19"/>
                <w:color w:val="auto"/>
              </w:rPr>
            </w:pPr>
          </w:p>
        </w:tc>
        <w:tc>
          <w:tcPr>
            <w:tcW w:w="60" w:type="dxa"/>
            <w:vAlign w:val="bottom"/>
            <w:shd w:val="clear" w:color="auto" w:fill="819F7C"/>
          </w:tcPr>
          <w:p>
            <w:pPr>
              <w:spacing w:after="0"/>
              <w:rPr>
                <w:sz w:val="19"/>
                <w:szCs w:val="19"/>
                <w:color w:val="auto"/>
              </w:rPr>
            </w:pPr>
          </w:p>
        </w:tc>
        <w:tc>
          <w:tcPr>
            <w:tcW w:w="780" w:type="dxa"/>
            <w:vAlign w:val="bottom"/>
            <w:shd w:val="clear" w:color="auto" w:fill="819F7C"/>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820" w:type="dxa"/>
            <w:vAlign w:val="bottom"/>
            <w:shd w:val="clear" w:color="auto" w:fill="819F7C"/>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 w:type="dxa"/>
            <w:vAlign w:val="bottom"/>
            <w:shd w:val="clear" w:color="auto" w:fill="819F7C"/>
          </w:tcPr>
          <w:p>
            <w:pPr>
              <w:spacing w:after="0"/>
              <w:rPr>
                <w:sz w:val="14"/>
                <w:szCs w:val="14"/>
                <w:color w:val="auto"/>
              </w:rPr>
            </w:pPr>
          </w:p>
        </w:tc>
        <w:tc>
          <w:tcPr>
            <w:tcW w:w="800" w:type="dxa"/>
            <w:vAlign w:val="bottom"/>
            <w:shd w:val="clear" w:color="auto" w:fill="819F7C"/>
          </w:tcPr>
          <w:p>
            <w:pPr>
              <w:spacing w:after="0"/>
              <w:rPr>
                <w:sz w:val="14"/>
                <w:szCs w:val="14"/>
                <w:color w:val="auto"/>
              </w:rPr>
            </w:pPr>
          </w:p>
        </w:tc>
        <w:tc>
          <w:tcPr>
            <w:tcW w:w="120" w:type="dxa"/>
            <w:vAlign w:val="bottom"/>
            <w:shd w:val="clear" w:color="auto" w:fill="819F7C"/>
          </w:tcPr>
          <w:p>
            <w:pPr>
              <w:spacing w:after="0"/>
              <w:rPr>
                <w:sz w:val="14"/>
                <w:szCs w:val="14"/>
                <w:color w:val="auto"/>
              </w:rPr>
            </w:pPr>
          </w:p>
        </w:tc>
        <w:tc>
          <w:tcPr>
            <w:tcW w:w="560" w:type="dxa"/>
            <w:vAlign w:val="bottom"/>
            <w:shd w:val="clear" w:color="auto" w:fill="819F7C"/>
          </w:tcPr>
          <w:p>
            <w:pPr>
              <w:spacing w:after="0"/>
              <w:rPr>
                <w:sz w:val="14"/>
                <w:szCs w:val="14"/>
                <w:color w:val="auto"/>
              </w:rPr>
            </w:pPr>
          </w:p>
        </w:tc>
        <w:tc>
          <w:tcPr>
            <w:tcW w:w="60" w:type="dxa"/>
            <w:vAlign w:val="bottom"/>
            <w:shd w:val="clear" w:color="auto" w:fill="819F7C"/>
          </w:tcPr>
          <w:p>
            <w:pPr>
              <w:spacing w:after="0"/>
              <w:rPr>
                <w:sz w:val="14"/>
                <w:szCs w:val="14"/>
                <w:color w:val="auto"/>
              </w:rPr>
            </w:pPr>
          </w:p>
        </w:tc>
        <w:tc>
          <w:tcPr>
            <w:tcW w:w="700" w:type="dxa"/>
            <w:vAlign w:val="bottom"/>
            <w:shd w:val="clear" w:color="auto" w:fill="819F7C"/>
          </w:tcPr>
          <w:p>
            <w:pPr>
              <w:spacing w:after="0"/>
              <w:rPr>
                <w:sz w:val="14"/>
                <w:szCs w:val="14"/>
                <w:color w:val="auto"/>
              </w:rPr>
            </w:pPr>
          </w:p>
        </w:tc>
        <w:tc>
          <w:tcPr>
            <w:tcW w:w="640" w:type="dxa"/>
            <w:vAlign w:val="bottom"/>
            <w:shd w:val="clear" w:color="auto" w:fill="819F7C"/>
          </w:tcPr>
          <w:p>
            <w:pPr>
              <w:spacing w:after="0"/>
              <w:rPr>
                <w:sz w:val="14"/>
                <w:szCs w:val="14"/>
                <w:color w:val="auto"/>
              </w:rPr>
            </w:pPr>
          </w:p>
        </w:tc>
        <w:tc>
          <w:tcPr>
            <w:tcW w:w="2300" w:type="dxa"/>
            <w:vAlign w:val="bottom"/>
            <w:gridSpan w:val="4"/>
            <w:shd w:val="clear" w:color="auto" w:fill="819F7C"/>
          </w:tcPr>
          <w:p>
            <w:pPr>
              <w:jc w:val="right"/>
              <w:ind w:right="38"/>
              <w:spacing w:after="0"/>
              <w:rPr>
                <w:sz w:val="20"/>
                <w:szCs w:val="20"/>
                <w:color w:val="auto"/>
              </w:rPr>
            </w:pPr>
            <w:r>
              <w:rPr>
                <w:rFonts w:ascii="Arial" w:cs="Arial" w:eastAsia="Arial" w:hAnsi="Arial"/>
                <w:sz w:val="13"/>
                <w:szCs w:val="13"/>
                <w:b w:val="1"/>
                <w:bCs w:val="1"/>
                <w:color w:val="FFFFFF"/>
              </w:rPr>
              <w:t>Estimated Possible Payouts Under</w:t>
            </w:r>
          </w:p>
        </w:tc>
        <w:tc>
          <w:tcPr>
            <w:tcW w:w="60" w:type="dxa"/>
            <w:vAlign w:val="bottom"/>
            <w:shd w:val="clear" w:color="auto" w:fill="819F7C"/>
          </w:tcPr>
          <w:p>
            <w:pPr>
              <w:spacing w:after="0"/>
              <w:rPr>
                <w:sz w:val="14"/>
                <w:szCs w:val="14"/>
                <w:color w:val="auto"/>
              </w:rPr>
            </w:pPr>
          </w:p>
        </w:tc>
        <w:tc>
          <w:tcPr>
            <w:tcW w:w="2240" w:type="dxa"/>
            <w:vAlign w:val="bottom"/>
            <w:gridSpan w:val="3"/>
            <w:shd w:val="clear" w:color="auto" w:fill="819F7C"/>
          </w:tcPr>
          <w:p>
            <w:pPr>
              <w:jc w:val="right"/>
              <w:spacing w:after="0"/>
              <w:rPr>
                <w:sz w:val="20"/>
                <w:szCs w:val="20"/>
                <w:color w:val="auto"/>
              </w:rPr>
            </w:pPr>
            <w:r>
              <w:rPr>
                <w:rFonts w:ascii="Arial" w:cs="Arial" w:eastAsia="Arial" w:hAnsi="Arial"/>
                <w:sz w:val="13"/>
                <w:szCs w:val="13"/>
                <w:b w:val="1"/>
                <w:bCs w:val="1"/>
                <w:color w:val="FFFFFF"/>
              </w:rPr>
              <w:t>Estimated Possible Payouts Under</w:t>
            </w:r>
          </w:p>
        </w:tc>
        <w:tc>
          <w:tcPr>
            <w:tcW w:w="60" w:type="dxa"/>
            <w:vAlign w:val="bottom"/>
            <w:shd w:val="clear" w:color="auto" w:fill="819F7C"/>
          </w:tcPr>
          <w:p>
            <w:pPr>
              <w:spacing w:after="0"/>
              <w:rPr>
                <w:sz w:val="14"/>
                <w:szCs w:val="14"/>
                <w:color w:val="auto"/>
              </w:rPr>
            </w:pPr>
          </w:p>
        </w:tc>
        <w:tc>
          <w:tcPr>
            <w:tcW w:w="780" w:type="dxa"/>
            <w:vAlign w:val="bottom"/>
            <w:shd w:val="clear" w:color="auto" w:fill="819F7C"/>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8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819F7C"/>
          </w:tcPr>
          <w:p>
            <w:pPr>
              <w:spacing w:after="0"/>
              <w:rPr>
                <w:sz w:val="10"/>
                <w:szCs w:val="10"/>
                <w:color w:val="auto"/>
              </w:rPr>
            </w:pPr>
          </w:p>
        </w:tc>
        <w:tc>
          <w:tcPr>
            <w:tcW w:w="800" w:type="dxa"/>
            <w:vAlign w:val="bottom"/>
            <w:shd w:val="clear" w:color="auto" w:fill="819F7C"/>
          </w:tcPr>
          <w:p>
            <w:pPr>
              <w:spacing w:after="0"/>
              <w:rPr>
                <w:sz w:val="10"/>
                <w:szCs w:val="10"/>
                <w:color w:val="auto"/>
              </w:rPr>
            </w:pPr>
          </w:p>
        </w:tc>
        <w:tc>
          <w:tcPr>
            <w:tcW w:w="120" w:type="dxa"/>
            <w:vAlign w:val="bottom"/>
            <w:shd w:val="clear" w:color="auto" w:fill="819F7C"/>
          </w:tcPr>
          <w:p>
            <w:pPr>
              <w:spacing w:after="0"/>
              <w:rPr>
                <w:sz w:val="10"/>
                <w:szCs w:val="10"/>
                <w:color w:val="auto"/>
              </w:rPr>
            </w:pPr>
          </w:p>
        </w:tc>
        <w:tc>
          <w:tcPr>
            <w:tcW w:w="560" w:type="dxa"/>
            <w:vAlign w:val="bottom"/>
            <w:shd w:val="clear" w:color="auto" w:fill="819F7C"/>
          </w:tcPr>
          <w:p>
            <w:pPr>
              <w:spacing w:after="0"/>
              <w:rPr>
                <w:sz w:val="10"/>
                <w:szCs w:val="10"/>
                <w:color w:val="auto"/>
              </w:rPr>
            </w:pPr>
          </w:p>
        </w:tc>
        <w:tc>
          <w:tcPr>
            <w:tcW w:w="60" w:type="dxa"/>
            <w:vAlign w:val="bottom"/>
            <w:shd w:val="clear" w:color="auto" w:fill="819F7C"/>
          </w:tcPr>
          <w:p>
            <w:pPr>
              <w:spacing w:after="0"/>
              <w:rPr>
                <w:sz w:val="10"/>
                <w:szCs w:val="10"/>
                <w:color w:val="auto"/>
              </w:rPr>
            </w:pPr>
          </w:p>
        </w:tc>
        <w:tc>
          <w:tcPr>
            <w:tcW w:w="700" w:type="dxa"/>
            <w:vAlign w:val="bottom"/>
            <w:shd w:val="clear" w:color="auto" w:fill="819F7C"/>
          </w:tcPr>
          <w:p>
            <w:pPr>
              <w:spacing w:after="0"/>
              <w:rPr>
                <w:sz w:val="10"/>
                <w:szCs w:val="10"/>
                <w:color w:val="auto"/>
              </w:rPr>
            </w:pPr>
          </w:p>
        </w:tc>
        <w:tc>
          <w:tcPr>
            <w:tcW w:w="640" w:type="dxa"/>
            <w:vAlign w:val="bottom"/>
            <w:shd w:val="clear" w:color="auto" w:fill="819F7C"/>
          </w:tcPr>
          <w:p>
            <w:pPr>
              <w:spacing w:after="0"/>
              <w:rPr>
                <w:sz w:val="10"/>
                <w:szCs w:val="10"/>
                <w:color w:val="auto"/>
              </w:rPr>
            </w:pPr>
          </w:p>
        </w:tc>
        <w:tc>
          <w:tcPr>
            <w:tcW w:w="2140" w:type="dxa"/>
            <w:vAlign w:val="bottom"/>
            <w:gridSpan w:val="3"/>
            <w:vMerge w:val="restart"/>
            <w:shd w:val="clear" w:color="auto" w:fill="819F7C"/>
          </w:tcPr>
          <w:p>
            <w:pPr>
              <w:ind w:left="100"/>
              <w:spacing w:after="0"/>
              <w:rPr>
                <w:sz w:val="20"/>
                <w:szCs w:val="20"/>
                <w:color w:val="auto"/>
              </w:rPr>
            </w:pPr>
            <w:r>
              <w:rPr>
                <w:rFonts w:ascii="Arial" w:cs="Arial" w:eastAsia="Arial" w:hAnsi="Arial"/>
                <w:sz w:val="13"/>
                <w:szCs w:val="13"/>
                <w:b w:val="1"/>
                <w:bCs w:val="1"/>
                <w:color w:val="FFFFFF"/>
                <w:w w:val="95"/>
              </w:rPr>
              <w:t>Non-Equity Incentive Plan Awards</w:t>
            </w:r>
          </w:p>
        </w:tc>
        <w:tc>
          <w:tcPr>
            <w:tcW w:w="160" w:type="dxa"/>
            <w:vAlign w:val="bottom"/>
            <w:shd w:val="clear" w:color="auto" w:fill="819F7C"/>
          </w:tcPr>
          <w:p>
            <w:pPr>
              <w:jc w:val="right"/>
              <w:spacing w:after="0"/>
              <w:rPr>
                <w:sz w:val="20"/>
                <w:szCs w:val="20"/>
                <w:color w:val="auto"/>
              </w:rPr>
            </w:pPr>
            <w:r>
              <w:rPr>
                <w:rFonts w:ascii="Arial" w:cs="Arial" w:eastAsia="Arial" w:hAnsi="Arial"/>
                <w:sz w:val="10"/>
                <w:szCs w:val="10"/>
                <w:b w:val="1"/>
                <w:bCs w:val="1"/>
                <w:color w:val="FFFFFF"/>
                <w:w w:val="81"/>
              </w:rPr>
              <w:t>(1)</w:t>
            </w:r>
          </w:p>
        </w:tc>
        <w:tc>
          <w:tcPr>
            <w:tcW w:w="60" w:type="dxa"/>
            <w:vAlign w:val="bottom"/>
            <w:shd w:val="clear" w:color="auto" w:fill="819F7C"/>
          </w:tcPr>
          <w:p>
            <w:pPr>
              <w:spacing w:after="0"/>
              <w:rPr>
                <w:sz w:val="10"/>
                <w:szCs w:val="10"/>
                <w:color w:val="auto"/>
              </w:rPr>
            </w:pPr>
          </w:p>
        </w:tc>
        <w:tc>
          <w:tcPr>
            <w:tcW w:w="880" w:type="dxa"/>
            <w:vAlign w:val="bottom"/>
            <w:shd w:val="clear" w:color="auto" w:fill="819F7C"/>
          </w:tcPr>
          <w:p>
            <w:pPr>
              <w:spacing w:after="0"/>
              <w:rPr>
                <w:sz w:val="10"/>
                <w:szCs w:val="10"/>
                <w:color w:val="auto"/>
              </w:rPr>
            </w:pPr>
          </w:p>
        </w:tc>
        <w:tc>
          <w:tcPr>
            <w:tcW w:w="620" w:type="dxa"/>
            <w:vAlign w:val="bottom"/>
            <w:shd w:val="clear" w:color="auto" w:fill="819F7C"/>
          </w:tcPr>
          <w:p>
            <w:pPr>
              <w:spacing w:after="0"/>
              <w:rPr>
                <w:sz w:val="10"/>
                <w:szCs w:val="10"/>
                <w:color w:val="auto"/>
              </w:rPr>
            </w:pPr>
          </w:p>
        </w:tc>
        <w:tc>
          <w:tcPr>
            <w:tcW w:w="740" w:type="dxa"/>
            <w:vAlign w:val="bottom"/>
            <w:shd w:val="clear" w:color="auto" w:fill="819F7C"/>
          </w:tcPr>
          <w:p>
            <w:pPr>
              <w:jc w:val="right"/>
              <w:ind w:right="78"/>
              <w:spacing w:after="0"/>
              <w:rPr>
                <w:sz w:val="20"/>
                <w:szCs w:val="20"/>
                <w:color w:val="auto"/>
              </w:rPr>
            </w:pPr>
            <w:r>
              <w:rPr>
                <w:rFonts w:ascii="Arial" w:cs="Arial" w:eastAsia="Arial" w:hAnsi="Arial"/>
                <w:sz w:val="10"/>
                <w:szCs w:val="10"/>
                <w:b w:val="1"/>
                <w:bCs w:val="1"/>
                <w:color w:val="FFFFFF"/>
              </w:rPr>
              <w:t>(2)</w:t>
            </w:r>
          </w:p>
        </w:tc>
        <w:tc>
          <w:tcPr>
            <w:tcW w:w="60" w:type="dxa"/>
            <w:vAlign w:val="bottom"/>
            <w:shd w:val="clear" w:color="auto" w:fill="819F7C"/>
          </w:tcPr>
          <w:p>
            <w:pPr>
              <w:spacing w:after="0"/>
              <w:rPr>
                <w:sz w:val="10"/>
                <w:szCs w:val="10"/>
                <w:color w:val="auto"/>
              </w:rPr>
            </w:pPr>
          </w:p>
        </w:tc>
        <w:tc>
          <w:tcPr>
            <w:tcW w:w="780" w:type="dxa"/>
            <w:vAlign w:val="bottom"/>
            <w:shd w:val="clear" w:color="auto" w:fill="819F7C"/>
          </w:tcPr>
          <w:p>
            <w:pPr>
              <w:jc w:val="center"/>
              <w:spacing w:after="0" w:line="122" w:lineRule="exact"/>
              <w:rPr>
                <w:sz w:val="20"/>
                <w:szCs w:val="20"/>
                <w:color w:val="auto"/>
              </w:rPr>
            </w:pPr>
            <w:r>
              <w:rPr>
                <w:rFonts w:ascii="Arial" w:cs="Arial" w:eastAsia="Arial" w:hAnsi="Arial"/>
                <w:sz w:val="13"/>
                <w:szCs w:val="13"/>
                <w:b w:val="1"/>
                <w:bCs w:val="1"/>
                <w:color w:val="FFFFFF"/>
                <w:w w:val="97"/>
              </w:rPr>
              <w:t>Awards:</w:t>
            </w:r>
          </w:p>
        </w:tc>
        <w:tc>
          <w:tcPr>
            <w:tcW w:w="820" w:type="dxa"/>
            <w:vAlign w:val="bottom"/>
            <w:vMerge w:val="restart"/>
            <w:shd w:val="clear" w:color="auto" w:fill="819F7C"/>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08"/>
        </w:trPr>
        <w:tc>
          <w:tcPr>
            <w:tcW w:w="40" w:type="dxa"/>
            <w:vAlign w:val="bottom"/>
            <w:shd w:val="clear" w:color="auto" w:fill="819F7C"/>
          </w:tcPr>
          <w:p>
            <w:pPr>
              <w:spacing w:after="0"/>
              <w:rPr>
                <w:sz w:val="9"/>
                <w:szCs w:val="9"/>
                <w:color w:val="auto"/>
              </w:rPr>
            </w:pPr>
          </w:p>
        </w:tc>
        <w:tc>
          <w:tcPr>
            <w:tcW w:w="800" w:type="dxa"/>
            <w:vAlign w:val="bottom"/>
            <w:shd w:val="clear" w:color="auto" w:fill="819F7C"/>
          </w:tcPr>
          <w:p>
            <w:pPr>
              <w:spacing w:after="0"/>
              <w:rPr>
                <w:sz w:val="9"/>
                <w:szCs w:val="9"/>
                <w:color w:val="auto"/>
              </w:rPr>
            </w:pPr>
          </w:p>
        </w:tc>
        <w:tc>
          <w:tcPr>
            <w:tcW w:w="120" w:type="dxa"/>
            <w:vAlign w:val="bottom"/>
            <w:shd w:val="clear" w:color="auto" w:fill="819F7C"/>
          </w:tcPr>
          <w:p>
            <w:pPr>
              <w:spacing w:after="0"/>
              <w:rPr>
                <w:sz w:val="9"/>
                <w:szCs w:val="9"/>
                <w:color w:val="auto"/>
              </w:rPr>
            </w:pPr>
          </w:p>
        </w:tc>
        <w:tc>
          <w:tcPr>
            <w:tcW w:w="560" w:type="dxa"/>
            <w:vAlign w:val="bottom"/>
            <w:shd w:val="clear" w:color="auto" w:fill="819F7C"/>
          </w:tcPr>
          <w:p>
            <w:pPr>
              <w:spacing w:after="0"/>
              <w:rPr>
                <w:sz w:val="9"/>
                <w:szCs w:val="9"/>
                <w:color w:val="auto"/>
              </w:rPr>
            </w:pPr>
          </w:p>
        </w:tc>
        <w:tc>
          <w:tcPr>
            <w:tcW w:w="60" w:type="dxa"/>
            <w:vAlign w:val="bottom"/>
            <w:shd w:val="clear" w:color="auto" w:fill="819F7C"/>
          </w:tcPr>
          <w:p>
            <w:pPr>
              <w:spacing w:after="0"/>
              <w:rPr>
                <w:sz w:val="9"/>
                <w:szCs w:val="9"/>
                <w:color w:val="auto"/>
              </w:rPr>
            </w:pPr>
          </w:p>
        </w:tc>
        <w:tc>
          <w:tcPr>
            <w:tcW w:w="700" w:type="dxa"/>
            <w:vAlign w:val="bottom"/>
            <w:shd w:val="clear" w:color="auto" w:fill="819F7C"/>
          </w:tcPr>
          <w:p>
            <w:pPr>
              <w:spacing w:after="0"/>
              <w:rPr>
                <w:sz w:val="9"/>
                <w:szCs w:val="9"/>
                <w:color w:val="auto"/>
              </w:rPr>
            </w:pPr>
          </w:p>
        </w:tc>
        <w:tc>
          <w:tcPr>
            <w:tcW w:w="640" w:type="dxa"/>
            <w:vAlign w:val="bottom"/>
            <w:shd w:val="clear" w:color="auto" w:fill="819F7C"/>
          </w:tcPr>
          <w:p>
            <w:pPr>
              <w:spacing w:after="0"/>
              <w:rPr>
                <w:sz w:val="9"/>
                <w:szCs w:val="9"/>
                <w:color w:val="auto"/>
              </w:rPr>
            </w:pPr>
          </w:p>
        </w:tc>
        <w:tc>
          <w:tcPr>
            <w:tcW w:w="2140" w:type="dxa"/>
            <w:vAlign w:val="bottom"/>
            <w:gridSpan w:val="3"/>
            <w:vMerge w:val="continue"/>
            <w:shd w:val="clear" w:color="auto" w:fill="819F7C"/>
          </w:tcPr>
          <w:p>
            <w:pPr>
              <w:spacing w:after="0"/>
              <w:rPr>
                <w:sz w:val="9"/>
                <w:szCs w:val="9"/>
                <w:color w:val="auto"/>
              </w:rPr>
            </w:pPr>
          </w:p>
        </w:tc>
        <w:tc>
          <w:tcPr>
            <w:tcW w:w="160" w:type="dxa"/>
            <w:vAlign w:val="bottom"/>
            <w:shd w:val="clear" w:color="auto" w:fill="819F7C"/>
          </w:tcPr>
          <w:p>
            <w:pPr>
              <w:spacing w:after="0"/>
              <w:rPr>
                <w:sz w:val="9"/>
                <w:szCs w:val="9"/>
                <w:color w:val="auto"/>
              </w:rPr>
            </w:pPr>
          </w:p>
        </w:tc>
        <w:tc>
          <w:tcPr>
            <w:tcW w:w="60" w:type="dxa"/>
            <w:vAlign w:val="bottom"/>
            <w:shd w:val="clear" w:color="auto" w:fill="819F7C"/>
          </w:tcPr>
          <w:p>
            <w:pPr>
              <w:spacing w:after="0"/>
              <w:rPr>
                <w:sz w:val="9"/>
                <w:szCs w:val="9"/>
                <w:color w:val="auto"/>
              </w:rPr>
            </w:pPr>
          </w:p>
        </w:tc>
        <w:tc>
          <w:tcPr>
            <w:tcW w:w="2240" w:type="dxa"/>
            <w:vAlign w:val="bottom"/>
            <w:gridSpan w:val="3"/>
            <w:shd w:val="clear" w:color="auto" w:fill="819F7C"/>
          </w:tcPr>
          <w:p>
            <w:pPr>
              <w:jc w:val="right"/>
              <w:ind w:right="218"/>
              <w:spacing w:after="0" w:line="108" w:lineRule="exact"/>
              <w:rPr>
                <w:sz w:val="20"/>
                <w:szCs w:val="20"/>
                <w:color w:val="auto"/>
              </w:rPr>
            </w:pPr>
            <w:r>
              <w:rPr>
                <w:rFonts w:ascii="Arial" w:cs="Arial" w:eastAsia="Arial" w:hAnsi="Arial"/>
                <w:sz w:val="12"/>
                <w:szCs w:val="12"/>
                <w:b w:val="1"/>
                <w:bCs w:val="1"/>
                <w:color w:val="FFFFFF"/>
              </w:rPr>
              <w:t>Equity Incentive Plan Awards</w:t>
            </w:r>
          </w:p>
        </w:tc>
        <w:tc>
          <w:tcPr>
            <w:tcW w:w="60" w:type="dxa"/>
            <w:vAlign w:val="bottom"/>
            <w:shd w:val="clear" w:color="auto" w:fill="819F7C"/>
          </w:tcPr>
          <w:p>
            <w:pPr>
              <w:spacing w:after="0"/>
              <w:rPr>
                <w:sz w:val="9"/>
                <w:szCs w:val="9"/>
                <w:color w:val="auto"/>
              </w:rPr>
            </w:pPr>
          </w:p>
        </w:tc>
        <w:tc>
          <w:tcPr>
            <w:tcW w:w="780" w:type="dxa"/>
            <w:vAlign w:val="bottom"/>
            <w:shd w:val="clear" w:color="auto" w:fill="819F7C"/>
          </w:tcPr>
          <w:p>
            <w:pPr>
              <w:jc w:val="center"/>
              <w:spacing w:after="0" w:line="108" w:lineRule="exact"/>
              <w:rPr>
                <w:sz w:val="20"/>
                <w:szCs w:val="20"/>
                <w:color w:val="auto"/>
              </w:rPr>
            </w:pPr>
            <w:r>
              <w:rPr>
                <w:rFonts w:ascii="Arial" w:cs="Arial" w:eastAsia="Arial" w:hAnsi="Arial"/>
                <w:sz w:val="12"/>
                <w:szCs w:val="12"/>
                <w:b w:val="1"/>
                <w:bCs w:val="1"/>
                <w:color w:val="FFFFFF"/>
              </w:rPr>
              <w:t>Number of</w:t>
            </w:r>
          </w:p>
        </w:tc>
        <w:tc>
          <w:tcPr>
            <w:tcW w:w="820" w:type="dxa"/>
            <w:vAlign w:val="bottom"/>
            <w:vMerge w:val="continue"/>
            <w:shd w:val="clear" w:color="auto" w:fill="819F7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819F7C"/>
          </w:tcPr>
          <w:p>
            <w:pPr>
              <w:spacing w:after="0"/>
              <w:rPr>
                <w:sz w:val="11"/>
                <w:szCs w:val="11"/>
                <w:color w:val="auto"/>
              </w:rPr>
            </w:pPr>
          </w:p>
        </w:tc>
        <w:tc>
          <w:tcPr>
            <w:tcW w:w="800" w:type="dxa"/>
            <w:vAlign w:val="bottom"/>
            <w:shd w:val="clear" w:color="auto" w:fill="819F7C"/>
          </w:tcPr>
          <w:p>
            <w:pPr>
              <w:spacing w:after="0"/>
              <w:rPr>
                <w:sz w:val="11"/>
                <w:szCs w:val="11"/>
                <w:color w:val="auto"/>
              </w:rPr>
            </w:pPr>
          </w:p>
        </w:tc>
        <w:tc>
          <w:tcPr>
            <w:tcW w:w="120" w:type="dxa"/>
            <w:vAlign w:val="bottom"/>
            <w:shd w:val="clear" w:color="auto" w:fill="819F7C"/>
          </w:tcPr>
          <w:p>
            <w:pPr>
              <w:spacing w:after="0"/>
              <w:rPr>
                <w:sz w:val="11"/>
                <w:szCs w:val="11"/>
                <w:color w:val="auto"/>
              </w:rPr>
            </w:pPr>
          </w:p>
        </w:tc>
        <w:tc>
          <w:tcPr>
            <w:tcW w:w="560" w:type="dxa"/>
            <w:vAlign w:val="bottom"/>
            <w:shd w:val="clear" w:color="auto" w:fill="819F7C"/>
          </w:tcPr>
          <w:p>
            <w:pPr>
              <w:spacing w:after="0"/>
              <w:rPr>
                <w:sz w:val="11"/>
                <w:szCs w:val="11"/>
                <w:color w:val="auto"/>
              </w:rPr>
            </w:pPr>
          </w:p>
        </w:tc>
        <w:tc>
          <w:tcPr>
            <w:tcW w:w="60" w:type="dxa"/>
            <w:vAlign w:val="bottom"/>
            <w:shd w:val="clear" w:color="auto" w:fill="819F7C"/>
          </w:tcPr>
          <w:p>
            <w:pPr>
              <w:spacing w:after="0"/>
              <w:rPr>
                <w:sz w:val="11"/>
                <w:szCs w:val="11"/>
                <w:color w:val="auto"/>
              </w:rPr>
            </w:pPr>
          </w:p>
        </w:tc>
        <w:tc>
          <w:tcPr>
            <w:tcW w:w="700" w:type="dxa"/>
            <w:vAlign w:val="bottom"/>
            <w:shd w:val="clear" w:color="auto" w:fill="819F7C"/>
          </w:tcPr>
          <w:p>
            <w:pPr>
              <w:spacing w:after="0"/>
              <w:rPr>
                <w:sz w:val="11"/>
                <w:szCs w:val="11"/>
                <w:color w:val="auto"/>
              </w:rPr>
            </w:pPr>
          </w:p>
        </w:tc>
        <w:tc>
          <w:tcPr>
            <w:tcW w:w="640" w:type="dxa"/>
            <w:vAlign w:val="bottom"/>
            <w:shd w:val="clear" w:color="auto" w:fill="819F7C"/>
          </w:tcPr>
          <w:p>
            <w:pPr>
              <w:spacing w:after="0"/>
              <w:rPr>
                <w:sz w:val="11"/>
                <w:szCs w:val="11"/>
                <w:color w:val="auto"/>
              </w:rPr>
            </w:pPr>
          </w:p>
        </w:tc>
        <w:tc>
          <w:tcPr>
            <w:tcW w:w="840" w:type="dxa"/>
            <w:vAlign w:val="bottom"/>
            <w:shd w:val="clear" w:color="auto" w:fill="819F7C"/>
          </w:tcPr>
          <w:p>
            <w:pPr>
              <w:spacing w:after="0"/>
              <w:rPr>
                <w:sz w:val="11"/>
                <w:szCs w:val="11"/>
                <w:color w:val="auto"/>
              </w:rPr>
            </w:pPr>
          </w:p>
        </w:tc>
        <w:tc>
          <w:tcPr>
            <w:tcW w:w="740" w:type="dxa"/>
            <w:vAlign w:val="bottom"/>
            <w:shd w:val="clear" w:color="auto" w:fill="819F7C"/>
          </w:tcPr>
          <w:p>
            <w:pPr>
              <w:spacing w:after="0"/>
              <w:rPr>
                <w:sz w:val="11"/>
                <w:szCs w:val="11"/>
                <w:color w:val="auto"/>
              </w:rPr>
            </w:pPr>
          </w:p>
        </w:tc>
        <w:tc>
          <w:tcPr>
            <w:tcW w:w="560" w:type="dxa"/>
            <w:vAlign w:val="bottom"/>
            <w:shd w:val="clear" w:color="auto" w:fill="819F7C"/>
          </w:tcPr>
          <w:p>
            <w:pPr>
              <w:spacing w:after="0"/>
              <w:rPr>
                <w:sz w:val="11"/>
                <w:szCs w:val="11"/>
                <w:color w:val="auto"/>
              </w:rPr>
            </w:pPr>
          </w:p>
        </w:tc>
        <w:tc>
          <w:tcPr>
            <w:tcW w:w="160" w:type="dxa"/>
            <w:vAlign w:val="bottom"/>
            <w:shd w:val="clear" w:color="auto" w:fill="819F7C"/>
          </w:tcPr>
          <w:p>
            <w:pPr>
              <w:spacing w:after="0"/>
              <w:rPr>
                <w:sz w:val="11"/>
                <w:szCs w:val="11"/>
                <w:color w:val="auto"/>
              </w:rPr>
            </w:pPr>
          </w:p>
        </w:tc>
        <w:tc>
          <w:tcPr>
            <w:tcW w:w="60" w:type="dxa"/>
            <w:vAlign w:val="bottom"/>
            <w:shd w:val="clear" w:color="auto" w:fill="819F7C"/>
          </w:tcPr>
          <w:p>
            <w:pPr>
              <w:spacing w:after="0"/>
              <w:rPr>
                <w:sz w:val="11"/>
                <w:szCs w:val="11"/>
                <w:color w:val="auto"/>
              </w:rPr>
            </w:pPr>
          </w:p>
        </w:tc>
        <w:tc>
          <w:tcPr>
            <w:tcW w:w="880" w:type="dxa"/>
            <w:vAlign w:val="bottom"/>
            <w:shd w:val="clear" w:color="auto" w:fill="819F7C"/>
          </w:tcPr>
          <w:p>
            <w:pPr>
              <w:spacing w:after="0"/>
              <w:rPr>
                <w:sz w:val="11"/>
                <w:szCs w:val="11"/>
                <w:color w:val="auto"/>
              </w:rPr>
            </w:pPr>
          </w:p>
        </w:tc>
        <w:tc>
          <w:tcPr>
            <w:tcW w:w="620" w:type="dxa"/>
            <w:vAlign w:val="bottom"/>
            <w:shd w:val="clear" w:color="auto" w:fill="819F7C"/>
          </w:tcPr>
          <w:p>
            <w:pPr>
              <w:spacing w:after="0"/>
              <w:rPr>
                <w:sz w:val="11"/>
                <w:szCs w:val="11"/>
                <w:color w:val="auto"/>
              </w:rPr>
            </w:pPr>
          </w:p>
        </w:tc>
        <w:tc>
          <w:tcPr>
            <w:tcW w:w="740" w:type="dxa"/>
            <w:vAlign w:val="bottom"/>
            <w:shd w:val="clear" w:color="auto" w:fill="819F7C"/>
          </w:tcPr>
          <w:p>
            <w:pPr>
              <w:spacing w:after="0"/>
              <w:rPr>
                <w:sz w:val="11"/>
                <w:szCs w:val="11"/>
                <w:color w:val="auto"/>
              </w:rPr>
            </w:pPr>
          </w:p>
        </w:tc>
        <w:tc>
          <w:tcPr>
            <w:tcW w:w="60" w:type="dxa"/>
            <w:vAlign w:val="bottom"/>
            <w:shd w:val="clear" w:color="auto" w:fill="819F7C"/>
          </w:tcPr>
          <w:p>
            <w:pPr>
              <w:spacing w:after="0"/>
              <w:rPr>
                <w:sz w:val="11"/>
                <w:szCs w:val="11"/>
                <w:color w:val="auto"/>
              </w:rPr>
            </w:pPr>
          </w:p>
        </w:tc>
        <w:tc>
          <w:tcPr>
            <w:tcW w:w="780" w:type="dxa"/>
            <w:vAlign w:val="bottom"/>
            <w:shd w:val="clear" w:color="auto" w:fill="819F7C"/>
          </w:tcPr>
          <w:p>
            <w:pPr>
              <w:jc w:val="center"/>
              <w:spacing w:after="0" w:line="135" w:lineRule="exact"/>
              <w:rPr>
                <w:sz w:val="20"/>
                <w:szCs w:val="20"/>
                <w:color w:val="auto"/>
              </w:rPr>
            </w:pPr>
            <w:r>
              <w:rPr>
                <w:rFonts w:ascii="Arial" w:cs="Arial" w:eastAsia="Arial" w:hAnsi="Arial"/>
                <w:sz w:val="13"/>
                <w:szCs w:val="13"/>
                <w:b w:val="1"/>
                <w:bCs w:val="1"/>
                <w:color w:val="FFFFFF"/>
                <w:w w:val="97"/>
              </w:rPr>
              <w:t>Shares of</w:t>
            </w:r>
          </w:p>
        </w:tc>
        <w:tc>
          <w:tcPr>
            <w:tcW w:w="820" w:type="dxa"/>
            <w:vAlign w:val="bottom"/>
            <w:shd w:val="clear" w:color="auto" w:fill="819F7C"/>
          </w:tcPr>
          <w:p>
            <w:pPr>
              <w:jc w:val="center"/>
              <w:spacing w:after="0" w:line="135" w:lineRule="exact"/>
              <w:rPr>
                <w:sz w:val="20"/>
                <w:szCs w:val="20"/>
                <w:color w:val="auto"/>
              </w:rPr>
            </w:pPr>
            <w:r>
              <w:rPr>
                <w:rFonts w:ascii="Arial" w:cs="Arial" w:eastAsia="Arial" w:hAnsi="Arial"/>
                <w:sz w:val="13"/>
                <w:szCs w:val="13"/>
                <w:b w:val="1"/>
                <w:bCs w:val="1"/>
                <w:color w:val="FFFFFF"/>
                <w:w w:val="96"/>
              </w:rPr>
              <w:t>Fair Value</w:t>
            </w:r>
          </w:p>
        </w:tc>
        <w:tc>
          <w:tcPr>
            <w:tcW w:w="0" w:type="dxa"/>
            <w:vAlign w:val="bottom"/>
          </w:tcPr>
          <w:p>
            <w:pPr>
              <w:spacing w:after="0"/>
              <w:rPr>
                <w:sz w:val="1"/>
                <w:szCs w:val="1"/>
                <w:color w:val="auto"/>
              </w:rPr>
            </w:pPr>
          </w:p>
        </w:tc>
      </w:tr>
      <w:tr>
        <w:trPr>
          <w:trHeight w:val="135"/>
        </w:trPr>
        <w:tc>
          <w:tcPr>
            <w:tcW w:w="40" w:type="dxa"/>
            <w:vAlign w:val="bottom"/>
            <w:shd w:val="clear" w:color="auto" w:fill="819F7C"/>
          </w:tcPr>
          <w:p>
            <w:pPr>
              <w:spacing w:after="0"/>
              <w:rPr>
                <w:sz w:val="11"/>
                <w:szCs w:val="11"/>
                <w:color w:val="auto"/>
              </w:rPr>
            </w:pPr>
          </w:p>
        </w:tc>
        <w:tc>
          <w:tcPr>
            <w:tcW w:w="800" w:type="dxa"/>
            <w:vAlign w:val="bottom"/>
            <w:shd w:val="clear" w:color="auto" w:fill="819F7C"/>
          </w:tcPr>
          <w:p>
            <w:pPr>
              <w:spacing w:after="0"/>
              <w:rPr>
                <w:sz w:val="11"/>
                <w:szCs w:val="11"/>
                <w:color w:val="auto"/>
              </w:rPr>
            </w:pPr>
          </w:p>
        </w:tc>
        <w:tc>
          <w:tcPr>
            <w:tcW w:w="120" w:type="dxa"/>
            <w:vAlign w:val="bottom"/>
            <w:shd w:val="clear" w:color="auto" w:fill="819F7C"/>
          </w:tcPr>
          <w:p>
            <w:pPr>
              <w:spacing w:after="0"/>
              <w:rPr>
                <w:sz w:val="11"/>
                <w:szCs w:val="11"/>
                <w:color w:val="auto"/>
              </w:rPr>
            </w:pPr>
          </w:p>
        </w:tc>
        <w:tc>
          <w:tcPr>
            <w:tcW w:w="560" w:type="dxa"/>
            <w:vAlign w:val="bottom"/>
            <w:vMerge w:val="restart"/>
            <w:shd w:val="clear" w:color="auto" w:fill="819F7C"/>
          </w:tcPr>
          <w:p>
            <w:pPr>
              <w:jc w:val="right"/>
              <w:ind w:right="77"/>
              <w:spacing w:after="0"/>
              <w:rPr>
                <w:sz w:val="20"/>
                <w:szCs w:val="20"/>
                <w:color w:val="auto"/>
              </w:rPr>
            </w:pPr>
            <w:r>
              <w:rPr>
                <w:rFonts w:ascii="Arial" w:cs="Arial" w:eastAsia="Arial" w:hAnsi="Arial"/>
                <w:sz w:val="13"/>
                <w:szCs w:val="13"/>
                <w:b w:val="1"/>
                <w:bCs w:val="1"/>
                <w:color w:val="FFFFFF"/>
              </w:rPr>
              <w:t>Grant</w:t>
            </w:r>
          </w:p>
        </w:tc>
        <w:tc>
          <w:tcPr>
            <w:tcW w:w="60" w:type="dxa"/>
            <w:vAlign w:val="bottom"/>
            <w:shd w:val="clear" w:color="auto" w:fill="819F7C"/>
          </w:tcPr>
          <w:p>
            <w:pPr>
              <w:spacing w:after="0"/>
              <w:rPr>
                <w:sz w:val="11"/>
                <w:szCs w:val="11"/>
                <w:color w:val="auto"/>
              </w:rPr>
            </w:pPr>
          </w:p>
        </w:tc>
        <w:tc>
          <w:tcPr>
            <w:tcW w:w="700" w:type="dxa"/>
            <w:vAlign w:val="bottom"/>
            <w:vMerge w:val="restart"/>
            <w:shd w:val="clear" w:color="auto" w:fill="819F7C"/>
          </w:tcPr>
          <w:p>
            <w:pPr>
              <w:jc w:val="right"/>
              <w:spacing w:after="0"/>
              <w:rPr>
                <w:sz w:val="20"/>
                <w:szCs w:val="20"/>
                <w:color w:val="auto"/>
              </w:rPr>
            </w:pPr>
            <w:r>
              <w:rPr>
                <w:rFonts w:ascii="Arial" w:cs="Arial" w:eastAsia="Arial" w:hAnsi="Arial"/>
                <w:sz w:val="13"/>
                <w:szCs w:val="13"/>
                <w:b w:val="1"/>
                <w:bCs w:val="1"/>
                <w:color w:val="FFFFFF"/>
              </w:rPr>
              <w:t>Approval</w:t>
            </w:r>
          </w:p>
        </w:tc>
        <w:tc>
          <w:tcPr>
            <w:tcW w:w="640" w:type="dxa"/>
            <w:vAlign w:val="bottom"/>
            <w:vMerge w:val="restart"/>
            <w:shd w:val="clear" w:color="auto" w:fill="819F7C"/>
          </w:tcPr>
          <w:p>
            <w:pPr>
              <w:jc w:val="center"/>
              <w:spacing w:after="0"/>
              <w:rPr>
                <w:sz w:val="20"/>
                <w:szCs w:val="20"/>
                <w:color w:val="auto"/>
              </w:rPr>
            </w:pPr>
            <w:r>
              <w:rPr>
                <w:rFonts w:ascii="Arial" w:cs="Arial" w:eastAsia="Arial" w:hAnsi="Arial"/>
                <w:sz w:val="13"/>
                <w:szCs w:val="13"/>
                <w:b w:val="1"/>
                <w:bCs w:val="1"/>
                <w:color w:val="FFFFFF"/>
                <w:w w:val="95"/>
              </w:rPr>
              <w:t>Type of</w:t>
            </w:r>
          </w:p>
        </w:tc>
        <w:tc>
          <w:tcPr>
            <w:tcW w:w="840" w:type="dxa"/>
            <w:vAlign w:val="bottom"/>
            <w:vMerge w:val="restart"/>
            <w:shd w:val="clear" w:color="auto" w:fill="819F7C"/>
          </w:tcPr>
          <w:p>
            <w:pPr>
              <w:jc w:val="right"/>
              <w:ind w:right="77"/>
              <w:spacing w:after="0"/>
              <w:rPr>
                <w:sz w:val="20"/>
                <w:szCs w:val="20"/>
                <w:color w:val="auto"/>
              </w:rPr>
            </w:pPr>
            <w:r>
              <w:rPr>
                <w:rFonts w:ascii="Arial" w:cs="Arial" w:eastAsia="Arial" w:hAnsi="Arial"/>
                <w:sz w:val="13"/>
                <w:szCs w:val="13"/>
                <w:b w:val="1"/>
                <w:bCs w:val="1"/>
                <w:color w:val="FFFFFF"/>
              </w:rPr>
              <w:t>Threshold</w:t>
            </w:r>
          </w:p>
        </w:tc>
        <w:tc>
          <w:tcPr>
            <w:tcW w:w="740" w:type="dxa"/>
            <w:vAlign w:val="bottom"/>
            <w:vMerge w:val="restart"/>
            <w:shd w:val="clear" w:color="auto" w:fill="819F7C"/>
          </w:tcPr>
          <w:p>
            <w:pPr>
              <w:jc w:val="right"/>
              <w:ind w:right="157"/>
              <w:spacing w:after="0"/>
              <w:rPr>
                <w:sz w:val="20"/>
                <w:szCs w:val="20"/>
                <w:color w:val="auto"/>
              </w:rPr>
            </w:pPr>
            <w:r>
              <w:rPr>
                <w:rFonts w:ascii="Arial" w:cs="Arial" w:eastAsia="Arial" w:hAnsi="Arial"/>
                <w:sz w:val="13"/>
                <w:szCs w:val="13"/>
                <w:b w:val="1"/>
                <w:bCs w:val="1"/>
                <w:color w:val="FFFFFF"/>
              </w:rPr>
              <w:t>Target</w:t>
            </w:r>
          </w:p>
        </w:tc>
        <w:tc>
          <w:tcPr>
            <w:tcW w:w="720" w:type="dxa"/>
            <w:vAlign w:val="bottom"/>
            <w:gridSpan w:val="2"/>
            <w:vMerge w:val="restart"/>
            <w:shd w:val="clear" w:color="auto" w:fill="819F7C"/>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60" w:type="dxa"/>
            <w:vAlign w:val="bottom"/>
            <w:shd w:val="clear" w:color="auto" w:fill="819F7C"/>
          </w:tcPr>
          <w:p>
            <w:pPr>
              <w:spacing w:after="0"/>
              <w:rPr>
                <w:sz w:val="11"/>
                <w:szCs w:val="11"/>
                <w:color w:val="auto"/>
              </w:rPr>
            </w:pPr>
          </w:p>
        </w:tc>
        <w:tc>
          <w:tcPr>
            <w:tcW w:w="880" w:type="dxa"/>
            <w:vAlign w:val="bottom"/>
            <w:vMerge w:val="restart"/>
            <w:shd w:val="clear" w:color="auto" w:fill="819F7C"/>
          </w:tcPr>
          <w:p>
            <w:pPr>
              <w:jc w:val="right"/>
              <w:ind w:right="97"/>
              <w:spacing w:after="0"/>
              <w:rPr>
                <w:sz w:val="20"/>
                <w:szCs w:val="20"/>
                <w:color w:val="auto"/>
              </w:rPr>
            </w:pPr>
            <w:r>
              <w:rPr>
                <w:rFonts w:ascii="Arial" w:cs="Arial" w:eastAsia="Arial" w:hAnsi="Arial"/>
                <w:sz w:val="13"/>
                <w:szCs w:val="13"/>
                <w:b w:val="1"/>
                <w:bCs w:val="1"/>
                <w:color w:val="FFFFFF"/>
              </w:rPr>
              <w:t>Threshold</w:t>
            </w:r>
          </w:p>
        </w:tc>
        <w:tc>
          <w:tcPr>
            <w:tcW w:w="620" w:type="dxa"/>
            <w:vAlign w:val="bottom"/>
            <w:vMerge w:val="restart"/>
            <w:shd w:val="clear" w:color="auto" w:fill="819F7C"/>
          </w:tcPr>
          <w:p>
            <w:pPr>
              <w:jc w:val="right"/>
              <w:ind w:right="97"/>
              <w:spacing w:after="0"/>
              <w:rPr>
                <w:sz w:val="20"/>
                <w:szCs w:val="20"/>
                <w:color w:val="auto"/>
              </w:rPr>
            </w:pPr>
            <w:r>
              <w:rPr>
                <w:rFonts w:ascii="Arial" w:cs="Arial" w:eastAsia="Arial" w:hAnsi="Arial"/>
                <w:sz w:val="13"/>
                <w:szCs w:val="13"/>
                <w:b w:val="1"/>
                <w:bCs w:val="1"/>
                <w:color w:val="FFFFFF"/>
              </w:rPr>
              <w:t>Target</w:t>
            </w:r>
          </w:p>
        </w:tc>
        <w:tc>
          <w:tcPr>
            <w:tcW w:w="740" w:type="dxa"/>
            <w:vAlign w:val="bottom"/>
            <w:vMerge w:val="restart"/>
            <w:shd w:val="clear" w:color="auto" w:fill="819F7C"/>
          </w:tcPr>
          <w:p>
            <w:pPr>
              <w:jc w:val="right"/>
              <w:ind w:right="18"/>
              <w:spacing w:after="0"/>
              <w:rPr>
                <w:sz w:val="20"/>
                <w:szCs w:val="20"/>
                <w:color w:val="auto"/>
              </w:rPr>
            </w:pPr>
            <w:r>
              <w:rPr>
                <w:rFonts w:ascii="Arial" w:cs="Arial" w:eastAsia="Arial" w:hAnsi="Arial"/>
                <w:sz w:val="13"/>
                <w:szCs w:val="13"/>
                <w:b w:val="1"/>
                <w:bCs w:val="1"/>
                <w:color w:val="FFFFFF"/>
              </w:rPr>
              <w:t>Maximum</w:t>
            </w:r>
          </w:p>
        </w:tc>
        <w:tc>
          <w:tcPr>
            <w:tcW w:w="60" w:type="dxa"/>
            <w:vAlign w:val="bottom"/>
            <w:shd w:val="clear" w:color="auto" w:fill="819F7C"/>
          </w:tcPr>
          <w:p>
            <w:pPr>
              <w:spacing w:after="0"/>
              <w:rPr>
                <w:sz w:val="11"/>
                <w:szCs w:val="11"/>
                <w:color w:val="auto"/>
              </w:rPr>
            </w:pPr>
          </w:p>
        </w:tc>
        <w:tc>
          <w:tcPr>
            <w:tcW w:w="780" w:type="dxa"/>
            <w:vAlign w:val="bottom"/>
            <w:shd w:val="clear" w:color="auto" w:fill="819F7C"/>
          </w:tcPr>
          <w:p>
            <w:pPr>
              <w:jc w:val="center"/>
              <w:spacing w:after="0" w:line="135" w:lineRule="exact"/>
              <w:rPr>
                <w:sz w:val="20"/>
                <w:szCs w:val="20"/>
                <w:color w:val="auto"/>
              </w:rPr>
            </w:pPr>
            <w:r>
              <w:rPr>
                <w:rFonts w:ascii="Arial" w:cs="Arial" w:eastAsia="Arial" w:hAnsi="Arial"/>
                <w:sz w:val="13"/>
                <w:szCs w:val="13"/>
                <w:b w:val="1"/>
                <w:bCs w:val="1"/>
                <w:color w:val="FFFFFF"/>
                <w:w w:val="96"/>
              </w:rPr>
              <w:t>Stock or</w:t>
            </w:r>
          </w:p>
        </w:tc>
        <w:tc>
          <w:tcPr>
            <w:tcW w:w="820" w:type="dxa"/>
            <w:vAlign w:val="bottom"/>
            <w:shd w:val="clear" w:color="auto" w:fill="819F7C"/>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c>
          <w:tcPr>
            <w:tcW w:w="0" w:type="dxa"/>
            <w:vAlign w:val="bottom"/>
          </w:tcPr>
          <w:p>
            <w:pPr>
              <w:spacing w:after="0"/>
              <w:rPr>
                <w:sz w:val="1"/>
                <w:szCs w:val="1"/>
                <w:color w:val="auto"/>
              </w:rPr>
            </w:pPr>
          </w:p>
        </w:tc>
      </w:tr>
      <w:tr>
        <w:trPr>
          <w:trHeight w:val="135"/>
        </w:trPr>
        <w:tc>
          <w:tcPr>
            <w:tcW w:w="40" w:type="dxa"/>
            <w:vAlign w:val="bottom"/>
            <w:shd w:val="clear" w:color="auto" w:fill="819F7C"/>
          </w:tcPr>
          <w:p>
            <w:pPr>
              <w:spacing w:after="0"/>
              <w:rPr>
                <w:sz w:val="11"/>
                <w:szCs w:val="11"/>
                <w:color w:val="auto"/>
              </w:rPr>
            </w:pPr>
          </w:p>
        </w:tc>
        <w:tc>
          <w:tcPr>
            <w:tcW w:w="800" w:type="dxa"/>
            <w:vAlign w:val="bottom"/>
            <w:vMerge w:val="restart"/>
            <w:shd w:val="clear" w:color="auto" w:fill="819F7C"/>
          </w:tcPr>
          <w:p>
            <w:pPr>
              <w:ind w:left="20"/>
              <w:spacing w:after="0"/>
              <w:rPr>
                <w:sz w:val="20"/>
                <w:szCs w:val="20"/>
                <w:color w:val="auto"/>
              </w:rPr>
            </w:pPr>
            <w:r>
              <w:rPr>
                <w:rFonts w:ascii="Arial" w:cs="Arial" w:eastAsia="Arial" w:hAnsi="Arial"/>
                <w:sz w:val="13"/>
                <w:szCs w:val="13"/>
                <w:b w:val="1"/>
                <w:bCs w:val="1"/>
                <w:color w:val="FFFFFF"/>
              </w:rPr>
              <w:t>Name</w:t>
            </w:r>
          </w:p>
        </w:tc>
        <w:tc>
          <w:tcPr>
            <w:tcW w:w="120" w:type="dxa"/>
            <w:vAlign w:val="bottom"/>
            <w:shd w:val="clear" w:color="auto" w:fill="819F7C"/>
          </w:tcPr>
          <w:p>
            <w:pPr>
              <w:spacing w:after="0"/>
              <w:rPr>
                <w:sz w:val="11"/>
                <w:szCs w:val="11"/>
                <w:color w:val="auto"/>
              </w:rPr>
            </w:pPr>
          </w:p>
        </w:tc>
        <w:tc>
          <w:tcPr>
            <w:tcW w:w="560" w:type="dxa"/>
            <w:vAlign w:val="bottom"/>
            <w:vMerge w:val="continue"/>
            <w:shd w:val="clear" w:color="auto" w:fill="819F7C"/>
          </w:tcPr>
          <w:p>
            <w:pPr>
              <w:spacing w:after="0"/>
              <w:rPr>
                <w:sz w:val="11"/>
                <w:szCs w:val="11"/>
                <w:color w:val="auto"/>
              </w:rPr>
            </w:pPr>
          </w:p>
        </w:tc>
        <w:tc>
          <w:tcPr>
            <w:tcW w:w="60" w:type="dxa"/>
            <w:vAlign w:val="bottom"/>
            <w:shd w:val="clear" w:color="auto" w:fill="819F7C"/>
          </w:tcPr>
          <w:p>
            <w:pPr>
              <w:spacing w:after="0"/>
              <w:rPr>
                <w:sz w:val="11"/>
                <w:szCs w:val="11"/>
                <w:color w:val="auto"/>
              </w:rPr>
            </w:pPr>
          </w:p>
        </w:tc>
        <w:tc>
          <w:tcPr>
            <w:tcW w:w="700" w:type="dxa"/>
            <w:vAlign w:val="bottom"/>
            <w:vMerge w:val="continue"/>
            <w:shd w:val="clear" w:color="auto" w:fill="819F7C"/>
          </w:tcPr>
          <w:p>
            <w:pPr>
              <w:spacing w:after="0"/>
              <w:rPr>
                <w:sz w:val="11"/>
                <w:szCs w:val="11"/>
                <w:color w:val="auto"/>
              </w:rPr>
            </w:pPr>
          </w:p>
        </w:tc>
        <w:tc>
          <w:tcPr>
            <w:tcW w:w="640" w:type="dxa"/>
            <w:vAlign w:val="bottom"/>
            <w:vMerge w:val="continue"/>
            <w:shd w:val="clear" w:color="auto" w:fill="819F7C"/>
          </w:tcPr>
          <w:p>
            <w:pPr>
              <w:spacing w:after="0"/>
              <w:rPr>
                <w:sz w:val="11"/>
                <w:szCs w:val="11"/>
                <w:color w:val="auto"/>
              </w:rPr>
            </w:pPr>
          </w:p>
        </w:tc>
        <w:tc>
          <w:tcPr>
            <w:tcW w:w="840" w:type="dxa"/>
            <w:vAlign w:val="bottom"/>
            <w:vMerge w:val="continue"/>
            <w:shd w:val="clear" w:color="auto" w:fill="819F7C"/>
          </w:tcPr>
          <w:p>
            <w:pPr>
              <w:spacing w:after="0"/>
              <w:rPr>
                <w:sz w:val="11"/>
                <w:szCs w:val="11"/>
                <w:color w:val="auto"/>
              </w:rPr>
            </w:pPr>
          </w:p>
        </w:tc>
        <w:tc>
          <w:tcPr>
            <w:tcW w:w="740" w:type="dxa"/>
            <w:vAlign w:val="bottom"/>
            <w:vMerge w:val="continue"/>
            <w:shd w:val="clear" w:color="auto" w:fill="819F7C"/>
          </w:tcPr>
          <w:p>
            <w:pPr>
              <w:spacing w:after="0"/>
              <w:rPr>
                <w:sz w:val="11"/>
                <w:szCs w:val="11"/>
                <w:color w:val="auto"/>
              </w:rPr>
            </w:pPr>
          </w:p>
        </w:tc>
        <w:tc>
          <w:tcPr>
            <w:tcW w:w="720" w:type="dxa"/>
            <w:vAlign w:val="bottom"/>
            <w:gridSpan w:val="2"/>
            <w:vMerge w:val="continue"/>
            <w:shd w:val="clear" w:color="auto" w:fill="819F7C"/>
          </w:tcPr>
          <w:p>
            <w:pPr>
              <w:spacing w:after="0"/>
              <w:rPr>
                <w:sz w:val="11"/>
                <w:szCs w:val="11"/>
                <w:color w:val="auto"/>
              </w:rPr>
            </w:pPr>
          </w:p>
        </w:tc>
        <w:tc>
          <w:tcPr>
            <w:tcW w:w="60" w:type="dxa"/>
            <w:vAlign w:val="bottom"/>
            <w:shd w:val="clear" w:color="auto" w:fill="819F7C"/>
          </w:tcPr>
          <w:p>
            <w:pPr>
              <w:spacing w:after="0"/>
              <w:rPr>
                <w:sz w:val="11"/>
                <w:szCs w:val="11"/>
                <w:color w:val="auto"/>
              </w:rPr>
            </w:pPr>
          </w:p>
        </w:tc>
        <w:tc>
          <w:tcPr>
            <w:tcW w:w="880" w:type="dxa"/>
            <w:vAlign w:val="bottom"/>
            <w:vMerge w:val="continue"/>
            <w:shd w:val="clear" w:color="auto" w:fill="819F7C"/>
          </w:tcPr>
          <w:p>
            <w:pPr>
              <w:spacing w:after="0"/>
              <w:rPr>
                <w:sz w:val="11"/>
                <w:szCs w:val="11"/>
                <w:color w:val="auto"/>
              </w:rPr>
            </w:pPr>
          </w:p>
        </w:tc>
        <w:tc>
          <w:tcPr>
            <w:tcW w:w="620" w:type="dxa"/>
            <w:vAlign w:val="bottom"/>
            <w:vMerge w:val="continue"/>
            <w:shd w:val="clear" w:color="auto" w:fill="819F7C"/>
          </w:tcPr>
          <w:p>
            <w:pPr>
              <w:spacing w:after="0"/>
              <w:rPr>
                <w:sz w:val="11"/>
                <w:szCs w:val="11"/>
                <w:color w:val="auto"/>
              </w:rPr>
            </w:pPr>
          </w:p>
        </w:tc>
        <w:tc>
          <w:tcPr>
            <w:tcW w:w="740" w:type="dxa"/>
            <w:vAlign w:val="bottom"/>
            <w:vMerge w:val="continue"/>
            <w:shd w:val="clear" w:color="auto" w:fill="819F7C"/>
          </w:tcPr>
          <w:p>
            <w:pPr>
              <w:spacing w:after="0"/>
              <w:rPr>
                <w:sz w:val="11"/>
                <w:szCs w:val="11"/>
                <w:color w:val="auto"/>
              </w:rPr>
            </w:pPr>
          </w:p>
        </w:tc>
        <w:tc>
          <w:tcPr>
            <w:tcW w:w="60" w:type="dxa"/>
            <w:vAlign w:val="bottom"/>
            <w:shd w:val="clear" w:color="auto" w:fill="819F7C"/>
          </w:tcPr>
          <w:p>
            <w:pPr>
              <w:spacing w:after="0"/>
              <w:rPr>
                <w:sz w:val="11"/>
                <w:szCs w:val="11"/>
                <w:color w:val="auto"/>
              </w:rPr>
            </w:pPr>
          </w:p>
        </w:tc>
        <w:tc>
          <w:tcPr>
            <w:tcW w:w="780" w:type="dxa"/>
            <w:vAlign w:val="bottom"/>
            <w:shd w:val="clear" w:color="auto" w:fill="819F7C"/>
          </w:tcPr>
          <w:p>
            <w:pPr>
              <w:jc w:val="center"/>
              <w:spacing w:after="0" w:line="135" w:lineRule="exact"/>
              <w:rPr>
                <w:sz w:val="20"/>
                <w:szCs w:val="20"/>
                <w:color w:val="auto"/>
              </w:rPr>
            </w:pPr>
            <w:r>
              <w:rPr>
                <w:rFonts w:ascii="Arial" w:cs="Arial" w:eastAsia="Arial" w:hAnsi="Arial"/>
                <w:sz w:val="13"/>
                <w:szCs w:val="13"/>
                <w:b w:val="1"/>
                <w:bCs w:val="1"/>
                <w:color w:val="FFFFFF"/>
                <w:w w:val="92"/>
              </w:rPr>
              <w:t>Units</w:t>
            </w:r>
          </w:p>
        </w:tc>
        <w:tc>
          <w:tcPr>
            <w:tcW w:w="820" w:type="dxa"/>
            <w:vAlign w:val="bottom"/>
            <w:shd w:val="clear" w:color="auto" w:fill="819F7C"/>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216"/>
        </w:trPr>
        <w:tc>
          <w:tcPr>
            <w:tcW w:w="40" w:type="dxa"/>
            <w:vAlign w:val="bottom"/>
            <w:shd w:val="clear" w:color="auto" w:fill="819F7C"/>
          </w:tcPr>
          <w:p>
            <w:pPr>
              <w:spacing w:after="0"/>
              <w:rPr>
                <w:sz w:val="18"/>
                <w:szCs w:val="18"/>
                <w:color w:val="auto"/>
              </w:rPr>
            </w:pPr>
          </w:p>
        </w:tc>
        <w:tc>
          <w:tcPr>
            <w:tcW w:w="800" w:type="dxa"/>
            <w:vAlign w:val="bottom"/>
            <w:vMerge w:val="continue"/>
            <w:shd w:val="clear" w:color="auto" w:fill="819F7C"/>
          </w:tcPr>
          <w:p>
            <w:pPr>
              <w:spacing w:after="0"/>
              <w:rPr>
                <w:sz w:val="18"/>
                <w:szCs w:val="18"/>
                <w:color w:val="auto"/>
              </w:rPr>
            </w:pPr>
          </w:p>
        </w:tc>
        <w:tc>
          <w:tcPr>
            <w:tcW w:w="120" w:type="dxa"/>
            <w:vAlign w:val="bottom"/>
            <w:shd w:val="clear" w:color="auto" w:fill="819F7C"/>
          </w:tcPr>
          <w:p>
            <w:pPr>
              <w:spacing w:after="0"/>
              <w:rPr>
                <w:sz w:val="18"/>
                <w:szCs w:val="18"/>
                <w:color w:val="auto"/>
              </w:rPr>
            </w:pPr>
          </w:p>
        </w:tc>
        <w:tc>
          <w:tcPr>
            <w:tcW w:w="560" w:type="dxa"/>
            <w:vAlign w:val="bottom"/>
            <w:shd w:val="clear" w:color="auto" w:fill="819F7C"/>
          </w:tcPr>
          <w:p>
            <w:pPr>
              <w:jc w:val="right"/>
              <w:ind w:right="77"/>
              <w:spacing w:after="0"/>
              <w:rPr>
                <w:sz w:val="20"/>
                <w:szCs w:val="20"/>
                <w:color w:val="auto"/>
              </w:rPr>
            </w:pPr>
            <w:r>
              <w:rPr>
                <w:rFonts w:ascii="Arial" w:cs="Arial" w:eastAsia="Arial" w:hAnsi="Arial"/>
                <w:sz w:val="13"/>
                <w:szCs w:val="13"/>
                <w:b w:val="1"/>
                <w:bCs w:val="1"/>
                <w:color w:val="FFFFFF"/>
              </w:rPr>
              <w:t>Date</w:t>
            </w:r>
          </w:p>
        </w:tc>
        <w:tc>
          <w:tcPr>
            <w:tcW w:w="60" w:type="dxa"/>
            <w:vAlign w:val="bottom"/>
            <w:shd w:val="clear" w:color="auto" w:fill="819F7C"/>
          </w:tcPr>
          <w:p>
            <w:pPr>
              <w:spacing w:after="0"/>
              <w:rPr>
                <w:sz w:val="18"/>
                <w:szCs w:val="18"/>
                <w:color w:val="auto"/>
              </w:rPr>
            </w:pPr>
          </w:p>
        </w:tc>
        <w:tc>
          <w:tcPr>
            <w:tcW w:w="700" w:type="dxa"/>
            <w:vAlign w:val="bottom"/>
            <w:shd w:val="clear" w:color="auto" w:fill="819F7C"/>
          </w:tcPr>
          <w:p>
            <w:pPr>
              <w:jc w:val="right"/>
              <w:ind w:right="137"/>
              <w:spacing w:after="0"/>
              <w:rPr>
                <w:sz w:val="20"/>
                <w:szCs w:val="20"/>
                <w:color w:val="auto"/>
              </w:rPr>
            </w:pPr>
            <w:r>
              <w:rPr>
                <w:rFonts w:ascii="Arial" w:cs="Arial" w:eastAsia="Arial" w:hAnsi="Arial"/>
                <w:sz w:val="13"/>
                <w:szCs w:val="13"/>
                <w:b w:val="1"/>
                <w:bCs w:val="1"/>
                <w:color w:val="FFFFFF"/>
              </w:rPr>
              <w:t>Date</w:t>
            </w:r>
          </w:p>
        </w:tc>
        <w:tc>
          <w:tcPr>
            <w:tcW w:w="640" w:type="dxa"/>
            <w:vAlign w:val="bottom"/>
            <w:shd w:val="clear" w:color="auto" w:fill="819F7C"/>
          </w:tcPr>
          <w:p>
            <w:pPr>
              <w:jc w:val="center"/>
              <w:spacing w:after="0"/>
              <w:rPr>
                <w:sz w:val="20"/>
                <w:szCs w:val="20"/>
                <w:color w:val="auto"/>
              </w:rPr>
            </w:pPr>
            <w:r>
              <w:rPr>
                <w:rFonts w:ascii="Arial" w:cs="Arial" w:eastAsia="Arial" w:hAnsi="Arial"/>
                <w:sz w:val="13"/>
                <w:szCs w:val="13"/>
                <w:b w:val="1"/>
                <w:bCs w:val="1"/>
                <w:color w:val="FFFFFF"/>
                <w:w w:val="95"/>
              </w:rPr>
              <w:t>Award</w:t>
            </w:r>
          </w:p>
        </w:tc>
        <w:tc>
          <w:tcPr>
            <w:tcW w:w="840" w:type="dxa"/>
            <w:vAlign w:val="bottom"/>
            <w:shd w:val="clear" w:color="auto" w:fill="819F7C"/>
          </w:tcPr>
          <w:p>
            <w:pPr>
              <w:jc w:val="right"/>
              <w:ind w:right="297"/>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819F7C"/>
          </w:tcPr>
          <w:p>
            <w:pPr>
              <w:jc w:val="right"/>
              <w:ind w:right="237"/>
              <w:spacing w:after="0"/>
              <w:rPr>
                <w:sz w:val="20"/>
                <w:szCs w:val="20"/>
                <w:color w:val="auto"/>
              </w:rPr>
            </w:pPr>
            <w:r>
              <w:rPr>
                <w:rFonts w:ascii="Arial" w:cs="Arial" w:eastAsia="Arial" w:hAnsi="Arial"/>
                <w:sz w:val="13"/>
                <w:szCs w:val="13"/>
                <w:b w:val="1"/>
                <w:bCs w:val="1"/>
                <w:color w:val="FFFFFF"/>
              </w:rPr>
              <w:t>($)</w:t>
            </w:r>
          </w:p>
        </w:tc>
        <w:tc>
          <w:tcPr>
            <w:tcW w:w="560" w:type="dxa"/>
            <w:vAlign w:val="bottom"/>
            <w:shd w:val="clear" w:color="auto" w:fill="819F7C"/>
          </w:tcPr>
          <w:p>
            <w:pPr>
              <w:jc w:val="right"/>
              <w:ind w:right="1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819F7C"/>
          </w:tcPr>
          <w:p>
            <w:pPr>
              <w:spacing w:after="0"/>
              <w:rPr>
                <w:sz w:val="18"/>
                <w:szCs w:val="18"/>
                <w:color w:val="auto"/>
              </w:rPr>
            </w:pPr>
          </w:p>
        </w:tc>
        <w:tc>
          <w:tcPr>
            <w:tcW w:w="60" w:type="dxa"/>
            <w:vAlign w:val="bottom"/>
            <w:shd w:val="clear" w:color="auto" w:fill="819F7C"/>
          </w:tcPr>
          <w:p>
            <w:pPr>
              <w:spacing w:after="0"/>
              <w:rPr>
                <w:sz w:val="18"/>
                <w:szCs w:val="18"/>
                <w:color w:val="auto"/>
              </w:rPr>
            </w:pPr>
          </w:p>
        </w:tc>
        <w:tc>
          <w:tcPr>
            <w:tcW w:w="880" w:type="dxa"/>
            <w:vAlign w:val="bottom"/>
            <w:shd w:val="clear" w:color="auto" w:fill="819F7C"/>
          </w:tcPr>
          <w:p>
            <w:pPr>
              <w:jc w:val="right"/>
              <w:ind w:right="317"/>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819F7C"/>
          </w:tcPr>
          <w:p>
            <w:pPr>
              <w:jc w:val="right"/>
              <w:ind w:right="197"/>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819F7C"/>
          </w:tcPr>
          <w:p>
            <w:pPr>
              <w:jc w:val="right"/>
              <w:ind w:right="218"/>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819F7C"/>
          </w:tcPr>
          <w:p>
            <w:pPr>
              <w:spacing w:after="0"/>
              <w:rPr>
                <w:sz w:val="18"/>
                <w:szCs w:val="18"/>
                <w:color w:val="auto"/>
              </w:rPr>
            </w:pPr>
          </w:p>
        </w:tc>
        <w:tc>
          <w:tcPr>
            <w:tcW w:w="780" w:type="dxa"/>
            <w:vAlign w:val="bottom"/>
            <w:shd w:val="clear" w:color="auto" w:fill="819F7C"/>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819F7C"/>
          </w:tcPr>
          <w:p>
            <w:pPr>
              <w:jc w:val="center"/>
              <w:spacing w:after="0" w:line="216" w:lineRule="exact"/>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(3)</w:t>
            </w:r>
          </w:p>
        </w:tc>
        <w:tc>
          <w:tcPr>
            <w:tcW w:w="0" w:type="dxa"/>
            <w:vAlign w:val="bottom"/>
          </w:tcPr>
          <w:p>
            <w:pPr>
              <w:spacing w:after="0"/>
              <w:rPr>
                <w:sz w:val="1"/>
                <w:szCs w:val="1"/>
                <w:color w:val="auto"/>
              </w:rPr>
            </w:pPr>
          </w:p>
        </w:tc>
      </w:tr>
      <w:tr>
        <w:trPr>
          <w:trHeight w:val="158"/>
        </w:trPr>
        <w:tc>
          <w:tcPr>
            <w:tcW w:w="40" w:type="dxa"/>
            <w:vAlign w:val="bottom"/>
            <w:shd w:val="clear" w:color="auto" w:fill="E5E9E3"/>
          </w:tcPr>
          <w:p>
            <w:pPr>
              <w:spacing w:after="0"/>
              <w:rPr>
                <w:sz w:val="13"/>
                <w:szCs w:val="13"/>
                <w:color w:val="auto"/>
              </w:rPr>
            </w:pPr>
          </w:p>
        </w:tc>
        <w:tc>
          <w:tcPr>
            <w:tcW w:w="800" w:type="dxa"/>
            <w:vAlign w:val="bottom"/>
            <w:shd w:val="clear" w:color="auto" w:fill="E5E9E3"/>
          </w:tcPr>
          <w:p>
            <w:pPr>
              <w:ind w:left="20"/>
              <w:spacing w:after="0"/>
              <w:rPr>
                <w:sz w:val="20"/>
                <w:szCs w:val="20"/>
                <w:color w:val="auto"/>
              </w:rPr>
            </w:pPr>
            <w:r>
              <w:rPr>
                <w:rFonts w:ascii="Arial" w:cs="Arial" w:eastAsia="Arial" w:hAnsi="Arial"/>
                <w:sz w:val="13"/>
                <w:szCs w:val="13"/>
                <w:color w:val="auto"/>
              </w:rPr>
              <w:t>Seamus</w:t>
            </w:r>
          </w:p>
        </w:tc>
        <w:tc>
          <w:tcPr>
            <w:tcW w:w="120" w:type="dxa"/>
            <w:vAlign w:val="bottom"/>
            <w:shd w:val="clear" w:color="auto" w:fill="E5E9E3"/>
          </w:tcPr>
          <w:p>
            <w:pPr>
              <w:spacing w:after="0"/>
              <w:rPr>
                <w:sz w:val="13"/>
                <w:szCs w:val="13"/>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E5E9E3"/>
          </w:tcPr>
          <w:p>
            <w:pPr>
              <w:spacing w:after="0"/>
              <w:rPr>
                <w:sz w:val="13"/>
                <w:szCs w:val="13"/>
                <w:color w:val="auto"/>
              </w:rPr>
            </w:pPr>
          </w:p>
        </w:tc>
        <w:tc>
          <w:tcPr>
            <w:tcW w:w="70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6"/>
              </w:rPr>
              <w:t>FY24</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162,500</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1,625,000</w:t>
            </w:r>
          </w:p>
        </w:tc>
        <w:tc>
          <w:tcPr>
            <w:tcW w:w="720" w:type="dxa"/>
            <w:vAlign w:val="bottom"/>
            <w:gridSpan w:val="2"/>
            <w:shd w:val="clear" w:color="auto" w:fill="E5E9E3"/>
          </w:tcPr>
          <w:p>
            <w:pPr>
              <w:jc w:val="right"/>
              <w:spacing w:after="0"/>
              <w:rPr>
                <w:sz w:val="20"/>
                <w:szCs w:val="20"/>
                <w:color w:val="auto"/>
              </w:rPr>
            </w:pPr>
            <w:r>
              <w:rPr>
                <w:rFonts w:ascii="Arial" w:cs="Arial" w:eastAsia="Arial" w:hAnsi="Arial"/>
                <w:sz w:val="13"/>
                <w:szCs w:val="13"/>
                <w:color w:val="auto"/>
              </w:rPr>
              <w:t>1,950,000</w:t>
            </w:r>
          </w:p>
        </w:tc>
        <w:tc>
          <w:tcPr>
            <w:tcW w:w="60" w:type="dxa"/>
            <w:vAlign w:val="bottom"/>
            <w:shd w:val="clear" w:color="auto" w:fill="E5E9E3"/>
          </w:tcPr>
          <w:p>
            <w:pPr>
              <w:spacing w:after="0"/>
              <w:rPr>
                <w:sz w:val="13"/>
                <w:szCs w:val="13"/>
                <w:color w:val="auto"/>
              </w:rPr>
            </w:pPr>
          </w:p>
        </w:tc>
        <w:tc>
          <w:tcPr>
            <w:tcW w:w="88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9E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 w:type="dxa"/>
            <w:vAlign w:val="bottom"/>
            <w:shd w:val="clear" w:color="auto" w:fill="E5E9E3"/>
          </w:tcPr>
          <w:p>
            <w:pPr>
              <w:spacing w:after="0"/>
              <w:rPr>
                <w:sz w:val="11"/>
                <w:szCs w:val="11"/>
                <w:color w:val="auto"/>
              </w:rPr>
            </w:pPr>
          </w:p>
        </w:tc>
        <w:tc>
          <w:tcPr>
            <w:tcW w:w="800" w:type="dxa"/>
            <w:vAlign w:val="bottom"/>
            <w:shd w:val="clear" w:color="auto" w:fill="E5E9E3"/>
          </w:tcPr>
          <w:p>
            <w:pPr>
              <w:ind w:left="20"/>
              <w:spacing w:after="0" w:line="135" w:lineRule="exact"/>
              <w:rPr>
                <w:sz w:val="20"/>
                <w:szCs w:val="20"/>
                <w:color w:val="auto"/>
              </w:rPr>
            </w:pPr>
            <w:r>
              <w:rPr>
                <w:rFonts w:ascii="Arial" w:cs="Arial" w:eastAsia="Arial" w:hAnsi="Arial"/>
                <w:sz w:val="13"/>
                <w:szCs w:val="13"/>
                <w:color w:val="auto"/>
              </w:rPr>
              <w:t>Grady</w:t>
            </w:r>
          </w:p>
        </w:tc>
        <w:tc>
          <w:tcPr>
            <w:tcW w:w="120" w:type="dxa"/>
            <w:vAlign w:val="bottom"/>
            <w:shd w:val="clear" w:color="auto" w:fill="E5E9E3"/>
          </w:tcPr>
          <w:p>
            <w:pPr>
              <w:spacing w:after="0"/>
              <w:rPr>
                <w:sz w:val="11"/>
                <w:szCs w:val="11"/>
                <w:color w:val="auto"/>
              </w:rPr>
            </w:pPr>
          </w:p>
        </w:tc>
        <w:tc>
          <w:tcPr>
            <w:tcW w:w="560" w:type="dxa"/>
            <w:vAlign w:val="bottom"/>
            <w:shd w:val="clear" w:color="auto" w:fill="E5E9E3"/>
          </w:tcPr>
          <w:p>
            <w:pPr>
              <w:spacing w:after="0"/>
              <w:rPr>
                <w:sz w:val="11"/>
                <w:szCs w:val="11"/>
                <w:color w:val="auto"/>
              </w:rPr>
            </w:pPr>
          </w:p>
        </w:tc>
        <w:tc>
          <w:tcPr>
            <w:tcW w:w="60" w:type="dxa"/>
            <w:vAlign w:val="bottom"/>
            <w:shd w:val="clear" w:color="auto" w:fill="E5E9E3"/>
          </w:tcPr>
          <w:p>
            <w:pPr>
              <w:spacing w:after="0"/>
              <w:rPr>
                <w:sz w:val="11"/>
                <w:szCs w:val="11"/>
                <w:color w:val="auto"/>
              </w:rPr>
            </w:pPr>
          </w:p>
        </w:tc>
        <w:tc>
          <w:tcPr>
            <w:tcW w:w="700" w:type="dxa"/>
            <w:vAlign w:val="bottom"/>
            <w:shd w:val="clear" w:color="auto" w:fill="E5E9E3"/>
          </w:tcPr>
          <w:p>
            <w:pPr>
              <w:spacing w:after="0"/>
              <w:rPr>
                <w:sz w:val="11"/>
                <w:szCs w:val="11"/>
                <w:color w:val="auto"/>
              </w:rPr>
            </w:pPr>
          </w:p>
        </w:tc>
        <w:tc>
          <w:tcPr>
            <w:tcW w:w="640" w:type="dxa"/>
            <w:vAlign w:val="bottom"/>
            <w:shd w:val="clear" w:color="auto" w:fill="E5E9E3"/>
          </w:tcPr>
          <w:p>
            <w:pPr>
              <w:jc w:val="center"/>
              <w:spacing w:after="0" w:line="135" w:lineRule="exact"/>
              <w:rPr>
                <w:sz w:val="20"/>
                <w:szCs w:val="20"/>
                <w:color w:val="auto"/>
              </w:rPr>
            </w:pPr>
            <w:r>
              <w:rPr>
                <w:rFonts w:ascii="Arial" w:cs="Arial" w:eastAsia="Arial" w:hAnsi="Arial"/>
                <w:sz w:val="13"/>
                <w:szCs w:val="13"/>
                <w:color w:val="auto"/>
                <w:w w:val="92"/>
              </w:rPr>
              <w:t>Bonus</w:t>
            </w:r>
          </w:p>
        </w:tc>
        <w:tc>
          <w:tcPr>
            <w:tcW w:w="840" w:type="dxa"/>
            <w:vAlign w:val="bottom"/>
            <w:shd w:val="clear" w:color="auto" w:fill="E5E9E3"/>
          </w:tcPr>
          <w:p>
            <w:pPr>
              <w:spacing w:after="0"/>
              <w:rPr>
                <w:sz w:val="11"/>
                <w:szCs w:val="11"/>
                <w:color w:val="auto"/>
              </w:rPr>
            </w:pPr>
          </w:p>
        </w:tc>
        <w:tc>
          <w:tcPr>
            <w:tcW w:w="740" w:type="dxa"/>
            <w:vAlign w:val="bottom"/>
            <w:shd w:val="clear" w:color="auto" w:fill="E5E9E3"/>
          </w:tcPr>
          <w:p>
            <w:pPr>
              <w:spacing w:after="0"/>
              <w:rPr>
                <w:sz w:val="11"/>
                <w:szCs w:val="11"/>
                <w:color w:val="auto"/>
              </w:rPr>
            </w:pPr>
          </w:p>
        </w:tc>
        <w:tc>
          <w:tcPr>
            <w:tcW w:w="560" w:type="dxa"/>
            <w:vAlign w:val="bottom"/>
            <w:shd w:val="clear" w:color="auto" w:fill="E5E9E3"/>
          </w:tcPr>
          <w:p>
            <w:pPr>
              <w:spacing w:after="0"/>
              <w:rPr>
                <w:sz w:val="11"/>
                <w:szCs w:val="11"/>
                <w:color w:val="auto"/>
              </w:rPr>
            </w:pPr>
          </w:p>
        </w:tc>
        <w:tc>
          <w:tcPr>
            <w:tcW w:w="160" w:type="dxa"/>
            <w:vAlign w:val="bottom"/>
            <w:shd w:val="clear" w:color="auto" w:fill="E5E9E3"/>
          </w:tcPr>
          <w:p>
            <w:pPr>
              <w:spacing w:after="0"/>
              <w:rPr>
                <w:sz w:val="11"/>
                <w:szCs w:val="11"/>
                <w:color w:val="auto"/>
              </w:rPr>
            </w:pPr>
          </w:p>
        </w:tc>
        <w:tc>
          <w:tcPr>
            <w:tcW w:w="60" w:type="dxa"/>
            <w:vAlign w:val="bottom"/>
            <w:shd w:val="clear" w:color="auto" w:fill="E5E9E3"/>
          </w:tcPr>
          <w:p>
            <w:pPr>
              <w:spacing w:after="0"/>
              <w:rPr>
                <w:sz w:val="11"/>
                <w:szCs w:val="11"/>
                <w:color w:val="auto"/>
              </w:rPr>
            </w:pPr>
          </w:p>
        </w:tc>
        <w:tc>
          <w:tcPr>
            <w:tcW w:w="880" w:type="dxa"/>
            <w:vAlign w:val="bottom"/>
            <w:shd w:val="clear" w:color="auto" w:fill="E5E9E3"/>
          </w:tcPr>
          <w:p>
            <w:pPr>
              <w:spacing w:after="0"/>
              <w:rPr>
                <w:sz w:val="11"/>
                <w:szCs w:val="11"/>
                <w:color w:val="auto"/>
              </w:rPr>
            </w:pPr>
          </w:p>
        </w:tc>
        <w:tc>
          <w:tcPr>
            <w:tcW w:w="620" w:type="dxa"/>
            <w:vAlign w:val="bottom"/>
            <w:shd w:val="clear" w:color="auto" w:fill="E5E9E3"/>
          </w:tcPr>
          <w:p>
            <w:pPr>
              <w:spacing w:after="0"/>
              <w:rPr>
                <w:sz w:val="11"/>
                <w:szCs w:val="11"/>
                <w:color w:val="auto"/>
              </w:rPr>
            </w:pPr>
          </w:p>
        </w:tc>
        <w:tc>
          <w:tcPr>
            <w:tcW w:w="740" w:type="dxa"/>
            <w:vAlign w:val="bottom"/>
            <w:shd w:val="clear" w:color="auto" w:fill="E5E9E3"/>
          </w:tcPr>
          <w:p>
            <w:pPr>
              <w:spacing w:after="0"/>
              <w:rPr>
                <w:sz w:val="11"/>
                <w:szCs w:val="11"/>
                <w:color w:val="auto"/>
              </w:rPr>
            </w:pPr>
          </w:p>
        </w:tc>
        <w:tc>
          <w:tcPr>
            <w:tcW w:w="60" w:type="dxa"/>
            <w:vAlign w:val="bottom"/>
            <w:shd w:val="clear" w:color="auto" w:fill="E5E9E3"/>
          </w:tcPr>
          <w:p>
            <w:pPr>
              <w:spacing w:after="0"/>
              <w:rPr>
                <w:sz w:val="11"/>
                <w:szCs w:val="11"/>
                <w:color w:val="auto"/>
              </w:rPr>
            </w:pPr>
          </w:p>
        </w:tc>
        <w:tc>
          <w:tcPr>
            <w:tcW w:w="780" w:type="dxa"/>
            <w:vAlign w:val="bottom"/>
            <w:shd w:val="clear" w:color="auto" w:fill="E5E9E3"/>
          </w:tcPr>
          <w:p>
            <w:pPr>
              <w:spacing w:after="0"/>
              <w:rPr>
                <w:sz w:val="11"/>
                <w:szCs w:val="11"/>
                <w:color w:val="auto"/>
              </w:rPr>
            </w:pPr>
          </w:p>
        </w:tc>
        <w:tc>
          <w:tcPr>
            <w:tcW w:w="820" w:type="dxa"/>
            <w:vAlign w:val="bottom"/>
            <w:shd w:val="clear" w:color="auto" w:fill="E5E9E3"/>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 w:type="dxa"/>
            <w:vAlign w:val="bottom"/>
            <w:shd w:val="clear" w:color="auto" w:fill="E5E9E3"/>
          </w:tcPr>
          <w:p>
            <w:pPr>
              <w:spacing w:after="0"/>
              <w:rPr>
                <w:sz w:val="14"/>
                <w:szCs w:val="14"/>
                <w:color w:val="auto"/>
              </w:rPr>
            </w:pPr>
          </w:p>
        </w:tc>
        <w:tc>
          <w:tcPr>
            <w:tcW w:w="800" w:type="dxa"/>
            <w:vAlign w:val="bottom"/>
            <w:shd w:val="clear" w:color="auto" w:fill="E5E9E3"/>
          </w:tcPr>
          <w:p>
            <w:pPr>
              <w:spacing w:after="0"/>
              <w:rPr>
                <w:sz w:val="14"/>
                <w:szCs w:val="14"/>
                <w:color w:val="auto"/>
              </w:rPr>
            </w:pPr>
          </w:p>
        </w:tc>
        <w:tc>
          <w:tcPr>
            <w:tcW w:w="120" w:type="dxa"/>
            <w:vAlign w:val="bottom"/>
            <w:shd w:val="clear" w:color="auto" w:fill="E5E9E3"/>
          </w:tcPr>
          <w:p>
            <w:pPr>
              <w:spacing w:after="0"/>
              <w:rPr>
                <w:sz w:val="14"/>
                <w:szCs w:val="14"/>
                <w:color w:val="auto"/>
              </w:rPr>
            </w:pPr>
          </w:p>
        </w:tc>
        <w:tc>
          <w:tcPr>
            <w:tcW w:w="560" w:type="dxa"/>
            <w:vAlign w:val="bottom"/>
            <w:shd w:val="clear" w:color="auto" w:fill="E5E9E3"/>
          </w:tcPr>
          <w:p>
            <w:pPr>
              <w:spacing w:after="0"/>
              <w:rPr>
                <w:sz w:val="14"/>
                <w:szCs w:val="14"/>
                <w:color w:val="auto"/>
              </w:rPr>
            </w:pPr>
          </w:p>
        </w:tc>
        <w:tc>
          <w:tcPr>
            <w:tcW w:w="60" w:type="dxa"/>
            <w:vAlign w:val="bottom"/>
            <w:shd w:val="clear" w:color="auto" w:fill="E5E9E3"/>
          </w:tcPr>
          <w:p>
            <w:pPr>
              <w:spacing w:after="0"/>
              <w:rPr>
                <w:sz w:val="14"/>
                <w:szCs w:val="14"/>
                <w:color w:val="auto"/>
              </w:rPr>
            </w:pPr>
          </w:p>
        </w:tc>
        <w:tc>
          <w:tcPr>
            <w:tcW w:w="700" w:type="dxa"/>
            <w:vAlign w:val="bottom"/>
            <w:shd w:val="clear" w:color="auto" w:fill="E5E9E3"/>
          </w:tcPr>
          <w:p>
            <w:pPr>
              <w:spacing w:after="0"/>
              <w:rPr>
                <w:sz w:val="14"/>
                <w:szCs w:val="14"/>
                <w:color w:val="auto"/>
              </w:rPr>
            </w:pP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9"/>
              </w:rPr>
              <w:t>Plan</w:t>
            </w:r>
          </w:p>
        </w:tc>
        <w:tc>
          <w:tcPr>
            <w:tcW w:w="840" w:type="dxa"/>
            <w:vAlign w:val="bottom"/>
            <w:shd w:val="clear" w:color="auto" w:fill="E5E9E3"/>
          </w:tcPr>
          <w:p>
            <w:pPr>
              <w:spacing w:after="0"/>
              <w:rPr>
                <w:sz w:val="14"/>
                <w:szCs w:val="14"/>
                <w:color w:val="auto"/>
              </w:rPr>
            </w:pPr>
          </w:p>
        </w:tc>
        <w:tc>
          <w:tcPr>
            <w:tcW w:w="740" w:type="dxa"/>
            <w:vAlign w:val="bottom"/>
            <w:shd w:val="clear" w:color="auto" w:fill="E5E9E3"/>
          </w:tcPr>
          <w:p>
            <w:pPr>
              <w:spacing w:after="0"/>
              <w:rPr>
                <w:sz w:val="14"/>
                <w:szCs w:val="14"/>
                <w:color w:val="auto"/>
              </w:rPr>
            </w:pPr>
          </w:p>
        </w:tc>
        <w:tc>
          <w:tcPr>
            <w:tcW w:w="560" w:type="dxa"/>
            <w:vAlign w:val="bottom"/>
            <w:shd w:val="clear" w:color="auto" w:fill="E5E9E3"/>
          </w:tcPr>
          <w:p>
            <w:pPr>
              <w:spacing w:after="0"/>
              <w:rPr>
                <w:sz w:val="14"/>
                <w:szCs w:val="14"/>
                <w:color w:val="auto"/>
              </w:rPr>
            </w:pPr>
          </w:p>
        </w:tc>
        <w:tc>
          <w:tcPr>
            <w:tcW w:w="160" w:type="dxa"/>
            <w:vAlign w:val="bottom"/>
            <w:shd w:val="clear" w:color="auto" w:fill="E5E9E3"/>
          </w:tcPr>
          <w:p>
            <w:pPr>
              <w:spacing w:after="0"/>
              <w:rPr>
                <w:sz w:val="14"/>
                <w:szCs w:val="14"/>
                <w:color w:val="auto"/>
              </w:rPr>
            </w:pPr>
          </w:p>
        </w:tc>
        <w:tc>
          <w:tcPr>
            <w:tcW w:w="60" w:type="dxa"/>
            <w:vAlign w:val="bottom"/>
            <w:shd w:val="clear" w:color="auto" w:fill="E5E9E3"/>
          </w:tcPr>
          <w:p>
            <w:pPr>
              <w:spacing w:after="0"/>
              <w:rPr>
                <w:sz w:val="14"/>
                <w:szCs w:val="14"/>
                <w:color w:val="auto"/>
              </w:rPr>
            </w:pPr>
          </w:p>
        </w:tc>
        <w:tc>
          <w:tcPr>
            <w:tcW w:w="880" w:type="dxa"/>
            <w:vAlign w:val="bottom"/>
            <w:shd w:val="clear" w:color="auto" w:fill="E5E9E3"/>
          </w:tcPr>
          <w:p>
            <w:pPr>
              <w:spacing w:after="0"/>
              <w:rPr>
                <w:sz w:val="14"/>
                <w:szCs w:val="14"/>
                <w:color w:val="auto"/>
              </w:rPr>
            </w:pPr>
          </w:p>
        </w:tc>
        <w:tc>
          <w:tcPr>
            <w:tcW w:w="620" w:type="dxa"/>
            <w:vAlign w:val="bottom"/>
            <w:shd w:val="clear" w:color="auto" w:fill="E5E9E3"/>
          </w:tcPr>
          <w:p>
            <w:pPr>
              <w:spacing w:after="0"/>
              <w:rPr>
                <w:sz w:val="14"/>
                <w:szCs w:val="14"/>
                <w:color w:val="auto"/>
              </w:rPr>
            </w:pPr>
          </w:p>
        </w:tc>
        <w:tc>
          <w:tcPr>
            <w:tcW w:w="740" w:type="dxa"/>
            <w:vAlign w:val="bottom"/>
            <w:shd w:val="clear" w:color="auto" w:fill="E5E9E3"/>
          </w:tcPr>
          <w:p>
            <w:pPr>
              <w:spacing w:after="0"/>
              <w:rPr>
                <w:sz w:val="14"/>
                <w:szCs w:val="14"/>
                <w:color w:val="auto"/>
              </w:rPr>
            </w:pPr>
          </w:p>
        </w:tc>
        <w:tc>
          <w:tcPr>
            <w:tcW w:w="60" w:type="dxa"/>
            <w:vAlign w:val="bottom"/>
            <w:shd w:val="clear" w:color="auto" w:fill="E5E9E3"/>
          </w:tcPr>
          <w:p>
            <w:pPr>
              <w:spacing w:after="0"/>
              <w:rPr>
                <w:sz w:val="14"/>
                <w:szCs w:val="14"/>
                <w:color w:val="auto"/>
              </w:rPr>
            </w:pPr>
          </w:p>
        </w:tc>
        <w:tc>
          <w:tcPr>
            <w:tcW w:w="780" w:type="dxa"/>
            <w:vAlign w:val="bottom"/>
            <w:shd w:val="clear" w:color="auto" w:fill="E5E9E3"/>
          </w:tcPr>
          <w:p>
            <w:pPr>
              <w:spacing w:after="0"/>
              <w:rPr>
                <w:sz w:val="14"/>
                <w:szCs w:val="14"/>
                <w:color w:val="auto"/>
              </w:rPr>
            </w:pPr>
          </w:p>
        </w:tc>
        <w:tc>
          <w:tcPr>
            <w:tcW w:w="820" w:type="dxa"/>
            <w:vAlign w:val="bottom"/>
            <w:shd w:val="clear" w:color="auto" w:fill="E5E9E3"/>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E5E9E3"/>
          </w:tcPr>
          <w:p>
            <w:pPr>
              <w:spacing w:after="0"/>
              <w:rPr>
                <w:sz w:val="24"/>
                <w:szCs w:val="24"/>
                <w:color w:val="auto"/>
              </w:rPr>
            </w:pPr>
          </w:p>
        </w:tc>
        <w:tc>
          <w:tcPr>
            <w:tcW w:w="800" w:type="dxa"/>
            <w:vAlign w:val="bottom"/>
            <w:shd w:val="clear" w:color="auto" w:fill="E5E9E3"/>
          </w:tcPr>
          <w:p>
            <w:pPr>
              <w:spacing w:after="0"/>
              <w:rPr>
                <w:sz w:val="24"/>
                <w:szCs w:val="24"/>
                <w:color w:val="auto"/>
              </w:rPr>
            </w:pPr>
          </w:p>
        </w:tc>
        <w:tc>
          <w:tcPr>
            <w:tcW w:w="120" w:type="dxa"/>
            <w:vAlign w:val="bottom"/>
            <w:shd w:val="clear" w:color="auto" w:fill="E5E9E3"/>
          </w:tcPr>
          <w:p>
            <w:pPr>
              <w:spacing w:after="0"/>
              <w:rPr>
                <w:sz w:val="24"/>
                <w:szCs w:val="24"/>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w w:val="93"/>
              </w:rPr>
              <w:t>8/24/2023</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1"/>
              </w:rPr>
              <w:t>RSU</w:t>
            </w:r>
            <w:r>
              <w:rPr>
                <w:rFonts w:ascii="Arial" w:cs="Arial" w:eastAsia="Arial" w:hAnsi="Arial"/>
                <w:sz w:val="20"/>
                <w:szCs w:val="20"/>
                <w:color w:val="auto"/>
                <w:w w:val="91"/>
                <w:vertAlign w:val="superscript"/>
              </w:rPr>
              <w:t>(4)</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5E9E3"/>
          </w:tcPr>
          <w:p>
            <w:pPr>
              <w:spacing w:after="0"/>
              <w:rPr>
                <w:sz w:val="24"/>
                <w:szCs w:val="24"/>
                <w:color w:val="auto"/>
              </w:rPr>
            </w:pPr>
          </w:p>
        </w:tc>
        <w:tc>
          <w:tcPr>
            <w:tcW w:w="1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E5E9E3"/>
          </w:tcPr>
          <w:p>
            <w:pPr>
              <w:spacing w:after="0"/>
              <w:rPr>
                <w:sz w:val="24"/>
                <w:szCs w:val="24"/>
                <w:color w:val="auto"/>
              </w:rPr>
            </w:pPr>
          </w:p>
        </w:tc>
        <w:tc>
          <w:tcPr>
            <w:tcW w:w="88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9E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16,361</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2,599,927</w:t>
            </w:r>
          </w:p>
        </w:tc>
        <w:tc>
          <w:tcPr>
            <w:tcW w:w="0" w:type="dxa"/>
            <w:vAlign w:val="bottom"/>
          </w:tcPr>
          <w:p>
            <w:pPr>
              <w:spacing w:after="0"/>
              <w:rPr>
                <w:sz w:val="1"/>
                <w:szCs w:val="1"/>
                <w:color w:val="auto"/>
              </w:rPr>
            </w:pPr>
          </w:p>
        </w:tc>
      </w:tr>
      <w:tr>
        <w:trPr>
          <w:trHeight w:val="270"/>
        </w:trPr>
        <w:tc>
          <w:tcPr>
            <w:tcW w:w="40" w:type="dxa"/>
            <w:vAlign w:val="bottom"/>
            <w:shd w:val="clear" w:color="auto" w:fill="E5E9E3"/>
          </w:tcPr>
          <w:p>
            <w:pPr>
              <w:spacing w:after="0"/>
              <w:rPr>
                <w:sz w:val="23"/>
                <w:szCs w:val="23"/>
                <w:color w:val="auto"/>
              </w:rPr>
            </w:pPr>
          </w:p>
        </w:tc>
        <w:tc>
          <w:tcPr>
            <w:tcW w:w="800" w:type="dxa"/>
            <w:vAlign w:val="bottom"/>
            <w:shd w:val="clear" w:color="auto" w:fill="E5E9E3"/>
          </w:tcPr>
          <w:p>
            <w:pPr>
              <w:spacing w:after="0"/>
              <w:rPr>
                <w:sz w:val="23"/>
                <w:szCs w:val="23"/>
                <w:color w:val="auto"/>
              </w:rPr>
            </w:pPr>
          </w:p>
        </w:tc>
        <w:tc>
          <w:tcPr>
            <w:tcW w:w="120" w:type="dxa"/>
            <w:vAlign w:val="bottom"/>
            <w:shd w:val="clear" w:color="auto" w:fill="E5E9E3"/>
          </w:tcPr>
          <w:p>
            <w:pPr>
              <w:spacing w:after="0"/>
              <w:rPr>
                <w:sz w:val="23"/>
                <w:szCs w:val="23"/>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w w:val="93"/>
              </w:rPr>
              <w:t>8/24/2023</w:t>
            </w:r>
          </w:p>
        </w:tc>
        <w:tc>
          <w:tcPr>
            <w:tcW w:w="60" w:type="dxa"/>
            <w:vAlign w:val="bottom"/>
            <w:shd w:val="clear" w:color="auto" w:fill="E5E9E3"/>
          </w:tcPr>
          <w:p>
            <w:pPr>
              <w:spacing w:after="0"/>
              <w:rPr>
                <w:sz w:val="23"/>
                <w:szCs w:val="23"/>
                <w:color w:val="auto"/>
              </w:rPr>
            </w:pPr>
          </w:p>
        </w:tc>
        <w:tc>
          <w:tcPr>
            <w:tcW w:w="700" w:type="dxa"/>
            <w:vAlign w:val="bottom"/>
            <w:shd w:val="clear" w:color="auto" w:fill="E5E9E3"/>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88"/>
              </w:rPr>
              <w:t>PSU</w:t>
            </w:r>
            <w:r>
              <w:rPr>
                <w:rFonts w:ascii="Arial" w:cs="Arial" w:eastAsia="Arial" w:hAnsi="Arial"/>
                <w:sz w:val="20"/>
                <w:szCs w:val="20"/>
                <w:color w:val="auto"/>
                <w:w w:val="88"/>
                <w:vertAlign w:val="superscript"/>
              </w:rPr>
              <w:t>(4)</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5E9E3"/>
          </w:tcPr>
          <w:p>
            <w:pPr>
              <w:spacing w:after="0"/>
              <w:rPr>
                <w:sz w:val="23"/>
                <w:szCs w:val="23"/>
                <w:color w:val="auto"/>
              </w:rPr>
            </w:pPr>
          </w:p>
        </w:tc>
        <w:tc>
          <w:tcPr>
            <w:tcW w:w="1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E9E3"/>
          </w:tcPr>
          <w:p>
            <w:pPr>
              <w:jc w:val="right"/>
              <w:ind w:right="37"/>
              <w:spacing w:after="0"/>
              <w:rPr>
                <w:sz w:val="20"/>
                <w:szCs w:val="20"/>
                <w:color w:val="auto"/>
              </w:rPr>
            </w:pPr>
            <w:r>
              <w:rPr>
                <w:rFonts w:ascii="Arial" w:cs="Arial" w:eastAsia="Arial" w:hAnsi="Arial"/>
                <w:sz w:val="13"/>
                <w:szCs w:val="13"/>
                <w:color w:val="auto"/>
              </w:rPr>
              <w:t>1,636</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16,361</w:t>
            </w:r>
          </w:p>
        </w:tc>
        <w:tc>
          <w:tcPr>
            <w:tcW w:w="740" w:type="dxa"/>
            <w:vAlign w:val="bottom"/>
            <w:shd w:val="clear" w:color="auto" w:fill="E5E9E3"/>
          </w:tcPr>
          <w:p>
            <w:pPr>
              <w:jc w:val="right"/>
              <w:spacing w:after="0"/>
              <w:rPr>
                <w:sz w:val="20"/>
                <w:szCs w:val="20"/>
                <w:color w:val="auto"/>
              </w:rPr>
            </w:pPr>
            <w:r>
              <w:rPr>
                <w:rFonts w:ascii="Arial" w:cs="Arial" w:eastAsia="Arial" w:hAnsi="Arial"/>
                <w:sz w:val="13"/>
                <w:szCs w:val="13"/>
                <w:color w:val="auto"/>
              </w:rPr>
              <w:t>16,361</w:t>
            </w:r>
          </w:p>
        </w:tc>
        <w:tc>
          <w:tcPr>
            <w:tcW w:w="60" w:type="dxa"/>
            <w:vAlign w:val="bottom"/>
            <w:shd w:val="clear" w:color="auto" w:fill="E5E9E3"/>
          </w:tcPr>
          <w:p>
            <w:pPr>
              <w:spacing w:after="0"/>
              <w:rPr>
                <w:sz w:val="23"/>
                <w:szCs w:val="23"/>
                <w:color w:val="auto"/>
              </w:rPr>
            </w:pP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2,599,927</w:t>
            </w:r>
          </w:p>
        </w:tc>
        <w:tc>
          <w:tcPr>
            <w:tcW w:w="0" w:type="dxa"/>
            <w:vAlign w:val="bottom"/>
          </w:tcPr>
          <w:p>
            <w:pPr>
              <w:spacing w:after="0"/>
              <w:rPr>
                <w:sz w:val="1"/>
                <w:szCs w:val="1"/>
                <w:color w:val="auto"/>
              </w:rPr>
            </w:pPr>
          </w:p>
        </w:tc>
      </w:tr>
      <w:tr>
        <w:trPr>
          <w:trHeight w:val="165"/>
        </w:trPr>
        <w:tc>
          <w:tcPr>
            <w:tcW w:w="40" w:type="dxa"/>
            <w:vAlign w:val="bottom"/>
            <w:shd w:val="clear" w:color="auto" w:fill="E5E9E3"/>
          </w:tcPr>
          <w:p>
            <w:pPr>
              <w:spacing w:after="0"/>
              <w:rPr>
                <w:sz w:val="14"/>
                <w:szCs w:val="14"/>
                <w:color w:val="auto"/>
              </w:rPr>
            </w:pPr>
          </w:p>
        </w:tc>
        <w:tc>
          <w:tcPr>
            <w:tcW w:w="800" w:type="dxa"/>
            <w:vAlign w:val="bottom"/>
            <w:shd w:val="clear" w:color="auto" w:fill="E5E9E3"/>
          </w:tcPr>
          <w:p>
            <w:pPr>
              <w:spacing w:after="0"/>
              <w:rPr>
                <w:sz w:val="14"/>
                <w:szCs w:val="14"/>
                <w:color w:val="auto"/>
              </w:rPr>
            </w:pPr>
          </w:p>
        </w:tc>
        <w:tc>
          <w:tcPr>
            <w:tcW w:w="120" w:type="dxa"/>
            <w:vAlign w:val="bottom"/>
            <w:shd w:val="clear" w:color="auto" w:fill="E5E9E3"/>
          </w:tcPr>
          <w:p>
            <w:pPr>
              <w:spacing w:after="0"/>
              <w:rPr>
                <w:sz w:val="14"/>
                <w:szCs w:val="14"/>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w w:val="93"/>
              </w:rPr>
              <w:t>8/24/2023</w:t>
            </w:r>
          </w:p>
        </w:tc>
        <w:tc>
          <w:tcPr>
            <w:tcW w:w="60" w:type="dxa"/>
            <w:vAlign w:val="bottom"/>
            <w:shd w:val="clear" w:color="auto" w:fill="E5E9E3"/>
          </w:tcPr>
          <w:p>
            <w:pPr>
              <w:spacing w:after="0"/>
              <w:rPr>
                <w:sz w:val="14"/>
                <w:szCs w:val="14"/>
                <w:color w:val="auto"/>
              </w:rPr>
            </w:pPr>
          </w:p>
        </w:tc>
        <w:tc>
          <w:tcPr>
            <w:tcW w:w="700" w:type="dxa"/>
            <w:vAlign w:val="bottom"/>
            <w:shd w:val="clear" w:color="auto" w:fill="E5E9E3"/>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6"/>
              </w:rPr>
              <w:t>“Stretch”</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5E9E3"/>
          </w:tcPr>
          <w:p>
            <w:pPr>
              <w:spacing w:after="0"/>
              <w:rPr>
                <w:sz w:val="14"/>
                <w:szCs w:val="14"/>
                <w:color w:val="auto"/>
              </w:rPr>
            </w:pPr>
          </w:p>
        </w:tc>
        <w:tc>
          <w:tcPr>
            <w:tcW w:w="1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E5E9E3"/>
          </w:tcPr>
          <w:p>
            <w:pPr>
              <w:spacing w:after="0"/>
              <w:rPr>
                <w:sz w:val="14"/>
                <w:szCs w:val="14"/>
                <w:color w:val="auto"/>
              </w:rPr>
            </w:pPr>
          </w:p>
        </w:tc>
        <w:tc>
          <w:tcPr>
            <w:tcW w:w="88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16,361</w:t>
            </w:r>
          </w:p>
        </w:tc>
        <w:tc>
          <w:tcPr>
            <w:tcW w:w="740" w:type="dxa"/>
            <w:vAlign w:val="bottom"/>
            <w:shd w:val="clear" w:color="auto" w:fill="E5E9E3"/>
          </w:tcPr>
          <w:p>
            <w:pPr>
              <w:jc w:val="right"/>
              <w:spacing w:after="0"/>
              <w:rPr>
                <w:sz w:val="20"/>
                <w:szCs w:val="20"/>
                <w:color w:val="auto"/>
              </w:rPr>
            </w:pPr>
            <w:r>
              <w:rPr>
                <w:rFonts w:ascii="Arial" w:cs="Arial" w:eastAsia="Arial" w:hAnsi="Arial"/>
                <w:sz w:val="13"/>
                <w:szCs w:val="13"/>
                <w:color w:val="auto"/>
              </w:rPr>
              <w:t>16,361</w:t>
            </w:r>
          </w:p>
        </w:tc>
        <w:tc>
          <w:tcPr>
            <w:tcW w:w="60" w:type="dxa"/>
            <w:vAlign w:val="bottom"/>
            <w:shd w:val="clear" w:color="auto" w:fill="E5E9E3"/>
          </w:tcPr>
          <w:p>
            <w:pPr>
              <w:spacing w:after="0"/>
              <w:rPr>
                <w:sz w:val="14"/>
                <w:szCs w:val="14"/>
                <w:color w:val="auto"/>
              </w:rPr>
            </w:pP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2,599,927</w:t>
            </w:r>
          </w:p>
        </w:tc>
        <w:tc>
          <w:tcPr>
            <w:tcW w:w="0" w:type="dxa"/>
            <w:vAlign w:val="bottom"/>
          </w:tcPr>
          <w:p>
            <w:pPr>
              <w:spacing w:after="0"/>
              <w:rPr>
                <w:sz w:val="1"/>
                <w:szCs w:val="1"/>
                <w:color w:val="auto"/>
              </w:rPr>
            </w:pPr>
          </w:p>
        </w:tc>
      </w:tr>
      <w:tr>
        <w:trPr>
          <w:trHeight w:val="240"/>
        </w:trPr>
        <w:tc>
          <w:tcPr>
            <w:tcW w:w="40" w:type="dxa"/>
            <w:vAlign w:val="bottom"/>
            <w:shd w:val="clear" w:color="auto" w:fill="E5E9E3"/>
          </w:tcPr>
          <w:p>
            <w:pPr>
              <w:spacing w:after="0"/>
              <w:rPr>
                <w:sz w:val="20"/>
                <w:szCs w:val="20"/>
                <w:color w:val="auto"/>
              </w:rPr>
            </w:pPr>
          </w:p>
        </w:tc>
        <w:tc>
          <w:tcPr>
            <w:tcW w:w="800" w:type="dxa"/>
            <w:vAlign w:val="bottom"/>
            <w:shd w:val="clear" w:color="auto" w:fill="E5E9E3"/>
          </w:tcPr>
          <w:p>
            <w:pPr>
              <w:spacing w:after="0"/>
              <w:rPr>
                <w:sz w:val="20"/>
                <w:szCs w:val="20"/>
                <w:color w:val="auto"/>
              </w:rPr>
            </w:pPr>
          </w:p>
        </w:tc>
        <w:tc>
          <w:tcPr>
            <w:tcW w:w="120" w:type="dxa"/>
            <w:vAlign w:val="bottom"/>
            <w:shd w:val="clear" w:color="auto" w:fill="E5E9E3"/>
          </w:tcPr>
          <w:p>
            <w:pPr>
              <w:spacing w:after="0"/>
              <w:rPr>
                <w:sz w:val="20"/>
                <w:szCs w:val="20"/>
                <w:color w:val="auto"/>
              </w:rPr>
            </w:pPr>
          </w:p>
        </w:tc>
        <w:tc>
          <w:tcPr>
            <w:tcW w:w="560" w:type="dxa"/>
            <w:vAlign w:val="bottom"/>
            <w:shd w:val="clear" w:color="auto" w:fill="E5E9E3"/>
          </w:tcPr>
          <w:p>
            <w:pPr>
              <w:spacing w:after="0"/>
              <w:rPr>
                <w:sz w:val="20"/>
                <w:szCs w:val="20"/>
                <w:color w:val="auto"/>
              </w:rPr>
            </w:pPr>
          </w:p>
        </w:tc>
        <w:tc>
          <w:tcPr>
            <w:tcW w:w="60" w:type="dxa"/>
            <w:vAlign w:val="bottom"/>
            <w:shd w:val="clear" w:color="auto" w:fill="E5E9E3"/>
          </w:tcPr>
          <w:p>
            <w:pPr>
              <w:spacing w:after="0"/>
              <w:rPr>
                <w:sz w:val="20"/>
                <w:szCs w:val="20"/>
                <w:color w:val="auto"/>
              </w:rPr>
            </w:pPr>
          </w:p>
        </w:tc>
        <w:tc>
          <w:tcPr>
            <w:tcW w:w="700" w:type="dxa"/>
            <w:vAlign w:val="bottom"/>
            <w:shd w:val="clear" w:color="auto" w:fill="E5E9E3"/>
          </w:tcPr>
          <w:p>
            <w:pPr>
              <w:spacing w:after="0"/>
              <w:rPr>
                <w:sz w:val="20"/>
                <w:szCs w:val="20"/>
                <w:color w:val="auto"/>
              </w:rPr>
            </w:pP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88"/>
              </w:rPr>
              <w:t>PSU</w:t>
            </w:r>
            <w:r>
              <w:rPr>
                <w:rFonts w:ascii="Arial" w:cs="Arial" w:eastAsia="Arial" w:hAnsi="Arial"/>
                <w:sz w:val="20"/>
                <w:szCs w:val="20"/>
                <w:color w:val="auto"/>
                <w:w w:val="88"/>
                <w:vertAlign w:val="superscript"/>
              </w:rPr>
              <w:t>(4)</w:t>
            </w:r>
          </w:p>
        </w:tc>
        <w:tc>
          <w:tcPr>
            <w:tcW w:w="840" w:type="dxa"/>
            <w:vAlign w:val="bottom"/>
            <w:shd w:val="clear" w:color="auto" w:fill="E5E9E3"/>
          </w:tcPr>
          <w:p>
            <w:pPr>
              <w:spacing w:after="0"/>
              <w:rPr>
                <w:sz w:val="20"/>
                <w:szCs w:val="20"/>
                <w:color w:val="auto"/>
              </w:rPr>
            </w:pPr>
          </w:p>
        </w:tc>
        <w:tc>
          <w:tcPr>
            <w:tcW w:w="740" w:type="dxa"/>
            <w:vAlign w:val="bottom"/>
            <w:shd w:val="clear" w:color="auto" w:fill="E5E9E3"/>
          </w:tcPr>
          <w:p>
            <w:pPr>
              <w:spacing w:after="0"/>
              <w:rPr>
                <w:sz w:val="20"/>
                <w:szCs w:val="20"/>
                <w:color w:val="auto"/>
              </w:rPr>
            </w:pPr>
          </w:p>
        </w:tc>
        <w:tc>
          <w:tcPr>
            <w:tcW w:w="560" w:type="dxa"/>
            <w:vAlign w:val="bottom"/>
            <w:shd w:val="clear" w:color="auto" w:fill="E5E9E3"/>
          </w:tcPr>
          <w:p>
            <w:pPr>
              <w:spacing w:after="0"/>
              <w:rPr>
                <w:sz w:val="20"/>
                <w:szCs w:val="20"/>
                <w:color w:val="auto"/>
              </w:rPr>
            </w:pPr>
          </w:p>
        </w:tc>
        <w:tc>
          <w:tcPr>
            <w:tcW w:w="160" w:type="dxa"/>
            <w:vAlign w:val="bottom"/>
            <w:shd w:val="clear" w:color="auto" w:fill="E5E9E3"/>
          </w:tcPr>
          <w:p>
            <w:pPr>
              <w:spacing w:after="0"/>
              <w:rPr>
                <w:sz w:val="20"/>
                <w:szCs w:val="20"/>
                <w:color w:val="auto"/>
              </w:rPr>
            </w:pPr>
          </w:p>
        </w:tc>
        <w:tc>
          <w:tcPr>
            <w:tcW w:w="60" w:type="dxa"/>
            <w:vAlign w:val="bottom"/>
            <w:shd w:val="clear" w:color="auto" w:fill="E5E9E3"/>
          </w:tcPr>
          <w:p>
            <w:pPr>
              <w:spacing w:after="0"/>
              <w:rPr>
                <w:sz w:val="20"/>
                <w:szCs w:val="20"/>
                <w:color w:val="auto"/>
              </w:rPr>
            </w:pPr>
          </w:p>
        </w:tc>
        <w:tc>
          <w:tcPr>
            <w:tcW w:w="880" w:type="dxa"/>
            <w:vAlign w:val="bottom"/>
            <w:shd w:val="clear" w:color="auto" w:fill="E5E9E3"/>
          </w:tcPr>
          <w:p>
            <w:pPr>
              <w:spacing w:after="0"/>
              <w:rPr>
                <w:sz w:val="20"/>
                <w:szCs w:val="20"/>
                <w:color w:val="auto"/>
              </w:rPr>
            </w:pPr>
          </w:p>
        </w:tc>
        <w:tc>
          <w:tcPr>
            <w:tcW w:w="620" w:type="dxa"/>
            <w:vAlign w:val="bottom"/>
            <w:shd w:val="clear" w:color="auto" w:fill="E5E9E3"/>
          </w:tcPr>
          <w:p>
            <w:pPr>
              <w:spacing w:after="0"/>
              <w:rPr>
                <w:sz w:val="20"/>
                <w:szCs w:val="20"/>
                <w:color w:val="auto"/>
              </w:rPr>
            </w:pPr>
          </w:p>
        </w:tc>
        <w:tc>
          <w:tcPr>
            <w:tcW w:w="740" w:type="dxa"/>
            <w:vAlign w:val="bottom"/>
            <w:shd w:val="clear" w:color="auto" w:fill="E5E9E3"/>
          </w:tcPr>
          <w:p>
            <w:pPr>
              <w:spacing w:after="0"/>
              <w:rPr>
                <w:sz w:val="20"/>
                <w:szCs w:val="20"/>
                <w:color w:val="auto"/>
              </w:rPr>
            </w:pPr>
          </w:p>
        </w:tc>
        <w:tc>
          <w:tcPr>
            <w:tcW w:w="60" w:type="dxa"/>
            <w:vAlign w:val="bottom"/>
            <w:shd w:val="clear" w:color="auto" w:fill="E5E9E3"/>
          </w:tcPr>
          <w:p>
            <w:pPr>
              <w:spacing w:after="0"/>
              <w:rPr>
                <w:sz w:val="20"/>
                <w:szCs w:val="20"/>
                <w:color w:val="auto"/>
              </w:rPr>
            </w:pPr>
          </w:p>
        </w:tc>
        <w:tc>
          <w:tcPr>
            <w:tcW w:w="780" w:type="dxa"/>
            <w:vAlign w:val="bottom"/>
            <w:shd w:val="clear" w:color="auto" w:fill="E5E9E3"/>
          </w:tcPr>
          <w:p>
            <w:pPr>
              <w:spacing w:after="0"/>
              <w:rPr>
                <w:sz w:val="20"/>
                <w:szCs w:val="20"/>
                <w:color w:val="auto"/>
              </w:rPr>
            </w:pPr>
          </w:p>
        </w:tc>
        <w:tc>
          <w:tcPr>
            <w:tcW w:w="820" w:type="dxa"/>
            <w:vAlign w:val="bottom"/>
            <w:shd w:val="clear" w:color="auto" w:fill="E5E9E3"/>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Dr. Harpal</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FY24</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137,800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1,378,000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1,653,600</w:t>
            </w:r>
          </w:p>
        </w:tc>
        <w:tc>
          <w:tcPr>
            <w:tcW w:w="6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3"/>
                <w:szCs w:val="13"/>
                <w:color w:val="auto"/>
              </w:rPr>
              <w:t>Gill</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Bonus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Plan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8/24/2023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tcPr>
          <w:p>
            <w:pPr>
              <w:jc w:val="center"/>
              <w:spacing w:after="0"/>
              <w:rPr>
                <w:sz w:val="20"/>
                <w:szCs w:val="20"/>
                <w:color w:val="auto"/>
              </w:rPr>
            </w:pPr>
            <w:r>
              <w:rPr>
                <w:rFonts w:ascii="Arial" w:cs="Arial" w:eastAsia="Arial" w:hAnsi="Arial"/>
                <w:sz w:val="25"/>
                <w:szCs w:val="25"/>
                <w:color w:val="auto"/>
                <w:w w:val="84"/>
                <w:vertAlign w:val="subscript"/>
              </w:rPr>
              <w:t>RSU</w:t>
            </w:r>
            <w:r>
              <w:rPr>
                <w:rFonts w:ascii="Arial" w:cs="Arial" w:eastAsia="Arial" w:hAnsi="Arial"/>
                <w:sz w:val="10"/>
                <w:szCs w:val="10"/>
                <w:color w:val="auto"/>
                <w:w w:val="84"/>
              </w:rPr>
              <w:t>(4)</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10,225</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1,624,855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8/24/2023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tcPr>
          <w:p>
            <w:pPr>
              <w:jc w:val="center"/>
              <w:spacing w:after="0" w:line="270" w:lineRule="exact"/>
              <w:rPr>
                <w:sz w:val="20"/>
                <w:szCs w:val="20"/>
                <w:color w:val="auto"/>
              </w:rPr>
            </w:pPr>
            <w:r>
              <w:rPr>
                <w:rFonts w:ascii="Arial" w:cs="Arial" w:eastAsia="Arial" w:hAnsi="Arial"/>
                <w:sz w:val="25"/>
                <w:szCs w:val="25"/>
                <w:color w:val="auto"/>
                <w:w w:val="81"/>
                <w:vertAlign w:val="subscript"/>
              </w:rPr>
              <w:t>PSU</w:t>
            </w:r>
            <w:r>
              <w:rPr>
                <w:rFonts w:ascii="Arial" w:cs="Arial" w:eastAsia="Arial" w:hAnsi="Arial"/>
                <w:sz w:val="10"/>
                <w:szCs w:val="10"/>
                <w:color w:val="auto"/>
                <w:w w:val="81"/>
              </w:rPr>
              <w:t>(4)</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7"/>
              <w:spacing w:after="0"/>
              <w:rPr>
                <w:sz w:val="20"/>
                <w:szCs w:val="20"/>
                <w:color w:val="auto"/>
              </w:rPr>
            </w:pPr>
            <w:r>
              <w:rPr>
                <w:rFonts w:ascii="Arial" w:cs="Arial" w:eastAsia="Arial" w:hAnsi="Arial"/>
                <w:sz w:val="13"/>
                <w:szCs w:val="13"/>
                <w:color w:val="auto"/>
              </w:rPr>
              <w:t>1,023</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10,225</w:t>
            </w:r>
          </w:p>
        </w:tc>
        <w:tc>
          <w:tcPr>
            <w:tcW w:w="740" w:type="dxa"/>
            <w:vAlign w:val="bottom"/>
          </w:tcPr>
          <w:p>
            <w:pPr>
              <w:jc w:val="right"/>
              <w:spacing w:after="0"/>
              <w:rPr>
                <w:sz w:val="20"/>
                <w:szCs w:val="20"/>
                <w:color w:val="auto"/>
              </w:rPr>
            </w:pPr>
            <w:r>
              <w:rPr>
                <w:rFonts w:ascii="Arial" w:cs="Arial" w:eastAsia="Arial" w:hAnsi="Arial"/>
                <w:sz w:val="13"/>
                <w:szCs w:val="13"/>
                <w:color w:val="auto"/>
              </w:rPr>
              <w:t>10,225</w:t>
            </w:r>
          </w:p>
        </w:tc>
        <w:tc>
          <w:tcPr>
            <w:tcW w:w="6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1,624,855</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8/24/2023</w:t>
            </w:r>
          </w:p>
        </w:tc>
        <w:tc>
          <w:tcPr>
            <w:tcW w:w="7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8/15/2023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auto"/>
                <w:w w:val="96"/>
              </w:rPr>
              <w:t>“Stretch”</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8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line="143" w:lineRule="exact"/>
              <w:rPr>
                <w:sz w:val="20"/>
                <w:szCs w:val="20"/>
                <w:color w:val="auto"/>
              </w:rPr>
            </w:pPr>
            <w:r>
              <w:rPr>
                <w:rFonts w:ascii="Arial" w:cs="Arial" w:eastAsia="Arial" w:hAnsi="Arial"/>
                <w:sz w:val="13"/>
                <w:szCs w:val="13"/>
                <w:color w:val="auto"/>
              </w:rPr>
              <w:t>10,225</w:t>
            </w: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10,225</w:t>
            </w:r>
          </w:p>
        </w:tc>
        <w:tc>
          <w:tcPr>
            <w:tcW w:w="60" w:type="dxa"/>
            <w:vAlign w:val="bottom"/>
          </w:tcPr>
          <w:p>
            <w:pPr>
              <w:spacing w:after="0"/>
              <w:rPr>
                <w:sz w:val="12"/>
                <w:szCs w:val="12"/>
                <w:color w:val="auto"/>
              </w:rPr>
            </w:pPr>
          </w:p>
        </w:tc>
        <w:tc>
          <w:tcPr>
            <w:tcW w:w="7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1,624,855</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jc w:val="center"/>
              <w:spacing w:after="0" w:line="240" w:lineRule="exact"/>
              <w:rPr>
                <w:sz w:val="20"/>
                <w:szCs w:val="20"/>
                <w:color w:val="auto"/>
              </w:rPr>
            </w:pPr>
            <w:r>
              <w:rPr>
                <w:rFonts w:ascii="Arial" w:cs="Arial" w:eastAsia="Arial" w:hAnsi="Arial"/>
                <w:sz w:val="25"/>
                <w:szCs w:val="25"/>
                <w:color w:val="auto"/>
                <w:w w:val="81"/>
                <w:vertAlign w:val="subscript"/>
              </w:rPr>
              <w:t>PSU</w:t>
            </w:r>
            <w:r>
              <w:rPr>
                <w:rFonts w:ascii="Arial" w:cs="Arial" w:eastAsia="Arial" w:hAnsi="Arial"/>
                <w:sz w:val="10"/>
                <w:szCs w:val="10"/>
                <w:color w:val="auto"/>
                <w:w w:val="81"/>
              </w:rPr>
              <w:t>(4)</w:t>
            </w: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E5E9E3"/>
          </w:tcPr>
          <w:p>
            <w:pPr>
              <w:spacing w:after="0"/>
              <w:rPr>
                <w:sz w:val="13"/>
                <w:szCs w:val="13"/>
                <w:color w:val="auto"/>
              </w:rPr>
            </w:pPr>
          </w:p>
        </w:tc>
        <w:tc>
          <w:tcPr>
            <w:tcW w:w="800" w:type="dxa"/>
            <w:vAlign w:val="bottom"/>
            <w:shd w:val="clear" w:color="auto" w:fill="E5E9E3"/>
          </w:tcPr>
          <w:p>
            <w:pPr>
              <w:ind w:left="20"/>
              <w:spacing w:after="0"/>
              <w:rPr>
                <w:sz w:val="20"/>
                <w:szCs w:val="20"/>
                <w:color w:val="auto"/>
              </w:rPr>
            </w:pPr>
            <w:r>
              <w:rPr>
                <w:rFonts w:ascii="Arial" w:cs="Arial" w:eastAsia="Arial" w:hAnsi="Arial"/>
                <w:sz w:val="13"/>
                <w:szCs w:val="13"/>
                <w:color w:val="auto"/>
              </w:rPr>
              <w:t>Csaba</w:t>
            </w:r>
          </w:p>
        </w:tc>
        <w:tc>
          <w:tcPr>
            <w:tcW w:w="120" w:type="dxa"/>
            <w:vAlign w:val="bottom"/>
            <w:shd w:val="clear" w:color="auto" w:fill="E5E9E3"/>
          </w:tcPr>
          <w:p>
            <w:pPr>
              <w:spacing w:after="0"/>
              <w:rPr>
                <w:sz w:val="13"/>
                <w:szCs w:val="13"/>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E5E9E3"/>
          </w:tcPr>
          <w:p>
            <w:pPr>
              <w:spacing w:after="0"/>
              <w:rPr>
                <w:sz w:val="13"/>
                <w:szCs w:val="13"/>
                <w:color w:val="auto"/>
              </w:rPr>
            </w:pPr>
          </w:p>
        </w:tc>
        <w:tc>
          <w:tcPr>
            <w:tcW w:w="70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6"/>
              </w:rPr>
              <w:t>FY24</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50,150</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501,500</w:t>
            </w:r>
          </w:p>
        </w:tc>
        <w:tc>
          <w:tcPr>
            <w:tcW w:w="720" w:type="dxa"/>
            <w:vAlign w:val="bottom"/>
            <w:gridSpan w:val="2"/>
            <w:shd w:val="clear" w:color="auto" w:fill="E5E9E3"/>
          </w:tcPr>
          <w:p>
            <w:pPr>
              <w:jc w:val="right"/>
              <w:spacing w:after="0"/>
              <w:rPr>
                <w:sz w:val="20"/>
                <w:szCs w:val="20"/>
                <w:color w:val="auto"/>
              </w:rPr>
            </w:pPr>
            <w:r>
              <w:rPr>
                <w:rFonts w:ascii="Arial" w:cs="Arial" w:eastAsia="Arial" w:hAnsi="Arial"/>
                <w:sz w:val="13"/>
                <w:szCs w:val="13"/>
                <w:color w:val="auto"/>
              </w:rPr>
              <w:t>601,800</w:t>
            </w:r>
          </w:p>
        </w:tc>
        <w:tc>
          <w:tcPr>
            <w:tcW w:w="60" w:type="dxa"/>
            <w:vAlign w:val="bottom"/>
            <w:shd w:val="clear" w:color="auto" w:fill="E5E9E3"/>
          </w:tcPr>
          <w:p>
            <w:pPr>
              <w:spacing w:after="0"/>
              <w:rPr>
                <w:sz w:val="13"/>
                <w:szCs w:val="13"/>
                <w:color w:val="auto"/>
              </w:rPr>
            </w:pPr>
          </w:p>
        </w:tc>
        <w:tc>
          <w:tcPr>
            <w:tcW w:w="88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9E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 w:type="dxa"/>
            <w:vAlign w:val="bottom"/>
            <w:shd w:val="clear" w:color="auto" w:fill="E5E9E3"/>
          </w:tcPr>
          <w:p>
            <w:pPr>
              <w:spacing w:after="0"/>
              <w:rPr>
                <w:sz w:val="11"/>
                <w:szCs w:val="11"/>
                <w:color w:val="auto"/>
              </w:rPr>
            </w:pPr>
          </w:p>
        </w:tc>
        <w:tc>
          <w:tcPr>
            <w:tcW w:w="800" w:type="dxa"/>
            <w:vAlign w:val="bottom"/>
            <w:shd w:val="clear" w:color="auto" w:fill="E5E9E3"/>
          </w:tcPr>
          <w:p>
            <w:pPr>
              <w:ind w:left="20"/>
              <w:spacing w:after="0" w:line="135" w:lineRule="exact"/>
              <w:rPr>
                <w:sz w:val="20"/>
                <w:szCs w:val="20"/>
                <w:color w:val="auto"/>
              </w:rPr>
            </w:pPr>
            <w:r>
              <w:rPr>
                <w:rFonts w:ascii="Arial" w:cs="Arial" w:eastAsia="Arial" w:hAnsi="Arial"/>
                <w:sz w:val="13"/>
                <w:szCs w:val="13"/>
                <w:color w:val="auto"/>
              </w:rPr>
              <w:t>Sverha</w:t>
            </w:r>
          </w:p>
        </w:tc>
        <w:tc>
          <w:tcPr>
            <w:tcW w:w="120" w:type="dxa"/>
            <w:vAlign w:val="bottom"/>
            <w:shd w:val="clear" w:color="auto" w:fill="E5E9E3"/>
          </w:tcPr>
          <w:p>
            <w:pPr>
              <w:spacing w:after="0"/>
              <w:rPr>
                <w:sz w:val="11"/>
                <w:szCs w:val="11"/>
                <w:color w:val="auto"/>
              </w:rPr>
            </w:pPr>
          </w:p>
        </w:tc>
        <w:tc>
          <w:tcPr>
            <w:tcW w:w="560" w:type="dxa"/>
            <w:vAlign w:val="bottom"/>
            <w:shd w:val="clear" w:color="auto" w:fill="E5E9E3"/>
          </w:tcPr>
          <w:p>
            <w:pPr>
              <w:spacing w:after="0"/>
              <w:rPr>
                <w:sz w:val="11"/>
                <w:szCs w:val="11"/>
                <w:color w:val="auto"/>
              </w:rPr>
            </w:pPr>
          </w:p>
        </w:tc>
        <w:tc>
          <w:tcPr>
            <w:tcW w:w="60" w:type="dxa"/>
            <w:vAlign w:val="bottom"/>
            <w:shd w:val="clear" w:color="auto" w:fill="E5E9E3"/>
          </w:tcPr>
          <w:p>
            <w:pPr>
              <w:spacing w:after="0"/>
              <w:rPr>
                <w:sz w:val="11"/>
                <w:szCs w:val="11"/>
                <w:color w:val="auto"/>
              </w:rPr>
            </w:pPr>
          </w:p>
        </w:tc>
        <w:tc>
          <w:tcPr>
            <w:tcW w:w="700" w:type="dxa"/>
            <w:vAlign w:val="bottom"/>
            <w:shd w:val="clear" w:color="auto" w:fill="E5E9E3"/>
          </w:tcPr>
          <w:p>
            <w:pPr>
              <w:spacing w:after="0"/>
              <w:rPr>
                <w:sz w:val="11"/>
                <w:szCs w:val="11"/>
                <w:color w:val="auto"/>
              </w:rPr>
            </w:pPr>
          </w:p>
        </w:tc>
        <w:tc>
          <w:tcPr>
            <w:tcW w:w="640" w:type="dxa"/>
            <w:vAlign w:val="bottom"/>
            <w:shd w:val="clear" w:color="auto" w:fill="E5E9E3"/>
          </w:tcPr>
          <w:p>
            <w:pPr>
              <w:jc w:val="center"/>
              <w:spacing w:after="0" w:line="135" w:lineRule="exact"/>
              <w:rPr>
                <w:sz w:val="20"/>
                <w:szCs w:val="20"/>
                <w:color w:val="auto"/>
              </w:rPr>
            </w:pPr>
            <w:r>
              <w:rPr>
                <w:rFonts w:ascii="Arial" w:cs="Arial" w:eastAsia="Arial" w:hAnsi="Arial"/>
                <w:sz w:val="13"/>
                <w:szCs w:val="13"/>
                <w:color w:val="auto"/>
                <w:w w:val="92"/>
              </w:rPr>
              <w:t>Bonus</w:t>
            </w:r>
          </w:p>
        </w:tc>
        <w:tc>
          <w:tcPr>
            <w:tcW w:w="840" w:type="dxa"/>
            <w:vAlign w:val="bottom"/>
            <w:shd w:val="clear" w:color="auto" w:fill="E5E9E3"/>
          </w:tcPr>
          <w:p>
            <w:pPr>
              <w:spacing w:after="0"/>
              <w:rPr>
                <w:sz w:val="11"/>
                <w:szCs w:val="11"/>
                <w:color w:val="auto"/>
              </w:rPr>
            </w:pPr>
          </w:p>
        </w:tc>
        <w:tc>
          <w:tcPr>
            <w:tcW w:w="740" w:type="dxa"/>
            <w:vAlign w:val="bottom"/>
            <w:shd w:val="clear" w:color="auto" w:fill="E5E9E3"/>
          </w:tcPr>
          <w:p>
            <w:pPr>
              <w:spacing w:after="0"/>
              <w:rPr>
                <w:sz w:val="11"/>
                <w:szCs w:val="11"/>
                <w:color w:val="auto"/>
              </w:rPr>
            </w:pPr>
          </w:p>
        </w:tc>
        <w:tc>
          <w:tcPr>
            <w:tcW w:w="560" w:type="dxa"/>
            <w:vAlign w:val="bottom"/>
            <w:shd w:val="clear" w:color="auto" w:fill="E5E9E3"/>
          </w:tcPr>
          <w:p>
            <w:pPr>
              <w:spacing w:after="0"/>
              <w:rPr>
                <w:sz w:val="11"/>
                <w:szCs w:val="11"/>
                <w:color w:val="auto"/>
              </w:rPr>
            </w:pPr>
          </w:p>
        </w:tc>
        <w:tc>
          <w:tcPr>
            <w:tcW w:w="160" w:type="dxa"/>
            <w:vAlign w:val="bottom"/>
            <w:shd w:val="clear" w:color="auto" w:fill="E5E9E3"/>
          </w:tcPr>
          <w:p>
            <w:pPr>
              <w:spacing w:after="0"/>
              <w:rPr>
                <w:sz w:val="11"/>
                <w:szCs w:val="11"/>
                <w:color w:val="auto"/>
              </w:rPr>
            </w:pPr>
          </w:p>
        </w:tc>
        <w:tc>
          <w:tcPr>
            <w:tcW w:w="60" w:type="dxa"/>
            <w:vAlign w:val="bottom"/>
            <w:shd w:val="clear" w:color="auto" w:fill="E5E9E3"/>
          </w:tcPr>
          <w:p>
            <w:pPr>
              <w:spacing w:after="0"/>
              <w:rPr>
                <w:sz w:val="11"/>
                <w:szCs w:val="11"/>
                <w:color w:val="auto"/>
              </w:rPr>
            </w:pPr>
          </w:p>
        </w:tc>
        <w:tc>
          <w:tcPr>
            <w:tcW w:w="880" w:type="dxa"/>
            <w:vAlign w:val="bottom"/>
            <w:shd w:val="clear" w:color="auto" w:fill="E5E9E3"/>
          </w:tcPr>
          <w:p>
            <w:pPr>
              <w:spacing w:after="0"/>
              <w:rPr>
                <w:sz w:val="11"/>
                <w:szCs w:val="11"/>
                <w:color w:val="auto"/>
              </w:rPr>
            </w:pPr>
          </w:p>
        </w:tc>
        <w:tc>
          <w:tcPr>
            <w:tcW w:w="620" w:type="dxa"/>
            <w:vAlign w:val="bottom"/>
            <w:shd w:val="clear" w:color="auto" w:fill="E5E9E3"/>
          </w:tcPr>
          <w:p>
            <w:pPr>
              <w:spacing w:after="0"/>
              <w:rPr>
                <w:sz w:val="11"/>
                <w:szCs w:val="11"/>
                <w:color w:val="auto"/>
              </w:rPr>
            </w:pPr>
          </w:p>
        </w:tc>
        <w:tc>
          <w:tcPr>
            <w:tcW w:w="740" w:type="dxa"/>
            <w:vAlign w:val="bottom"/>
            <w:shd w:val="clear" w:color="auto" w:fill="E5E9E3"/>
          </w:tcPr>
          <w:p>
            <w:pPr>
              <w:spacing w:after="0"/>
              <w:rPr>
                <w:sz w:val="11"/>
                <w:szCs w:val="11"/>
                <w:color w:val="auto"/>
              </w:rPr>
            </w:pPr>
          </w:p>
        </w:tc>
        <w:tc>
          <w:tcPr>
            <w:tcW w:w="60" w:type="dxa"/>
            <w:vAlign w:val="bottom"/>
            <w:shd w:val="clear" w:color="auto" w:fill="E5E9E3"/>
          </w:tcPr>
          <w:p>
            <w:pPr>
              <w:spacing w:after="0"/>
              <w:rPr>
                <w:sz w:val="11"/>
                <w:szCs w:val="11"/>
                <w:color w:val="auto"/>
              </w:rPr>
            </w:pPr>
          </w:p>
        </w:tc>
        <w:tc>
          <w:tcPr>
            <w:tcW w:w="780" w:type="dxa"/>
            <w:vAlign w:val="bottom"/>
            <w:shd w:val="clear" w:color="auto" w:fill="E5E9E3"/>
          </w:tcPr>
          <w:p>
            <w:pPr>
              <w:spacing w:after="0"/>
              <w:rPr>
                <w:sz w:val="11"/>
                <w:szCs w:val="11"/>
                <w:color w:val="auto"/>
              </w:rPr>
            </w:pPr>
          </w:p>
        </w:tc>
        <w:tc>
          <w:tcPr>
            <w:tcW w:w="820" w:type="dxa"/>
            <w:vAlign w:val="bottom"/>
            <w:shd w:val="clear" w:color="auto" w:fill="E5E9E3"/>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 w:type="dxa"/>
            <w:vAlign w:val="bottom"/>
            <w:shd w:val="clear" w:color="auto" w:fill="E5E9E3"/>
          </w:tcPr>
          <w:p>
            <w:pPr>
              <w:spacing w:after="0"/>
              <w:rPr>
                <w:sz w:val="14"/>
                <w:szCs w:val="14"/>
                <w:color w:val="auto"/>
              </w:rPr>
            </w:pPr>
          </w:p>
        </w:tc>
        <w:tc>
          <w:tcPr>
            <w:tcW w:w="800" w:type="dxa"/>
            <w:vAlign w:val="bottom"/>
            <w:shd w:val="clear" w:color="auto" w:fill="E5E9E3"/>
          </w:tcPr>
          <w:p>
            <w:pPr>
              <w:spacing w:after="0"/>
              <w:rPr>
                <w:sz w:val="14"/>
                <w:szCs w:val="14"/>
                <w:color w:val="auto"/>
              </w:rPr>
            </w:pPr>
          </w:p>
        </w:tc>
        <w:tc>
          <w:tcPr>
            <w:tcW w:w="120" w:type="dxa"/>
            <w:vAlign w:val="bottom"/>
            <w:shd w:val="clear" w:color="auto" w:fill="E5E9E3"/>
          </w:tcPr>
          <w:p>
            <w:pPr>
              <w:spacing w:after="0"/>
              <w:rPr>
                <w:sz w:val="14"/>
                <w:szCs w:val="14"/>
                <w:color w:val="auto"/>
              </w:rPr>
            </w:pPr>
          </w:p>
        </w:tc>
        <w:tc>
          <w:tcPr>
            <w:tcW w:w="560" w:type="dxa"/>
            <w:vAlign w:val="bottom"/>
            <w:shd w:val="clear" w:color="auto" w:fill="E5E9E3"/>
          </w:tcPr>
          <w:p>
            <w:pPr>
              <w:spacing w:after="0"/>
              <w:rPr>
                <w:sz w:val="14"/>
                <w:szCs w:val="14"/>
                <w:color w:val="auto"/>
              </w:rPr>
            </w:pPr>
          </w:p>
        </w:tc>
        <w:tc>
          <w:tcPr>
            <w:tcW w:w="60" w:type="dxa"/>
            <w:vAlign w:val="bottom"/>
            <w:shd w:val="clear" w:color="auto" w:fill="E5E9E3"/>
          </w:tcPr>
          <w:p>
            <w:pPr>
              <w:spacing w:after="0"/>
              <w:rPr>
                <w:sz w:val="14"/>
                <w:szCs w:val="14"/>
                <w:color w:val="auto"/>
              </w:rPr>
            </w:pPr>
          </w:p>
        </w:tc>
        <w:tc>
          <w:tcPr>
            <w:tcW w:w="700" w:type="dxa"/>
            <w:vAlign w:val="bottom"/>
            <w:shd w:val="clear" w:color="auto" w:fill="E5E9E3"/>
          </w:tcPr>
          <w:p>
            <w:pPr>
              <w:spacing w:after="0"/>
              <w:rPr>
                <w:sz w:val="14"/>
                <w:szCs w:val="14"/>
                <w:color w:val="auto"/>
              </w:rPr>
            </w:pP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9"/>
              </w:rPr>
              <w:t>Plan</w:t>
            </w:r>
          </w:p>
        </w:tc>
        <w:tc>
          <w:tcPr>
            <w:tcW w:w="840" w:type="dxa"/>
            <w:vAlign w:val="bottom"/>
            <w:shd w:val="clear" w:color="auto" w:fill="E5E9E3"/>
          </w:tcPr>
          <w:p>
            <w:pPr>
              <w:spacing w:after="0"/>
              <w:rPr>
                <w:sz w:val="14"/>
                <w:szCs w:val="14"/>
                <w:color w:val="auto"/>
              </w:rPr>
            </w:pPr>
          </w:p>
        </w:tc>
        <w:tc>
          <w:tcPr>
            <w:tcW w:w="740" w:type="dxa"/>
            <w:vAlign w:val="bottom"/>
            <w:shd w:val="clear" w:color="auto" w:fill="E5E9E3"/>
          </w:tcPr>
          <w:p>
            <w:pPr>
              <w:spacing w:after="0"/>
              <w:rPr>
                <w:sz w:val="14"/>
                <w:szCs w:val="14"/>
                <w:color w:val="auto"/>
              </w:rPr>
            </w:pPr>
          </w:p>
        </w:tc>
        <w:tc>
          <w:tcPr>
            <w:tcW w:w="560" w:type="dxa"/>
            <w:vAlign w:val="bottom"/>
            <w:shd w:val="clear" w:color="auto" w:fill="E5E9E3"/>
          </w:tcPr>
          <w:p>
            <w:pPr>
              <w:spacing w:after="0"/>
              <w:rPr>
                <w:sz w:val="14"/>
                <w:szCs w:val="14"/>
                <w:color w:val="auto"/>
              </w:rPr>
            </w:pPr>
          </w:p>
        </w:tc>
        <w:tc>
          <w:tcPr>
            <w:tcW w:w="160" w:type="dxa"/>
            <w:vAlign w:val="bottom"/>
            <w:shd w:val="clear" w:color="auto" w:fill="E5E9E3"/>
          </w:tcPr>
          <w:p>
            <w:pPr>
              <w:spacing w:after="0"/>
              <w:rPr>
                <w:sz w:val="14"/>
                <w:szCs w:val="14"/>
                <w:color w:val="auto"/>
              </w:rPr>
            </w:pPr>
          </w:p>
        </w:tc>
        <w:tc>
          <w:tcPr>
            <w:tcW w:w="60" w:type="dxa"/>
            <w:vAlign w:val="bottom"/>
            <w:shd w:val="clear" w:color="auto" w:fill="E5E9E3"/>
          </w:tcPr>
          <w:p>
            <w:pPr>
              <w:spacing w:after="0"/>
              <w:rPr>
                <w:sz w:val="14"/>
                <w:szCs w:val="14"/>
                <w:color w:val="auto"/>
              </w:rPr>
            </w:pPr>
          </w:p>
        </w:tc>
        <w:tc>
          <w:tcPr>
            <w:tcW w:w="880" w:type="dxa"/>
            <w:vAlign w:val="bottom"/>
            <w:shd w:val="clear" w:color="auto" w:fill="E5E9E3"/>
          </w:tcPr>
          <w:p>
            <w:pPr>
              <w:spacing w:after="0"/>
              <w:rPr>
                <w:sz w:val="14"/>
                <w:szCs w:val="14"/>
                <w:color w:val="auto"/>
              </w:rPr>
            </w:pPr>
          </w:p>
        </w:tc>
        <w:tc>
          <w:tcPr>
            <w:tcW w:w="620" w:type="dxa"/>
            <w:vAlign w:val="bottom"/>
            <w:shd w:val="clear" w:color="auto" w:fill="E5E9E3"/>
          </w:tcPr>
          <w:p>
            <w:pPr>
              <w:spacing w:after="0"/>
              <w:rPr>
                <w:sz w:val="14"/>
                <w:szCs w:val="14"/>
                <w:color w:val="auto"/>
              </w:rPr>
            </w:pPr>
          </w:p>
        </w:tc>
        <w:tc>
          <w:tcPr>
            <w:tcW w:w="740" w:type="dxa"/>
            <w:vAlign w:val="bottom"/>
            <w:shd w:val="clear" w:color="auto" w:fill="E5E9E3"/>
          </w:tcPr>
          <w:p>
            <w:pPr>
              <w:spacing w:after="0"/>
              <w:rPr>
                <w:sz w:val="14"/>
                <w:szCs w:val="14"/>
                <w:color w:val="auto"/>
              </w:rPr>
            </w:pPr>
          </w:p>
        </w:tc>
        <w:tc>
          <w:tcPr>
            <w:tcW w:w="60" w:type="dxa"/>
            <w:vAlign w:val="bottom"/>
            <w:shd w:val="clear" w:color="auto" w:fill="E5E9E3"/>
          </w:tcPr>
          <w:p>
            <w:pPr>
              <w:spacing w:after="0"/>
              <w:rPr>
                <w:sz w:val="14"/>
                <w:szCs w:val="14"/>
                <w:color w:val="auto"/>
              </w:rPr>
            </w:pPr>
          </w:p>
        </w:tc>
        <w:tc>
          <w:tcPr>
            <w:tcW w:w="780" w:type="dxa"/>
            <w:vAlign w:val="bottom"/>
            <w:shd w:val="clear" w:color="auto" w:fill="E5E9E3"/>
          </w:tcPr>
          <w:p>
            <w:pPr>
              <w:spacing w:after="0"/>
              <w:rPr>
                <w:sz w:val="14"/>
                <w:szCs w:val="14"/>
                <w:color w:val="auto"/>
              </w:rPr>
            </w:pPr>
          </w:p>
        </w:tc>
        <w:tc>
          <w:tcPr>
            <w:tcW w:w="820" w:type="dxa"/>
            <w:vAlign w:val="bottom"/>
            <w:shd w:val="clear" w:color="auto" w:fill="E5E9E3"/>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E5E9E3"/>
          </w:tcPr>
          <w:p>
            <w:pPr>
              <w:spacing w:after="0"/>
              <w:rPr>
                <w:sz w:val="24"/>
                <w:szCs w:val="24"/>
                <w:color w:val="auto"/>
              </w:rPr>
            </w:pPr>
          </w:p>
        </w:tc>
        <w:tc>
          <w:tcPr>
            <w:tcW w:w="800" w:type="dxa"/>
            <w:vAlign w:val="bottom"/>
            <w:shd w:val="clear" w:color="auto" w:fill="E5E9E3"/>
          </w:tcPr>
          <w:p>
            <w:pPr>
              <w:spacing w:after="0"/>
              <w:rPr>
                <w:sz w:val="24"/>
                <w:szCs w:val="24"/>
                <w:color w:val="auto"/>
              </w:rPr>
            </w:pPr>
          </w:p>
        </w:tc>
        <w:tc>
          <w:tcPr>
            <w:tcW w:w="120" w:type="dxa"/>
            <w:vAlign w:val="bottom"/>
            <w:shd w:val="clear" w:color="auto" w:fill="E5E9E3"/>
          </w:tcPr>
          <w:p>
            <w:pPr>
              <w:spacing w:after="0"/>
              <w:rPr>
                <w:sz w:val="24"/>
                <w:szCs w:val="24"/>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w w:val="93"/>
              </w:rPr>
              <w:t>8/24/2023</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shd w:val="clear" w:color="auto" w:fill="E5E9E3"/>
          </w:tcPr>
          <w:p>
            <w:pPr>
              <w:jc w:val="center"/>
              <w:spacing w:after="0"/>
              <w:rPr>
                <w:sz w:val="20"/>
                <w:szCs w:val="20"/>
                <w:color w:val="auto"/>
              </w:rPr>
            </w:pPr>
            <w:r>
              <w:rPr>
                <w:rFonts w:ascii="Arial" w:cs="Arial" w:eastAsia="Arial" w:hAnsi="Arial"/>
                <w:sz w:val="25"/>
                <w:szCs w:val="25"/>
                <w:color w:val="auto"/>
                <w:w w:val="84"/>
                <w:vertAlign w:val="subscript"/>
              </w:rPr>
              <w:t>RSU</w:t>
            </w:r>
            <w:r>
              <w:rPr>
                <w:rFonts w:ascii="Arial" w:cs="Arial" w:eastAsia="Arial" w:hAnsi="Arial"/>
                <w:sz w:val="10"/>
                <w:szCs w:val="10"/>
                <w:color w:val="auto"/>
                <w:w w:val="84"/>
              </w:rPr>
              <w:t>(4)</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5E9E3"/>
          </w:tcPr>
          <w:p>
            <w:pPr>
              <w:spacing w:after="0"/>
              <w:rPr>
                <w:sz w:val="24"/>
                <w:szCs w:val="24"/>
                <w:color w:val="auto"/>
              </w:rPr>
            </w:pPr>
          </w:p>
        </w:tc>
        <w:tc>
          <w:tcPr>
            <w:tcW w:w="1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E5E9E3"/>
          </w:tcPr>
          <w:p>
            <w:pPr>
              <w:spacing w:after="0"/>
              <w:rPr>
                <w:sz w:val="24"/>
                <w:szCs w:val="24"/>
                <w:color w:val="auto"/>
              </w:rPr>
            </w:pPr>
          </w:p>
        </w:tc>
        <w:tc>
          <w:tcPr>
            <w:tcW w:w="88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5E9E3"/>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5,663</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899,907</w:t>
            </w:r>
          </w:p>
        </w:tc>
        <w:tc>
          <w:tcPr>
            <w:tcW w:w="0" w:type="dxa"/>
            <w:vAlign w:val="bottom"/>
          </w:tcPr>
          <w:p>
            <w:pPr>
              <w:spacing w:after="0"/>
              <w:rPr>
                <w:sz w:val="1"/>
                <w:szCs w:val="1"/>
                <w:color w:val="auto"/>
              </w:rPr>
            </w:pPr>
          </w:p>
        </w:tc>
      </w:tr>
      <w:tr>
        <w:trPr>
          <w:trHeight w:val="270"/>
        </w:trPr>
        <w:tc>
          <w:tcPr>
            <w:tcW w:w="40" w:type="dxa"/>
            <w:vAlign w:val="bottom"/>
            <w:shd w:val="clear" w:color="auto" w:fill="E5E9E3"/>
          </w:tcPr>
          <w:p>
            <w:pPr>
              <w:spacing w:after="0"/>
              <w:rPr>
                <w:sz w:val="23"/>
                <w:szCs w:val="23"/>
                <w:color w:val="auto"/>
              </w:rPr>
            </w:pPr>
          </w:p>
        </w:tc>
        <w:tc>
          <w:tcPr>
            <w:tcW w:w="800" w:type="dxa"/>
            <w:vAlign w:val="bottom"/>
            <w:shd w:val="clear" w:color="auto" w:fill="E5E9E3"/>
          </w:tcPr>
          <w:p>
            <w:pPr>
              <w:spacing w:after="0"/>
              <w:rPr>
                <w:sz w:val="23"/>
                <w:szCs w:val="23"/>
                <w:color w:val="auto"/>
              </w:rPr>
            </w:pPr>
          </w:p>
        </w:tc>
        <w:tc>
          <w:tcPr>
            <w:tcW w:w="120" w:type="dxa"/>
            <w:vAlign w:val="bottom"/>
            <w:shd w:val="clear" w:color="auto" w:fill="E5E9E3"/>
          </w:tcPr>
          <w:p>
            <w:pPr>
              <w:spacing w:after="0"/>
              <w:rPr>
                <w:sz w:val="23"/>
                <w:szCs w:val="23"/>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w w:val="93"/>
              </w:rPr>
              <w:t>8/24/2023</w:t>
            </w:r>
          </w:p>
        </w:tc>
        <w:tc>
          <w:tcPr>
            <w:tcW w:w="60" w:type="dxa"/>
            <w:vAlign w:val="bottom"/>
            <w:shd w:val="clear" w:color="auto" w:fill="E5E9E3"/>
          </w:tcPr>
          <w:p>
            <w:pPr>
              <w:spacing w:after="0"/>
              <w:rPr>
                <w:sz w:val="23"/>
                <w:szCs w:val="23"/>
                <w:color w:val="auto"/>
              </w:rPr>
            </w:pPr>
          </w:p>
        </w:tc>
        <w:tc>
          <w:tcPr>
            <w:tcW w:w="700" w:type="dxa"/>
            <w:vAlign w:val="bottom"/>
            <w:shd w:val="clear" w:color="auto" w:fill="E5E9E3"/>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shd w:val="clear" w:color="auto" w:fill="E5E9E3"/>
          </w:tcPr>
          <w:p>
            <w:pPr>
              <w:jc w:val="center"/>
              <w:spacing w:after="0" w:line="270" w:lineRule="exact"/>
              <w:rPr>
                <w:sz w:val="20"/>
                <w:szCs w:val="20"/>
                <w:color w:val="auto"/>
              </w:rPr>
            </w:pPr>
            <w:r>
              <w:rPr>
                <w:rFonts w:ascii="Arial" w:cs="Arial" w:eastAsia="Arial" w:hAnsi="Arial"/>
                <w:sz w:val="25"/>
                <w:szCs w:val="25"/>
                <w:color w:val="auto"/>
                <w:w w:val="81"/>
                <w:vertAlign w:val="subscript"/>
              </w:rPr>
              <w:t>PSU</w:t>
            </w:r>
            <w:r>
              <w:rPr>
                <w:rFonts w:ascii="Arial" w:cs="Arial" w:eastAsia="Arial" w:hAnsi="Arial"/>
                <w:sz w:val="10"/>
                <w:szCs w:val="10"/>
                <w:color w:val="auto"/>
                <w:w w:val="81"/>
              </w:rPr>
              <w:t>(4)</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5E9E3"/>
          </w:tcPr>
          <w:p>
            <w:pPr>
              <w:spacing w:after="0"/>
              <w:rPr>
                <w:sz w:val="23"/>
                <w:szCs w:val="23"/>
                <w:color w:val="auto"/>
              </w:rPr>
            </w:pPr>
          </w:p>
        </w:tc>
        <w:tc>
          <w:tcPr>
            <w:tcW w:w="1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5E9E3"/>
          </w:tcPr>
          <w:p>
            <w:pPr>
              <w:jc w:val="right"/>
              <w:ind w:right="57"/>
              <w:spacing w:after="0"/>
              <w:rPr>
                <w:sz w:val="20"/>
                <w:szCs w:val="20"/>
                <w:color w:val="auto"/>
              </w:rPr>
            </w:pPr>
            <w:r>
              <w:rPr>
                <w:rFonts w:ascii="Arial" w:cs="Arial" w:eastAsia="Arial" w:hAnsi="Arial"/>
                <w:sz w:val="13"/>
                <w:szCs w:val="13"/>
                <w:color w:val="auto"/>
              </w:rPr>
              <w:t>566</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5,663</w:t>
            </w:r>
          </w:p>
        </w:tc>
        <w:tc>
          <w:tcPr>
            <w:tcW w:w="740" w:type="dxa"/>
            <w:vAlign w:val="bottom"/>
            <w:shd w:val="clear" w:color="auto" w:fill="E5E9E3"/>
          </w:tcPr>
          <w:p>
            <w:pPr>
              <w:jc w:val="right"/>
              <w:spacing w:after="0"/>
              <w:rPr>
                <w:sz w:val="20"/>
                <w:szCs w:val="20"/>
                <w:color w:val="auto"/>
              </w:rPr>
            </w:pPr>
            <w:r>
              <w:rPr>
                <w:rFonts w:ascii="Arial" w:cs="Arial" w:eastAsia="Arial" w:hAnsi="Arial"/>
                <w:sz w:val="13"/>
                <w:szCs w:val="13"/>
                <w:color w:val="auto"/>
              </w:rPr>
              <w:t>5,663</w:t>
            </w:r>
          </w:p>
        </w:tc>
        <w:tc>
          <w:tcPr>
            <w:tcW w:w="60" w:type="dxa"/>
            <w:vAlign w:val="bottom"/>
            <w:shd w:val="clear" w:color="auto" w:fill="E5E9E3"/>
          </w:tcPr>
          <w:p>
            <w:pPr>
              <w:spacing w:after="0"/>
              <w:rPr>
                <w:sz w:val="23"/>
                <w:szCs w:val="23"/>
                <w:color w:val="auto"/>
              </w:rPr>
            </w:pP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899,907</w:t>
            </w:r>
          </w:p>
        </w:tc>
        <w:tc>
          <w:tcPr>
            <w:tcW w:w="0" w:type="dxa"/>
            <w:vAlign w:val="bottom"/>
          </w:tcPr>
          <w:p>
            <w:pPr>
              <w:spacing w:after="0"/>
              <w:rPr>
                <w:sz w:val="1"/>
                <w:szCs w:val="1"/>
                <w:color w:val="auto"/>
              </w:rPr>
            </w:pPr>
          </w:p>
        </w:tc>
      </w:tr>
      <w:tr>
        <w:trPr>
          <w:trHeight w:val="165"/>
        </w:trPr>
        <w:tc>
          <w:tcPr>
            <w:tcW w:w="40" w:type="dxa"/>
            <w:vAlign w:val="bottom"/>
            <w:shd w:val="clear" w:color="auto" w:fill="E5E9E3"/>
          </w:tcPr>
          <w:p>
            <w:pPr>
              <w:spacing w:after="0"/>
              <w:rPr>
                <w:sz w:val="14"/>
                <w:szCs w:val="14"/>
                <w:color w:val="auto"/>
              </w:rPr>
            </w:pPr>
          </w:p>
        </w:tc>
        <w:tc>
          <w:tcPr>
            <w:tcW w:w="800" w:type="dxa"/>
            <w:vAlign w:val="bottom"/>
            <w:shd w:val="clear" w:color="auto" w:fill="E5E9E3"/>
          </w:tcPr>
          <w:p>
            <w:pPr>
              <w:spacing w:after="0"/>
              <w:rPr>
                <w:sz w:val="14"/>
                <w:szCs w:val="14"/>
                <w:color w:val="auto"/>
              </w:rPr>
            </w:pPr>
          </w:p>
        </w:tc>
        <w:tc>
          <w:tcPr>
            <w:tcW w:w="120" w:type="dxa"/>
            <w:vAlign w:val="bottom"/>
            <w:shd w:val="clear" w:color="auto" w:fill="E5E9E3"/>
          </w:tcPr>
          <w:p>
            <w:pPr>
              <w:spacing w:after="0"/>
              <w:rPr>
                <w:sz w:val="14"/>
                <w:szCs w:val="14"/>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3"/>
                <w:szCs w:val="13"/>
                <w:color w:val="auto"/>
                <w:w w:val="93"/>
              </w:rPr>
              <w:t>8/24/2023</w:t>
            </w:r>
          </w:p>
        </w:tc>
        <w:tc>
          <w:tcPr>
            <w:tcW w:w="60" w:type="dxa"/>
            <w:vAlign w:val="bottom"/>
            <w:shd w:val="clear" w:color="auto" w:fill="E5E9E3"/>
          </w:tcPr>
          <w:p>
            <w:pPr>
              <w:spacing w:after="0"/>
              <w:rPr>
                <w:sz w:val="14"/>
                <w:szCs w:val="14"/>
                <w:color w:val="auto"/>
              </w:rPr>
            </w:pPr>
          </w:p>
        </w:tc>
        <w:tc>
          <w:tcPr>
            <w:tcW w:w="700" w:type="dxa"/>
            <w:vAlign w:val="bottom"/>
            <w:shd w:val="clear" w:color="auto" w:fill="E5E9E3"/>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shd w:val="clear" w:color="auto" w:fill="E5E9E3"/>
          </w:tcPr>
          <w:p>
            <w:pPr>
              <w:jc w:val="center"/>
              <w:spacing w:after="0"/>
              <w:rPr>
                <w:sz w:val="20"/>
                <w:szCs w:val="20"/>
                <w:color w:val="auto"/>
              </w:rPr>
            </w:pPr>
            <w:r>
              <w:rPr>
                <w:rFonts w:ascii="Arial" w:cs="Arial" w:eastAsia="Arial" w:hAnsi="Arial"/>
                <w:sz w:val="13"/>
                <w:szCs w:val="13"/>
                <w:color w:val="auto"/>
                <w:w w:val="96"/>
              </w:rPr>
              <w:t>“Stretch”</w:t>
            </w:r>
          </w:p>
        </w:tc>
        <w:tc>
          <w:tcPr>
            <w:tcW w:w="84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E5E9E3"/>
          </w:tcPr>
          <w:p>
            <w:pPr>
              <w:spacing w:after="0"/>
              <w:rPr>
                <w:sz w:val="14"/>
                <w:szCs w:val="14"/>
                <w:color w:val="auto"/>
              </w:rPr>
            </w:pPr>
          </w:p>
        </w:tc>
        <w:tc>
          <w:tcPr>
            <w:tcW w:w="160" w:type="dxa"/>
            <w:vAlign w:val="bottom"/>
            <w:shd w:val="clear" w:color="auto" w:fill="E5E9E3"/>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E5E9E3"/>
          </w:tcPr>
          <w:p>
            <w:pPr>
              <w:spacing w:after="0"/>
              <w:rPr>
                <w:sz w:val="14"/>
                <w:szCs w:val="14"/>
                <w:color w:val="auto"/>
              </w:rPr>
            </w:pPr>
          </w:p>
        </w:tc>
        <w:tc>
          <w:tcPr>
            <w:tcW w:w="88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E5E9E3"/>
          </w:tcPr>
          <w:p>
            <w:pPr>
              <w:jc w:val="right"/>
              <w:ind w:right="37"/>
              <w:spacing w:after="0"/>
              <w:rPr>
                <w:sz w:val="20"/>
                <w:szCs w:val="20"/>
                <w:color w:val="auto"/>
              </w:rPr>
            </w:pPr>
            <w:r>
              <w:rPr>
                <w:rFonts w:ascii="Arial" w:cs="Arial" w:eastAsia="Arial" w:hAnsi="Arial"/>
                <w:sz w:val="13"/>
                <w:szCs w:val="13"/>
                <w:color w:val="auto"/>
              </w:rPr>
              <w:t>5,663</w:t>
            </w:r>
          </w:p>
        </w:tc>
        <w:tc>
          <w:tcPr>
            <w:tcW w:w="740" w:type="dxa"/>
            <w:vAlign w:val="bottom"/>
            <w:shd w:val="clear" w:color="auto" w:fill="E5E9E3"/>
          </w:tcPr>
          <w:p>
            <w:pPr>
              <w:jc w:val="right"/>
              <w:spacing w:after="0"/>
              <w:rPr>
                <w:sz w:val="20"/>
                <w:szCs w:val="20"/>
                <w:color w:val="auto"/>
              </w:rPr>
            </w:pPr>
            <w:r>
              <w:rPr>
                <w:rFonts w:ascii="Arial" w:cs="Arial" w:eastAsia="Arial" w:hAnsi="Arial"/>
                <w:sz w:val="13"/>
                <w:szCs w:val="13"/>
                <w:color w:val="auto"/>
              </w:rPr>
              <w:t>5,663</w:t>
            </w:r>
          </w:p>
        </w:tc>
        <w:tc>
          <w:tcPr>
            <w:tcW w:w="60" w:type="dxa"/>
            <w:vAlign w:val="bottom"/>
            <w:shd w:val="clear" w:color="auto" w:fill="E5E9E3"/>
          </w:tcPr>
          <w:p>
            <w:pPr>
              <w:spacing w:after="0"/>
              <w:rPr>
                <w:sz w:val="14"/>
                <w:szCs w:val="14"/>
                <w:color w:val="auto"/>
              </w:rPr>
            </w:pPr>
          </w:p>
        </w:tc>
        <w:tc>
          <w:tcPr>
            <w:tcW w:w="780" w:type="dxa"/>
            <w:vAlign w:val="bottom"/>
            <w:shd w:val="clear" w:color="auto" w:fill="E5E9E3"/>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5E9E3"/>
          </w:tcPr>
          <w:p>
            <w:pPr>
              <w:jc w:val="right"/>
              <w:ind w:right="57"/>
              <w:spacing w:after="0"/>
              <w:rPr>
                <w:sz w:val="20"/>
                <w:szCs w:val="20"/>
                <w:color w:val="auto"/>
              </w:rPr>
            </w:pPr>
            <w:r>
              <w:rPr>
                <w:rFonts w:ascii="Arial" w:cs="Arial" w:eastAsia="Arial" w:hAnsi="Arial"/>
                <w:sz w:val="13"/>
                <w:szCs w:val="13"/>
                <w:color w:val="auto"/>
              </w:rPr>
              <w:t>899,907</w:t>
            </w:r>
          </w:p>
        </w:tc>
        <w:tc>
          <w:tcPr>
            <w:tcW w:w="0" w:type="dxa"/>
            <w:vAlign w:val="bottom"/>
          </w:tcPr>
          <w:p>
            <w:pPr>
              <w:spacing w:after="0"/>
              <w:rPr>
                <w:sz w:val="1"/>
                <w:szCs w:val="1"/>
                <w:color w:val="auto"/>
              </w:rPr>
            </w:pPr>
          </w:p>
        </w:tc>
      </w:tr>
      <w:tr>
        <w:trPr>
          <w:trHeight w:val="240"/>
        </w:trPr>
        <w:tc>
          <w:tcPr>
            <w:tcW w:w="40" w:type="dxa"/>
            <w:vAlign w:val="bottom"/>
            <w:shd w:val="clear" w:color="auto" w:fill="E5E9E3"/>
          </w:tcPr>
          <w:p>
            <w:pPr>
              <w:spacing w:after="0"/>
              <w:rPr>
                <w:sz w:val="20"/>
                <w:szCs w:val="20"/>
                <w:color w:val="auto"/>
              </w:rPr>
            </w:pPr>
          </w:p>
        </w:tc>
        <w:tc>
          <w:tcPr>
            <w:tcW w:w="800" w:type="dxa"/>
            <w:vAlign w:val="bottom"/>
            <w:shd w:val="clear" w:color="auto" w:fill="E5E9E3"/>
          </w:tcPr>
          <w:p>
            <w:pPr>
              <w:spacing w:after="0"/>
              <w:rPr>
                <w:sz w:val="20"/>
                <w:szCs w:val="20"/>
                <w:color w:val="auto"/>
              </w:rPr>
            </w:pPr>
          </w:p>
        </w:tc>
        <w:tc>
          <w:tcPr>
            <w:tcW w:w="120" w:type="dxa"/>
            <w:vAlign w:val="bottom"/>
            <w:shd w:val="clear" w:color="auto" w:fill="E5E9E3"/>
          </w:tcPr>
          <w:p>
            <w:pPr>
              <w:spacing w:after="0"/>
              <w:rPr>
                <w:sz w:val="20"/>
                <w:szCs w:val="20"/>
                <w:color w:val="auto"/>
              </w:rPr>
            </w:pPr>
          </w:p>
        </w:tc>
        <w:tc>
          <w:tcPr>
            <w:tcW w:w="560" w:type="dxa"/>
            <w:vAlign w:val="bottom"/>
            <w:shd w:val="clear" w:color="auto" w:fill="E5E9E3"/>
          </w:tcPr>
          <w:p>
            <w:pPr>
              <w:spacing w:after="0"/>
              <w:rPr>
                <w:sz w:val="20"/>
                <w:szCs w:val="20"/>
                <w:color w:val="auto"/>
              </w:rPr>
            </w:pPr>
          </w:p>
        </w:tc>
        <w:tc>
          <w:tcPr>
            <w:tcW w:w="60" w:type="dxa"/>
            <w:vAlign w:val="bottom"/>
            <w:shd w:val="clear" w:color="auto" w:fill="E5E9E3"/>
          </w:tcPr>
          <w:p>
            <w:pPr>
              <w:spacing w:after="0"/>
              <w:rPr>
                <w:sz w:val="20"/>
                <w:szCs w:val="20"/>
                <w:color w:val="auto"/>
              </w:rPr>
            </w:pPr>
          </w:p>
        </w:tc>
        <w:tc>
          <w:tcPr>
            <w:tcW w:w="700" w:type="dxa"/>
            <w:vAlign w:val="bottom"/>
            <w:shd w:val="clear" w:color="auto" w:fill="E5E9E3"/>
          </w:tcPr>
          <w:p>
            <w:pPr>
              <w:spacing w:after="0"/>
              <w:rPr>
                <w:sz w:val="20"/>
                <w:szCs w:val="20"/>
                <w:color w:val="auto"/>
              </w:rPr>
            </w:pPr>
          </w:p>
        </w:tc>
        <w:tc>
          <w:tcPr>
            <w:tcW w:w="640" w:type="dxa"/>
            <w:vAlign w:val="bottom"/>
            <w:shd w:val="clear" w:color="auto" w:fill="E5E9E3"/>
          </w:tcPr>
          <w:p>
            <w:pPr>
              <w:jc w:val="center"/>
              <w:spacing w:after="0" w:line="240" w:lineRule="exact"/>
              <w:rPr>
                <w:sz w:val="20"/>
                <w:szCs w:val="20"/>
                <w:color w:val="auto"/>
              </w:rPr>
            </w:pPr>
            <w:r>
              <w:rPr>
                <w:rFonts w:ascii="Arial" w:cs="Arial" w:eastAsia="Arial" w:hAnsi="Arial"/>
                <w:sz w:val="25"/>
                <w:szCs w:val="25"/>
                <w:color w:val="auto"/>
                <w:w w:val="81"/>
                <w:vertAlign w:val="subscript"/>
              </w:rPr>
              <w:t>PSU</w:t>
            </w:r>
            <w:r>
              <w:rPr>
                <w:rFonts w:ascii="Arial" w:cs="Arial" w:eastAsia="Arial" w:hAnsi="Arial"/>
                <w:sz w:val="10"/>
                <w:szCs w:val="10"/>
                <w:color w:val="auto"/>
                <w:w w:val="81"/>
              </w:rPr>
              <w:t>(4)</w:t>
            </w:r>
          </w:p>
        </w:tc>
        <w:tc>
          <w:tcPr>
            <w:tcW w:w="840" w:type="dxa"/>
            <w:vAlign w:val="bottom"/>
            <w:shd w:val="clear" w:color="auto" w:fill="E5E9E3"/>
          </w:tcPr>
          <w:p>
            <w:pPr>
              <w:spacing w:after="0"/>
              <w:rPr>
                <w:sz w:val="20"/>
                <w:szCs w:val="20"/>
                <w:color w:val="auto"/>
              </w:rPr>
            </w:pPr>
          </w:p>
        </w:tc>
        <w:tc>
          <w:tcPr>
            <w:tcW w:w="740" w:type="dxa"/>
            <w:vAlign w:val="bottom"/>
            <w:shd w:val="clear" w:color="auto" w:fill="E5E9E3"/>
          </w:tcPr>
          <w:p>
            <w:pPr>
              <w:spacing w:after="0"/>
              <w:rPr>
                <w:sz w:val="20"/>
                <w:szCs w:val="20"/>
                <w:color w:val="auto"/>
              </w:rPr>
            </w:pPr>
          </w:p>
        </w:tc>
        <w:tc>
          <w:tcPr>
            <w:tcW w:w="560" w:type="dxa"/>
            <w:vAlign w:val="bottom"/>
            <w:shd w:val="clear" w:color="auto" w:fill="E5E9E3"/>
          </w:tcPr>
          <w:p>
            <w:pPr>
              <w:spacing w:after="0"/>
              <w:rPr>
                <w:sz w:val="20"/>
                <w:szCs w:val="20"/>
                <w:color w:val="auto"/>
              </w:rPr>
            </w:pPr>
          </w:p>
        </w:tc>
        <w:tc>
          <w:tcPr>
            <w:tcW w:w="160" w:type="dxa"/>
            <w:vAlign w:val="bottom"/>
            <w:shd w:val="clear" w:color="auto" w:fill="E5E9E3"/>
          </w:tcPr>
          <w:p>
            <w:pPr>
              <w:spacing w:after="0"/>
              <w:rPr>
                <w:sz w:val="20"/>
                <w:szCs w:val="20"/>
                <w:color w:val="auto"/>
              </w:rPr>
            </w:pPr>
          </w:p>
        </w:tc>
        <w:tc>
          <w:tcPr>
            <w:tcW w:w="60" w:type="dxa"/>
            <w:vAlign w:val="bottom"/>
            <w:shd w:val="clear" w:color="auto" w:fill="E5E9E3"/>
          </w:tcPr>
          <w:p>
            <w:pPr>
              <w:spacing w:after="0"/>
              <w:rPr>
                <w:sz w:val="20"/>
                <w:szCs w:val="20"/>
                <w:color w:val="auto"/>
              </w:rPr>
            </w:pPr>
          </w:p>
        </w:tc>
        <w:tc>
          <w:tcPr>
            <w:tcW w:w="880" w:type="dxa"/>
            <w:vAlign w:val="bottom"/>
            <w:shd w:val="clear" w:color="auto" w:fill="E5E9E3"/>
          </w:tcPr>
          <w:p>
            <w:pPr>
              <w:spacing w:after="0"/>
              <w:rPr>
                <w:sz w:val="20"/>
                <w:szCs w:val="20"/>
                <w:color w:val="auto"/>
              </w:rPr>
            </w:pPr>
          </w:p>
        </w:tc>
        <w:tc>
          <w:tcPr>
            <w:tcW w:w="620" w:type="dxa"/>
            <w:vAlign w:val="bottom"/>
            <w:shd w:val="clear" w:color="auto" w:fill="E5E9E3"/>
          </w:tcPr>
          <w:p>
            <w:pPr>
              <w:spacing w:after="0"/>
              <w:rPr>
                <w:sz w:val="20"/>
                <w:szCs w:val="20"/>
                <w:color w:val="auto"/>
              </w:rPr>
            </w:pPr>
          </w:p>
        </w:tc>
        <w:tc>
          <w:tcPr>
            <w:tcW w:w="740" w:type="dxa"/>
            <w:vAlign w:val="bottom"/>
            <w:shd w:val="clear" w:color="auto" w:fill="E5E9E3"/>
          </w:tcPr>
          <w:p>
            <w:pPr>
              <w:spacing w:after="0"/>
              <w:rPr>
                <w:sz w:val="20"/>
                <w:szCs w:val="20"/>
                <w:color w:val="auto"/>
              </w:rPr>
            </w:pPr>
          </w:p>
        </w:tc>
        <w:tc>
          <w:tcPr>
            <w:tcW w:w="60" w:type="dxa"/>
            <w:vAlign w:val="bottom"/>
            <w:shd w:val="clear" w:color="auto" w:fill="E5E9E3"/>
          </w:tcPr>
          <w:p>
            <w:pPr>
              <w:spacing w:after="0"/>
              <w:rPr>
                <w:sz w:val="20"/>
                <w:szCs w:val="20"/>
                <w:color w:val="auto"/>
              </w:rPr>
            </w:pPr>
          </w:p>
        </w:tc>
        <w:tc>
          <w:tcPr>
            <w:tcW w:w="780" w:type="dxa"/>
            <w:vAlign w:val="bottom"/>
            <w:shd w:val="clear" w:color="auto" w:fill="E5E9E3"/>
          </w:tcPr>
          <w:p>
            <w:pPr>
              <w:spacing w:after="0"/>
              <w:rPr>
                <w:sz w:val="20"/>
                <w:szCs w:val="20"/>
                <w:color w:val="auto"/>
              </w:rPr>
            </w:pPr>
          </w:p>
        </w:tc>
        <w:tc>
          <w:tcPr>
            <w:tcW w:w="820" w:type="dxa"/>
            <w:vAlign w:val="bottom"/>
            <w:shd w:val="clear" w:color="auto" w:fill="E5E9E3"/>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Edward 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6"/>
              </w:rPr>
              <w:t>FY24</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40,800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408,000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489,600</w:t>
            </w:r>
          </w:p>
        </w:tc>
        <w:tc>
          <w:tcPr>
            <w:tcW w:w="6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3"/>
                <w:szCs w:val="13"/>
                <w:color w:val="auto"/>
              </w:rPr>
              <w:t>Archer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Bonus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Plan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8/24/2023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RSU</w:t>
            </w:r>
            <w:r>
              <w:rPr>
                <w:rFonts w:ascii="Arial" w:cs="Arial" w:eastAsia="Arial" w:hAnsi="Arial"/>
                <w:sz w:val="20"/>
                <w:szCs w:val="20"/>
                <w:color w:val="auto"/>
                <w:w w:val="91"/>
                <w:vertAlign w:val="superscript"/>
              </w:rPr>
              <w:t>(4)</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4,719</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749,896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8/24/2023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8/15/2023</w:t>
            </w:r>
          </w:p>
        </w:tc>
        <w:tc>
          <w:tcPr>
            <w:tcW w:w="640" w:type="dxa"/>
            <w:vAlign w:val="bottom"/>
          </w:tcPr>
          <w:p>
            <w:pPr>
              <w:jc w:val="center"/>
              <w:spacing w:after="0"/>
              <w:rPr>
                <w:sz w:val="20"/>
                <w:szCs w:val="20"/>
                <w:color w:val="auto"/>
              </w:rPr>
            </w:pPr>
            <w:r>
              <w:rPr>
                <w:rFonts w:ascii="Arial" w:cs="Arial" w:eastAsia="Arial" w:hAnsi="Arial"/>
                <w:sz w:val="13"/>
                <w:szCs w:val="13"/>
                <w:color w:val="auto"/>
                <w:w w:val="88"/>
              </w:rPr>
              <w:t>PSU</w:t>
            </w:r>
            <w:r>
              <w:rPr>
                <w:rFonts w:ascii="Arial" w:cs="Arial" w:eastAsia="Arial" w:hAnsi="Arial"/>
                <w:sz w:val="20"/>
                <w:szCs w:val="20"/>
                <w:color w:val="auto"/>
                <w:w w:val="88"/>
                <w:vertAlign w:val="superscript"/>
              </w:rPr>
              <w:t>(4)</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57"/>
              <w:spacing w:after="0"/>
              <w:rPr>
                <w:sz w:val="20"/>
                <w:szCs w:val="20"/>
                <w:color w:val="auto"/>
              </w:rPr>
            </w:pPr>
            <w:r>
              <w:rPr>
                <w:rFonts w:ascii="Arial" w:cs="Arial" w:eastAsia="Arial" w:hAnsi="Arial"/>
                <w:sz w:val="13"/>
                <w:szCs w:val="13"/>
                <w:color w:val="auto"/>
              </w:rPr>
              <w:t>472</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4,719</w:t>
            </w:r>
          </w:p>
        </w:tc>
        <w:tc>
          <w:tcPr>
            <w:tcW w:w="740" w:type="dxa"/>
            <w:vAlign w:val="bottom"/>
          </w:tcPr>
          <w:p>
            <w:pPr>
              <w:jc w:val="right"/>
              <w:spacing w:after="0"/>
              <w:rPr>
                <w:sz w:val="20"/>
                <w:szCs w:val="20"/>
                <w:color w:val="auto"/>
              </w:rPr>
            </w:pPr>
            <w:r>
              <w:rPr>
                <w:rFonts w:ascii="Arial" w:cs="Arial" w:eastAsia="Arial" w:hAnsi="Arial"/>
                <w:sz w:val="13"/>
                <w:szCs w:val="13"/>
                <w:color w:val="auto"/>
              </w:rPr>
              <w:t>4,719</w:t>
            </w:r>
          </w:p>
        </w:tc>
        <w:tc>
          <w:tcPr>
            <w:tcW w:w="6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749,896</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8/24/2023</w:t>
            </w:r>
          </w:p>
        </w:tc>
        <w:tc>
          <w:tcPr>
            <w:tcW w:w="7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8/15/2023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auto"/>
                <w:w w:val="96"/>
              </w:rPr>
              <w:t>“Stretch”</w:t>
            </w:r>
          </w:p>
        </w:tc>
        <w:tc>
          <w:tcPr>
            <w:tcW w:w="84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80" w:type="dxa"/>
            <w:vAlign w:val="bottom"/>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line="143" w:lineRule="exact"/>
              <w:rPr>
                <w:sz w:val="20"/>
                <w:szCs w:val="20"/>
                <w:color w:val="auto"/>
              </w:rPr>
            </w:pPr>
            <w:r>
              <w:rPr>
                <w:rFonts w:ascii="Arial" w:cs="Arial" w:eastAsia="Arial" w:hAnsi="Arial"/>
                <w:sz w:val="13"/>
                <w:szCs w:val="13"/>
                <w:color w:val="auto"/>
              </w:rPr>
              <w:t>4,719</w:t>
            </w: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4,719</w:t>
            </w:r>
          </w:p>
        </w:tc>
        <w:tc>
          <w:tcPr>
            <w:tcW w:w="60" w:type="dxa"/>
            <w:vAlign w:val="bottom"/>
          </w:tcPr>
          <w:p>
            <w:pPr>
              <w:spacing w:after="0"/>
              <w:rPr>
                <w:sz w:val="12"/>
                <w:szCs w:val="12"/>
                <w:color w:val="auto"/>
              </w:rPr>
            </w:pPr>
          </w:p>
        </w:tc>
        <w:tc>
          <w:tcPr>
            <w:tcW w:w="7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43" w:lineRule="exact"/>
              <w:rPr>
                <w:sz w:val="20"/>
                <w:szCs w:val="20"/>
                <w:color w:val="auto"/>
              </w:rPr>
            </w:pPr>
            <w:r>
              <w:rPr>
                <w:rFonts w:ascii="Arial" w:cs="Arial" w:eastAsia="Arial" w:hAnsi="Arial"/>
                <w:sz w:val="13"/>
                <w:szCs w:val="13"/>
                <w:color w:val="auto"/>
              </w:rPr>
              <w:t>749,896</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jc w:val="center"/>
              <w:spacing w:after="0" w:line="200" w:lineRule="exact"/>
              <w:rPr>
                <w:sz w:val="20"/>
                <w:szCs w:val="20"/>
                <w:color w:val="auto"/>
              </w:rPr>
            </w:pPr>
            <w:r>
              <w:rPr>
                <w:rFonts w:ascii="Arial" w:cs="Arial" w:eastAsia="Arial" w:hAnsi="Arial"/>
                <w:sz w:val="13"/>
                <w:szCs w:val="13"/>
                <w:color w:val="auto"/>
                <w:w w:val="88"/>
              </w:rPr>
              <w:t>PSU</w:t>
            </w:r>
            <w:r>
              <w:rPr>
                <w:rFonts w:ascii="Arial" w:cs="Arial" w:eastAsia="Arial" w:hAnsi="Arial"/>
                <w:sz w:val="20"/>
                <w:szCs w:val="20"/>
                <w:color w:val="auto"/>
                <w:w w:val="88"/>
                <w:vertAlign w:val="superscript"/>
              </w:rPr>
              <w:t>(4)</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819F7C"/>
          </w:tcPr>
          <w:p>
            <w:pPr>
              <w:spacing w:after="0"/>
              <w:rPr>
                <w:sz w:val="8"/>
                <w:szCs w:val="8"/>
                <w:color w:val="auto"/>
              </w:rPr>
            </w:pPr>
          </w:p>
        </w:tc>
        <w:tc>
          <w:tcPr>
            <w:tcW w:w="800" w:type="dxa"/>
            <w:vAlign w:val="bottom"/>
            <w:shd w:val="clear" w:color="auto" w:fill="819F7C"/>
          </w:tcPr>
          <w:p>
            <w:pPr>
              <w:spacing w:after="0"/>
              <w:rPr>
                <w:sz w:val="8"/>
                <w:szCs w:val="8"/>
                <w:color w:val="auto"/>
              </w:rPr>
            </w:pPr>
          </w:p>
        </w:tc>
        <w:tc>
          <w:tcPr>
            <w:tcW w:w="120" w:type="dxa"/>
            <w:vAlign w:val="bottom"/>
            <w:shd w:val="clear" w:color="auto" w:fill="819F7C"/>
          </w:tcPr>
          <w:p>
            <w:pPr>
              <w:spacing w:after="0"/>
              <w:rPr>
                <w:sz w:val="8"/>
                <w:szCs w:val="8"/>
                <w:color w:val="auto"/>
              </w:rPr>
            </w:pPr>
          </w:p>
        </w:tc>
        <w:tc>
          <w:tcPr>
            <w:tcW w:w="560" w:type="dxa"/>
            <w:vAlign w:val="bottom"/>
            <w:shd w:val="clear" w:color="auto" w:fill="819F7C"/>
          </w:tcPr>
          <w:p>
            <w:pPr>
              <w:spacing w:after="0"/>
              <w:rPr>
                <w:sz w:val="8"/>
                <w:szCs w:val="8"/>
                <w:color w:val="auto"/>
              </w:rPr>
            </w:pPr>
          </w:p>
        </w:tc>
        <w:tc>
          <w:tcPr>
            <w:tcW w:w="60" w:type="dxa"/>
            <w:vAlign w:val="bottom"/>
            <w:shd w:val="clear" w:color="auto" w:fill="819F7C"/>
          </w:tcPr>
          <w:p>
            <w:pPr>
              <w:spacing w:after="0"/>
              <w:rPr>
                <w:sz w:val="8"/>
                <w:szCs w:val="8"/>
                <w:color w:val="auto"/>
              </w:rPr>
            </w:pPr>
          </w:p>
        </w:tc>
        <w:tc>
          <w:tcPr>
            <w:tcW w:w="700" w:type="dxa"/>
            <w:vAlign w:val="bottom"/>
            <w:shd w:val="clear" w:color="auto" w:fill="819F7C"/>
          </w:tcPr>
          <w:p>
            <w:pPr>
              <w:spacing w:after="0"/>
              <w:rPr>
                <w:sz w:val="8"/>
                <w:szCs w:val="8"/>
                <w:color w:val="auto"/>
              </w:rPr>
            </w:pPr>
          </w:p>
        </w:tc>
        <w:tc>
          <w:tcPr>
            <w:tcW w:w="640" w:type="dxa"/>
            <w:vAlign w:val="bottom"/>
            <w:shd w:val="clear" w:color="auto" w:fill="819F7C"/>
          </w:tcPr>
          <w:p>
            <w:pPr>
              <w:spacing w:after="0"/>
              <w:rPr>
                <w:sz w:val="8"/>
                <w:szCs w:val="8"/>
                <w:color w:val="auto"/>
              </w:rPr>
            </w:pPr>
          </w:p>
        </w:tc>
        <w:tc>
          <w:tcPr>
            <w:tcW w:w="840" w:type="dxa"/>
            <w:vAlign w:val="bottom"/>
            <w:shd w:val="clear" w:color="auto" w:fill="819F7C"/>
          </w:tcPr>
          <w:p>
            <w:pPr>
              <w:spacing w:after="0"/>
              <w:rPr>
                <w:sz w:val="8"/>
                <w:szCs w:val="8"/>
                <w:color w:val="auto"/>
              </w:rPr>
            </w:pPr>
          </w:p>
        </w:tc>
        <w:tc>
          <w:tcPr>
            <w:tcW w:w="740" w:type="dxa"/>
            <w:vAlign w:val="bottom"/>
            <w:shd w:val="clear" w:color="auto" w:fill="819F7C"/>
          </w:tcPr>
          <w:p>
            <w:pPr>
              <w:spacing w:after="0"/>
              <w:rPr>
                <w:sz w:val="8"/>
                <w:szCs w:val="8"/>
                <w:color w:val="auto"/>
              </w:rPr>
            </w:pPr>
          </w:p>
        </w:tc>
        <w:tc>
          <w:tcPr>
            <w:tcW w:w="560" w:type="dxa"/>
            <w:vAlign w:val="bottom"/>
            <w:shd w:val="clear" w:color="auto" w:fill="819F7C"/>
          </w:tcPr>
          <w:p>
            <w:pPr>
              <w:spacing w:after="0"/>
              <w:rPr>
                <w:sz w:val="8"/>
                <w:szCs w:val="8"/>
                <w:color w:val="auto"/>
              </w:rPr>
            </w:pPr>
          </w:p>
        </w:tc>
        <w:tc>
          <w:tcPr>
            <w:tcW w:w="160" w:type="dxa"/>
            <w:vAlign w:val="bottom"/>
            <w:shd w:val="clear" w:color="auto" w:fill="819F7C"/>
          </w:tcPr>
          <w:p>
            <w:pPr>
              <w:spacing w:after="0"/>
              <w:rPr>
                <w:sz w:val="8"/>
                <w:szCs w:val="8"/>
                <w:color w:val="auto"/>
              </w:rPr>
            </w:pPr>
          </w:p>
        </w:tc>
        <w:tc>
          <w:tcPr>
            <w:tcW w:w="60" w:type="dxa"/>
            <w:vAlign w:val="bottom"/>
            <w:shd w:val="clear" w:color="auto" w:fill="819F7C"/>
          </w:tcPr>
          <w:p>
            <w:pPr>
              <w:spacing w:after="0"/>
              <w:rPr>
                <w:sz w:val="8"/>
                <w:szCs w:val="8"/>
                <w:color w:val="auto"/>
              </w:rPr>
            </w:pPr>
          </w:p>
        </w:tc>
        <w:tc>
          <w:tcPr>
            <w:tcW w:w="880" w:type="dxa"/>
            <w:vAlign w:val="bottom"/>
            <w:shd w:val="clear" w:color="auto" w:fill="819F7C"/>
          </w:tcPr>
          <w:p>
            <w:pPr>
              <w:spacing w:after="0"/>
              <w:rPr>
                <w:sz w:val="8"/>
                <w:szCs w:val="8"/>
                <w:color w:val="auto"/>
              </w:rPr>
            </w:pPr>
          </w:p>
        </w:tc>
        <w:tc>
          <w:tcPr>
            <w:tcW w:w="620" w:type="dxa"/>
            <w:vAlign w:val="bottom"/>
            <w:shd w:val="clear" w:color="auto" w:fill="819F7C"/>
          </w:tcPr>
          <w:p>
            <w:pPr>
              <w:spacing w:after="0"/>
              <w:rPr>
                <w:sz w:val="8"/>
                <w:szCs w:val="8"/>
                <w:color w:val="auto"/>
              </w:rPr>
            </w:pPr>
          </w:p>
        </w:tc>
        <w:tc>
          <w:tcPr>
            <w:tcW w:w="740" w:type="dxa"/>
            <w:vAlign w:val="bottom"/>
            <w:shd w:val="clear" w:color="auto" w:fill="819F7C"/>
          </w:tcPr>
          <w:p>
            <w:pPr>
              <w:spacing w:after="0"/>
              <w:rPr>
                <w:sz w:val="8"/>
                <w:szCs w:val="8"/>
                <w:color w:val="auto"/>
              </w:rPr>
            </w:pPr>
          </w:p>
        </w:tc>
        <w:tc>
          <w:tcPr>
            <w:tcW w:w="60" w:type="dxa"/>
            <w:vAlign w:val="bottom"/>
            <w:shd w:val="clear" w:color="auto" w:fill="819F7C"/>
          </w:tcPr>
          <w:p>
            <w:pPr>
              <w:spacing w:after="0"/>
              <w:rPr>
                <w:sz w:val="8"/>
                <w:szCs w:val="8"/>
                <w:color w:val="auto"/>
              </w:rPr>
            </w:pPr>
          </w:p>
        </w:tc>
        <w:tc>
          <w:tcPr>
            <w:tcW w:w="780" w:type="dxa"/>
            <w:vAlign w:val="bottom"/>
            <w:shd w:val="clear" w:color="auto" w:fill="819F7C"/>
          </w:tcPr>
          <w:p>
            <w:pPr>
              <w:spacing w:after="0"/>
              <w:rPr>
                <w:sz w:val="8"/>
                <w:szCs w:val="8"/>
                <w:color w:val="auto"/>
              </w:rPr>
            </w:pPr>
          </w:p>
        </w:tc>
        <w:tc>
          <w:tcPr>
            <w:tcW w:w="82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-4070985</wp:posOffset>
            </wp:positionV>
            <wp:extent cx="2871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62" w:lineRule="exact"/>
        <w:rPr>
          <w:sz w:val="20"/>
          <w:szCs w:val="20"/>
          <w:color w:val="auto"/>
        </w:rPr>
      </w:pPr>
    </w:p>
    <w:p>
      <w:pPr>
        <w:jc w:val="both"/>
        <w:ind w:left="1200" w:right="920" w:hanging="286"/>
        <w:spacing w:after="0" w:line="244" w:lineRule="auto"/>
        <w:tabs>
          <w:tab w:leader="none" w:pos="12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Amounts reported represent the potential threshold, target and maximum cash incentive award amounts depending on the level of performance achieved under the Fiscal 2024 Bonus Plan, as described in “</w:t>
      </w:r>
      <w:r>
        <w:rPr>
          <w:rFonts w:ascii="Arial" w:cs="Arial" w:eastAsia="Arial" w:hAnsi="Arial"/>
          <w:sz w:val="13"/>
          <w:szCs w:val="13"/>
          <w:i w:val="1"/>
          <w:iCs w:val="1"/>
          <w:color w:val="auto"/>
        </w:rPr>
        <w:t>Executive Compensation—Compensation Discussion and Analysis—Executive</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 Program Elements—Short-Term Cash Incentive Awards</w:t>
      </w:r>
      <w:r>
        <w:rPr>
          <w:rFonts w:ascii="Arial" w:cs="Arial" w:eastAsia="Arial" w:hAnsi="Arial"/>
          <w:sz w:val="13"/>
          <w:szCs w:val="13"/>
          <w:color w:val="auto"/>
        </w:rPr>
        <w:t>” above. Such amounts ranged from 10% of the target payout, representing</w:t>
      </w:r>
      <w:r>
        <w:rPr>
          <w:rFonts w:ascii="Arial" w:cs="Arial" w:eastAsia="Arial" w:hAnsi="Arial"/>
          <w:sz w:val="13"/>
          <w:szCs w:val="13"/>
          <w:i w:val="1"/>
          <w:iCs w:val="1"/>
          <w:color w:val="auto"/>
        </w:rPr>
        <w:t xml:space="preserve"> </w:t>
      </w:r>
      <w:r>
        <w:rPr>
          <w:rFonts w:ascii="Arial" w:cs="Arial" w:eastAsia="Arial" w:hAnsi="Arial"/>
          <w:sz w:val="13"/>
          <w:szCs w:val="13"/>
          <w:color w:val="auto"/>
        </w:rPr>
        <w:t>the lowest payout that would have been awarded upon achievement of a certain level of performance against one of the two financial goals under the Fiscal 2024 Bonus Plan, to 120% of the target payout, which represented the maximum payout possible under the Fiscal 2024 Bonus Plan. In August 2024, the Compensation Committee determined that we partially achieved the pre-established performance targets under the Fiscal 2024 Bonus Plan and awarded bonus amounts equal to 119% of each participant’s target bonus opportunity. The actual bonus amounts that were awarded are reflected in the “Non-Equity Incentive Plan Compensation” column of the “</w:t>
      </w:r>
      <w:r>
        <w:rPr>
          <w:rFonts w:ascii="Arial" w:cs="Arial" w:eastAsia="Arial" w:hAnsi="Arial"/>
          <w:sz w:val="13"/>
          <w:szCs w:val="13"/>
          <w:i w:val="1"/>
          <w:iCs w:val="1"/>
          <w:color w:val="auto"/>
        </w:rPr>
        <w:t>Summary Compensation Table</w:t>
      </w:r>
      <w:r>
        <w:rPr>
          <w:rFonts w:ascii="Arial" w:cs="Arial" w:eastAsia="Arial" w:hAnsi="Arial"/>
          <w:sz w:val="13"/>
          <w:szCs w:val="13"/>
          <w:color w:val="auto"/>
        </w:rPr>
        <w:t>” above.</w:t>
      </w:r>
    </w:p>
    <w:p>
      <w:pPr>
        <w:spacing w:after="0" w:line="26" w:lineRule="exact"/>
        <w:rPr>
          <w:rFonts w:ascii="Arial" w:cs="Arial" w:eastAsia="Arial" w:hAnsi="Arial"/>
          <w:sz w:val="13"/>
          <w:szCs w:val="13"/>
          <w:color w:val="auto"/>
        </w:rPr>
      </w:pPr>
    </w:p>
    <w:p>
      <w:pPr>
        <w:jc w:val="both"/>
        <w:ind w:left="1200" w:right="920" w:hanging="286"/>
        <w:spacing w:after="0" w:line="245" w:lineRule="auto"/>
        <w:tabs>
          <w:tab w:leader="none" w:pos="12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Amounts reported represent the potential threshold, target and maximum number of shares the Named Officer could earn pursuant to his PSU and “Stretch” PSU awards based on achievement of two-year corporate performance objectives covering fiscal 2024 and fiscal 2025. If we achieve a threshold performance level of 90% of one of two target financial goals, the PSUs will vest as to 20% of the PSUs allocated to that financial goal (i.e., 10% of the total number of PSUs). There is no threshold payout amount under the “Stretch” PSUs because </w:t>
      </w:r>
      <w:r>
        <w:rPr>
          <w:rFonts w:ascii="Arial" w:cs="Arial" w:eastAsia="Arial" w:hAnsi="Arial"/>
          <w:sz w:val="13"/>
          <w:szCs w:val="13"/>
          <w:b w:val="1"/>
          <w:bCs w:val="1"/>
          <w:color w:val="auto"/>
        </w:rPr>
        <w:t>we must exceed at least one of</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the target financial goals under the PSUs in order for any portion of the “Stretch” PSUs to vest. There is no overlap between the performance measures for PSUs and “Stretch” PSUs. </w:t>
      </w:r>
      <w:r>
        <w:rPr>
          <w:rFonts w:ascii="Arial" w:cs="Arial" w:eastAsia="Arial" w:hAnsi="Arial"/>
          <w:sz w:val="13"/>
          <w:szCs w:val="13"/>
          <w:color w:val="auto"/>
        </w:rPr>
        <w:t>For more information, see “</w:t>
      </w:r>
      <w:r>
        <w:rPr>
          <w:rFonts w:ascii="Arial" w:cs="Arial" w:eastAsia="Arial" w:hAnsi="Arial"/>
          <w:sz w:val="13"/>
          <w:szCs w:val="13"/>
          <w:i w:val="1"/>
          <w:iCs w:val="1"/>
          <w:color w:val="auto"/>
        </w:rPr>
        <w:t>Executive Compensation—Compensation Discussion and</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Analysis—Executive Compensation Program Elements—Long-Term Equity Incentive Awards</w:t>
      </w:r>
      <w:r>
        <w:rPr>
          <w:rFonts w:ascii="Arial" w:cs="Arial" w:eastAsia="Arial" w:hAnsi="Arial"/>
          <w:sz w:val="13"/>
          <w:szCs w:val="13"/>
          <w:color w:val="auto"/>
        </w:rPr>
        <w:t>” above.</w:t>
      </w:r>
    </w:p>
    <w:p>
      <w:pPr>
        <w:spacing w:after="0" w:line="25" w:lineRule="exact"/>
        <w:rPr>
          <w:rFonts w:ascii="Arial" w:cs="Arial" w:eastAsia="Arial" w:hAnsi="Arial"/>
          <w:sz w:val="13"/>
          <w:szCs w:val="13"/>
          <w:color w:val="auto"/>
        </w:rPr>
      </w:pPr>
    </w:p>
    <w:p>
      <w:pPr>
        <w:jc w:val="both"/>
        <w:ind w:left="1200" w:right="920" w:hanging="286"/>
        <w:spacing w:after="0" w:line="249" w:lineRule="auto"/>
        <w:tabs>
          <w:tab w:leader="none" w:pos="12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Reflects the aggregate grant date fair value of each equity award computed in accordance with FASB ASC Topic 718. Amounts reported for PSUs and “Stretch” PSUs are based upon the probable outcome of the performance conditions, consistent with the estimate of aggregate compensation cost to be recognized over the service period determined as of the grant date under FASB ASC Topic 718, excluding the effects of estimated forfeitures. As of the date of grant, the probable outcome of the performance conditions for these grants was 100% achievement. The reported amounts do not necessarily correspond to the actual value that may be recognized by the Named Officer.</w:t>
      </w:r>
    </w:p>
    <w:p>
      <w:pPr>
        <w:spacing w:after="0" w:line="20" w:lineRule="exact"/>
        <w:rPr>
          <w:rFonts w:ascii="Arial" w:cs="Arial" w:eastAsia="Arial" w:hAnsi="Arial"/>
          <w:sz w:val="13"/>
          <w:szCs w:val="13"/>
          <w:color w:val="auto"/>
        </w:rPr>
      </w:pPr>
    </w:p>
    <w:p>
      <w:pPr>
        <w:ind w:left="1200" w:hanging="286"/>
        <w:spacing w:after="0"/>
        <w:tabs>
          <w:tab w:leader="none" w:pos="12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Granted under our 2020 Equity Incentive Plan.</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49</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Outstanding Equity Awards at Fiscal 2024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38735</wp:posOffset>
            </wp:positionV>
            <wp:extent cx="58293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ind w:left="60" w:right="20"/>
        <w:spacing w:after="0" w:line="271" w:lineRule="auto"/>
        <w:rPr>
          <w:sz w:val="20"/>
          <w:szCs w:val="20"/>
          <w:color w:val="auto"/>
        </w:rPr>
      </w:pPr>
      <w:r>
        <w:rPr>
          <w:rFonts w:ascii="Arial" w:cs="Arial" w:eastAsia="Arial" w:hAnsi="Arial"/>
          <w:sz w:val="18"/>
          <w:szCs w:val="18"/>
          <w:color w:val="auto"/>
        </w:rPr>
        <w:t>The following table presents information regarding the outstanding equity awards held by each Named Officer as of the end of fiscal 2024.</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295"/>
        </w:trPr>
        <w:tc>
          <w:tcPr>
            <w:tcW w:w="1160" w:type="dxa"/>
            <w:vAlign w:val="bottom"/>
            <w:shd w:val="clear" w:color="auto" w:fill="819F7C"/>
          </w:tcPr>
          <w:p>
            <w:pPr>
              <w:spacing w:after="0"/>
              <w:rPr>
                <w:sz w:val="24"/>
                <w:szCs w:val="24"/>
                <w:color w:val="auto"/>
              </w:rPr>
            </w:pPr>
          </w:p>
        </w:tc>
        <w:tc>
          <w:tcPr>
            <w:tcW w:w="1460" w:type="dxa"/>
            <w:vAlign w:val="bottom"/>
            <w:shd w:val="clear" w:color="auto" w:fill="819F7C"/>
          </w:tcPr>
          <w:p>
            <w:pPr>
              <w:spacing w:after="0"/>
              <w:rPr>
                <w:sz w:val="24"/>
                <w:szCs w:val="24"/>
                <w:color w:val="auto"/>
              </w:rPr>
            </w:pPr>
          </w:p>
        </w:tc>
        <w:tc>
          <w:tcPr>
            <w:tcW w:w="560" w:type="dxa"/>
            <w:vAlign w:val="bottom"/>
            <w:shd w:val="clear" w:color="auto" w:fill="819F7C"/>
          </w:tcPr>
          <w:p>
            <w:pPr>
              <w:spacing w:after="0"/>
              <w:rPr>
                <w:sz w:val="24"/>
                <w:szCs w:val="24"/>
                <w:color w:val="auto"/>
              </w:rPr>
            </w:pPr>
          </w:p>
        </w:tc>
        <w:tc>
          <w:tcPr>
            <w:tcW w:w="1020" w:type="dxa"/>
            <w:vAlign w:val="bottom"/>
            <w:shd w:val="clear" w:color="auto" w:fill="819F7C"/>
          </w:tcPr>
          <w:p>
            <w:pPr>
              <w:spacing w:after="0"/>
              <w:rPr>
                <w:sz w:val="24"/>
                <w:szCs w:val="24"/>
                <w:color w:val="auto"/>
              </w:rPr>
            </w:pPr>
          </w:p>
        </w:tc>
        <w:tc>
          <w:tcPr>
            <w:tcW w:w="1320" w:type="dxa"/>
            <w:vAlign w:val="bottom"/>
            <w:shd w:val="clear" w:color="auto" w:fill="819F7C"/>
          </w:tcPr>
          <w:p>
            <w:pPr>
              <w:spacing w:after="0"/>
              <w:rPr>
                <w:sz w:val="24"/>
                <w:szCs w:val="24"/>
                <w:color w:val="auto"/>
              </w:rPr>
            </w:pPr>
          </w:p>
        </w:tc>
        <w:tc>
          <w:tcPr>
            <w:tcW w:w="2060" w:type="dxa"/>
            <w:vAlign w:val="bottom"/>
            <w:shd w:val="clear" w:color="auto" w:fill="819F7C"/>
          </w:tcPr>
          <w:p>
            <w:pPr>
              <w:jc w:val="right"/>
              <w:ind w:right="908"/>
              <w:spacing w:after="0"/>
              <w:rPr>
                <w:sz w:val="20"/>
                <w:szCs w:val="20"/>
                <w:color w:val="auto"/>
              </w:rPr>
            </w:pPr>
            <w:r>
              <w:rPr>
                <w:rFonts w:ascii="Arial" w:cs="Arial" w:eastAsia="Arial" w:hAnsi="Arial"/>
                <w:sz w:val="14"/>
                <w:szCs w:val="14"/>
                <w:b w:val="1"/>
                <w:bCs w:val="1"/>
                <w:color w:val="FFFFFF"/>
              </w:rPr>
              <w:t>Stock Awards</w:t>
            </w:r>
          </w:p>
        </w:tc>
        <w:tc>
          <w:tcPr>
            <w:tcW w:w="1480" w:type="dxa"/>
            <w:vAlign w:val="bottom"/>
            <w:shd w:val="clear" w:color="auto" w:fill="819F7C"/>
          </w:tcPr>
          <w:p>
            <w:pPr>
              <w:spacing w:after="0"/>
              <w:rPr>
                <w:sz w:val="24"/>
                <w:szCs w:val="24"/>
                <w:color w:val="auto"/>
              </w:rPr>
            </w:pPr>
          </w:p>
        </w:tc>
        <w:tc>
          <w:tcPr>
            <w:tcW w:w="120" w:type="dxa"/>
            <w:vAlign w:val="bottom"/>
            <w:shd w:val="clear" w:color="auto" w:fill="819F7C"/>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160" w:type="dxa"/>
            <w:vAlign w:val="bottom"/>
            <w:shd w:val="clear" w:color="auto" w:fill="819F7C"/>
          </w:tcPr>
          <w:p>
            <w:pPr>
              <w:spacing w:after="0"/>
              <w:rPr>
                <w:sz w:val="21"/>
                <w:szCs w:val="21"/>
                <w:color w:val="auto"/>
              </w:rPr>
            </w:pPr>
          </w:p>
        </w:tc>
        <w:tc>
          <w:tcPr>
            <w:tcW w:w="1460" w:type="dxa"/>
            <w:vAlign w:val="bottom"/>
            <w:shd w:val="clear" w:color="auto" w:fill="819F7C"/>
          </w:tcPr>
          <w:p>
            <w:pPr>
              <w:spacing w:after="0"/>
              <w:rPr>
                <w:sz w:val="21"/>
                <w:szCs w:val="21"/>
                <w:color w:val="auto"/>
              </w:rPr>
            </w:pPr>
          </w:p>
        </w:tc>
        <w:tc>
          <w:tcPr>
            <w:tcW w:w="560" w:type="dxa"/>
            <w:vAlign w:val="bottom"/>
            <w:shd w:val="clear" w:color="auto" w:fill="819F7C"/>
          </w:tcPr>
          <w:p>
            <w:pPr>
              <w:spacing w:after="0"/>
              <w:rPr>
                <w:sz w:val="21"/>
                <w:szCs w:val="21"/>
                <w:color w:val="auto"/>
              </w:rPr>
            </w:pPr>
          </w:p>
        </w:tc>
        <w:tc>
          <w:tcPr>
            <w:tcW w:w="1020" w:type="dxa"/>
            <w:vAlign w:val="bottom"/>
            <w:shd w:val="clear" w:color="auto" w:fill="819F7C"/>
          </w:tcPr>
          <w:p>
            <w:pPr>
              <w:spacing w:after="0"/>
              <w:rPr>
                <w:sz w:val="21"/>
                <w:szCs w:val="21"/>
                <w:color w:val="auto"/>
              </w:rPr>
            </w:pPr>
          </w:p>
        </w:tc>
        <w:tc>
          <w:tcPr>
            <w:tcW w:w="1320" w:type="dxa"/>
            <w:vAlign w:val="bottom"/>
            <w:shd w:val="clear" w:color="auto" w:fill="819F7C"/>
          </w:tcPr>
          <w:p>
            <w:pPr>
              <w:spacing w:after="0"/>
              <w:rPr>
                <w:sz w:val="21"/>
                <w:szCs w:val="21"/>
                <w:color w:val="auto"/>
              </w:rPr>
            </w:pPr>
          </w:p>
        </w:tc>
        <w:tc>
          <w:tcPr>
            <w:tcW w:w="2060" w:type="dxa"/>
            <w:vAlign w:val="bottom"/>
            <w:shd w:val="clear" w:color="auto" w:fill="819F7C"/>
          </w:tcPr>
          <w:p>
            <w:pPr>
              <w:jc w:val="right"/>
              <w:ind w:right="268"/>
              <w:spacing w:after="0"/>
              <w:rPr>
                <w:sz w:val="20"/>
                <w:szCs w:val="20"/>
                <w:color w:val="auto"/>
              </w:rPr>
            </w:pPr>
            <w:r>
              <w:rPr>
                <w:rFonts w:ascii="Arial" w:cs="Arial" w:eastAsia="Arial" w:hAnsi="Arial"/>
                <w:sz w:val="14"/>
                <w:szCs w:val="14"/>
                <w:b w:val="1"/>
                <w:bCs w:val="1"/>
                <w:color w:val="FFFFFF"/>
              </w:rPr>
              <w:t>Equity Incentive</w:t>
            </w:r>
          </w:p>
        </w:tc>
        <w:tc>
          <w:tcPr>
            <w:tcW w:w="148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Equity Incentive</w:t>
            </w:r>
          </w:p>
        </w:tc>
        <w:tc>
          <w:tcPr>
            <w:tcW w:w="120" w:type="dxa"/>
            <w:vAlign w:val="bottom"/>
            <w:shd w:val="clear" w:color="auto" w:fill="819F7C"/>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819F7C"/>
          </w:tcPr>
          <w:p>
            <w:pPr>
              <w:spacing w:after="0"/>
              <w:rPr>
                <w:sz w:val="14"/>
                <w:szCs w:val="14"/>
                <w:color w:val="auto"/>
              </w:rPr>
            </w:pPr>
          </w:p>
        </w:tc>
        <w:tc>
          <w:tcPr>
            <w:tcW w:w="1460" w:type="dxa"/>
            <w:vAlign w:val="bottom"/>
            <w:shd w:val="clear" w:color="auto" w:fill="819F7C"/>
          </w:tcPr>
          <w:p>
            <w:pPr>
              <w:spacing w:after="0"/>
              <w:rPr>
                <w:sz w:val="14"/>
                <w:szCs w:val="14"/>
                <w:color w:val="auto"/>
              </w:rPr>
            </w:pPr>
          </w:p>
        </w:tc>
        <w:tc>
          <w:tcPr>
            <w:tcW w:w="560" w:type="dxa"/>
            <w:vAlign w:val="bottom"/>
            <w:shd w:val="clear" w:color="auto" w:fill="819F7C"/>
          </w:tcPr>
          <w:p>
            <w:pPr>
              <w:spacing w:after="0"/>
              <w:rPr>
                <w:sz w:val="14"/>
                <w:szCs w:val="14"/>
                <w:color w:val="auto"/>
              </w:rPr>
            </w:pPr>
          </w:p>
        </w:tc>
        <w:tc>
          <w:tcPr>
            <w:tcW w:w="1020" w:type="dxa"/>
            <w:vAlign w:val="bottom"/>
            <w:shd w:val="clear" w:color="auto" w:fill="819F7C"/>
          </w:tcPr>
          <w:p>
            <w:pPr>
              <w:jc w:val="right"/>
              <w:ind w:right="248"/>
              <w:spacing w:after="0"/>
              <w:rPr>
                <w:sz w:val="20"/>
                <w:szCs w:val="20"/>
                <w:color w:val="auto"/>
              </w:rPr>
            </w:pPr>
            <w:r>
              <w:rPr>
                <w:rFonts w:ascii="Arial" w:cs="Arial" w:eastAsia="Arial" w:hAnsi="Arial"/>
                <w:sz w:val="14"/>
                <w:szCs w:val="14"/>
                <w:b w:val="1"/>
                <w:bCs w:val="1"/>
                <w:color w:val="FFFFFF"/>
              </w:rPr>
              <w:t>Number</w:t>
            </w:r>
          </w:p>
        </w:tc>
        <w:tc>
          <w:tcPr>
            <w:tcW w:w="1320" w:type="dxa"/>
            <w:vAlign w:val="bottom"/>
            <w:shd w:val="clear" w:color="auto" w:fill="819F7C"/>
          </w:tcPr>
          <w:p>
            <w:pPr>
              <w:jc w:val="right"/>
              <w:ind w:right="68"/>
              <w:spacing w:after="0"/>
              <w:rPr>
                <w:sz w:val="20"/>
                <w:szCs w:val="20"/>
                <w:color w:val="auto"/>
              </w:rPr>
            </w:pPr>
            <w:r>
              <w:rPr>
                <w:rFonts w:ascii="Arial" w:cs="Arial" w:eastAsia="Arial" w:hAnsi="Arial"/>
                <w:sz w:val="14"/>
                <w:szCs w:val="14"/>
                <w:b w:val="1"/>
                <w:bCs w:val="1"/>
                <w:color w:val="FFFFFF"/>
              </w:rPr>
              <w:t>Market Value</w:t>
            </w:r>
          </w:p>
        </w:tc>
        <w:tc>
          <w:tcPr>
            <w:tcW w:w="2060" w:type="dxa"/>
            <w:vAlign w:val="bottom"/>
            <w:shd w:val="clear" w:color="auto" w:fill="819F7C"/>
          </w:tcPr>
          <w:p>
            <w:pPr>
              <w:jc w:val="right"/>
              <w:ind w:right="268"/>
              <w:spacing w:after="0"/>
              <w:rPr>
                <w:sz w:val="20"/>
                <w:szCs w:val="20"/>
                <w:color w:val="auto"/>
              </w:rPr>
            </w:pPr>
            <w:r>
              <w:rPr>
                <w:rFonts w:ascii="Arial" w:cs="Arial" w:eastAsia="Arial" w:hAnsi="Arial"/>
                <w:sz w:val="14"/>
                <w:szCs w:val="14"/>
                <w:b w:val="1"/>
                <w:bCs w:val="1"/>
                <w:color w:val="FFFFFF"/>
              </w:rPr>
              <w:t>Plan Awards:</w:t>
            </w:r>
          </w:p>
        </w:tc>
        <w:tc>
          <w:tcPr>
            <w:tcW w:w="148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Plan Awards:</w:t>
            </w:r>
          </w:p>
        </w:tc>
        <w:tc>
          <w:tcPr>
            <w:tcW w:w="1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819F7C"/>
          </w:tcPr>
          <w:p>
            <w:pPr>
              <w:spacing w:after="0"/>
              <w:rPr>
                <w:sz w:val="14"/>
                <w:szCs w:val="14"/>
                <w:color w:val="auto"/>
              </w:rPr>
            </w:pPr>
          </w:p>
        </w:tc>
        <w:tc>
          <w:tcPr>
            <w:tcW w:w="1460" w:type="dxa"/>
            <w:vAlign w:val="bottom"/>
            <w:shd w:val="clear" w:color="auto" w:fill="819F7C"/>
          </w:tcPr>
          <w:p>
            <w:pPr>
              <w:spacing w:after="0"/>
              <w:rPr>
                <w:sz w:val="14"/>
                <w:szCs w:val="14"/>
                <w:color w:val="auto"/>
              </w:rPr>
            </w:pPr>
          </w:p>
        </w:tc>
        <w:tc>
          <w:tcPr>
            <w:tcW w:w="560" w:type="dxa"/>
            <w:vAlign w:val="bottom"/>
            <w:shd w:val="clear" w:color="auto" w:fill="819F7C"/>
          </w:tcPr>
          <w:p>
            <w:pPr>
              <w:spacing w:after="0"/>
              <w:rPr>
                <w:sz w:val="14"/>
                <w:szCs w:val="14"/>
                <w:color w:val="auto"/>
              </w:rPr>
            </w:pPr>
          </w:p>
        </w:tc>
        <w:tc>
          <w:tcPr>
            <w:tcW w:w="1020" w:type="dxa"/>
            <w:vAlign w:val="bottom"/>
            <w:shd w:val="clear" w:color="auto" w:fill="819F7C"/>
          </w:tcPr>
          <w:p>
            <w:pPr>
              <w:jc w:val="right"/>
              <w:ind w:right="248"/>
              <w:spacing w:after="0"/>
              <w:rPr>
                <w:sz w:val="20"/>
                <w:szCs w:val="20"/>
                <w:color w:val="auto"/>
              </w:rPr>
            </w:pPr>
            <w:r>
              <w:rPr>
                <w:rFonts w:ascii="Arial" w:cs="Arial" w:eastAsia="Arial" w:hAnsi="Arial"/>
                <w:sz w:val="14"/>
                <w:szCs w:val="14"/>
                <w:b w:val="1"/>
                <w:bCs w:val="1"/>
                <w:color w:val="FFFFFF"/>
              </w:rPr>
              <w:t>of Shares</w:t>
            </w:r>
          </w:p>
        </w:tc>
        <w:tc>
          <w:tcPr>
            <w:tcW w:w="132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of Shares</w:t>
            </w:r>
          </w:p>
        </w:tc>
        <w:tc>
          <w:tcPr>
            <w:tcW w:w="2060" w:type="dxa"/>
            <w:vAlign w:val="bottom"/>
            <w:shd w:val="clear" w:color="auto" w:fill="819F7C"/>
          </w:tcPr>
          <w:p>
            <w:pPr>
              <w:jc w:val="right"/>
              <w:ind w:right="268"/>
              <w:spacing w:after="0"/>
              <w:rPr>
                <w:sz w:val="20"/>
                <w:szCs w:val="20"/>
                <w:color w:val="auto"/>
              </w:rPr>
            </w:pPr>
            <w:r>
              <w:rPr>
                <w:rFonts w:ascii="Arial" w:cs="Arial" w:eastAsia="Arial" w:hAnsi="Arial"/>
                <w:sz w:val="14"/>
                <w:szCs w:val="14"/>
                <w:b w:val="1"/>
                <w:bCs w:val="1"/>
                <w:color w:val="FFFFFF"/>
              </w:rPr>
              <w:t>Number of</w:t>
            </w:r>
          </w:p>
        </w:tc>
        <w:tc>
          <w:tcPr>
            <w:tcW w:w="148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Market Value of</w:t>
            </w:r>
          </w:p>
        </w:tc>
        <w:tc>
          <w:tcPr>
            <w:tcW w:w="1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819F7C"/>
          </w:tcPr>
          <w:p>
            <w:pPr>
              <w:spacing w:after="0"/>
              <w:rPr>
                <w:sz w:val="14"/>
                <w:szCs w:val="14"/>
                <w:color w:val="auto"/>
              </w:rPr>
            </w:pPr>
          </w:p>
        </w:tc>
        <w:tc>
          <w:tcPr>
            <w:tcW w:w="1460" w:type="dxa"/>
            <w:vAlign w:val="bottom"/>
            <w:shd w:val="clear" w:color="auto" w:fill="819F7C"/>
          </w:tcPr>
          <w:p>
            <w:pPr>
              <w:spacing w:after="0"/>
              <w:rPr>
                <w:sz w:val="14"/>
                <w:szCs w:val="14"/>
                <w:color w:val="auto"/>
              </w:rPr>
            </w:pPr>
          </w:p>
        </w:tc>
        <w:tc>
          <w:tcPr>
            <w:tcW w:w="560" w:type="dxa"/>
            <w:vAlign w:val="bottom"/>
            <w:shd w:val="clear" w:color="auto" w:fill="819F7C"/>
          </w:tcPr>
          <w:p>
            <w:pPr>
              <w:spacing w:after="0"/>
              <w:rPr>
                <w:sz w:val="14"/>
                <w:szCs w:val="14"/>
                <w:color w:val="auto"/>
              </w:rPr>
            </w:pPr>
          </w:p>
        </w:tc>
        <w:tc>
          <w:tcPr>
            <w:tcW w:w="1020" w:type="dxa"/>
            <w:vAlign w:val="bottom"/>
            <w:shd w:val="clear" w:color="auto" w:fill="819F7C"/>
          </w:tcPr>
          <w:p>
            <w:pPr>
              <w:jc w:val="right"/>
              <w:ind w:right="208"/>
              <w:spacing w:after="0"/>
              <w:rPr>
                <w:sz w:val="20"/>
                <w:szCs w:val="20"/>
                <w:color w:val="auto"/>
              </w:rPr>
            </w:pPr>
            <w:r>
              <w:rPr>
                <w:rFonts w:ascii="Arial" w:cs="Arial" w:eastAsia="Arial" w:hAnsi="Arial"/>
                <w:sz w:val="14"/>
                <w:szCs w:val="14"/>
                <w:b w:val="1"/>
                <w:bCs w:val="1"/>
                <w:color w:val="FFFFFF"/>
              </w:rPr>
              <w:t>or Units of</w:t>
            </w:r>
          </w:p>
        </w:tc>
        <w:tc>
          <w:tcPr>
            <w:tcW w:w="132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or Units of</w:t>
            </w:r>
          </w:p>
        </w:tc>
        <w:tc>
          <w:tcPr>
            <w:tcW w:w="2060" w:type="dxa"/>
            <w:vAlign w:val="bottom"/>
            <w:shd w:val="clear" w:color="auto" w:fill="819F7C"/>
          </w:tcPr>
          <w:p>
            <w:pPr>
              <w:jc w:val="right"/>
              <w:ind w:right="268"/>
              <w:spacing w:after="0"/>
              <w:rPr>
                <w:sz w:val="20"/>
                <w:szCs w:val="20"/>
                <w:color w:val="auto"/>
              </w:rPr>
            </w:pPr>
            <w:r>
              <w:rPr>
                <w:rFonts w:ascii="Arial" w:cs="Arial" w:eastAsia="Arial" w:hAnsi="Arial"/>
                <w:sz w:val="14"/>
                <w:szCs w:val="14"/>
                <w:b w:val="1"/>
                <w:bCs w:val="1"/>
                <w:color w:val="FFFFFF"/>
              </w:rPr>
              <w:t>Unearned Shares</w:t>
            </w:r>
          </w:p>
        </w:tc>
        <w:tc>
          <w:tcPr>
            <w:tcW w:w="148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Unearned Shares</w:t>
            </w:r>
          </w:p>
        </w:tc>
        <w:tc>
          <w:tcPr>
            <w:tcW w:w="1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819F7C"/>
          </w:tcPr>
          <w:p>
            <w:pPr>
              <w:spacing w:after="0"/>
              <w:rPr>
                <w:sz w:val="14"/>
                <w:szCs w:val="14"/>
                <w:color w:val="auto"/>
              </w:rPr>
            </w:pPr>
          </w:p>
        </w:tc>
        <w:tc>
          <w:tcPr>
            <w:tcW w:w="1460" w:type="dxa"/>
            <w:vAlign w:val="bottom"/>
            <w:shd w:val="clear" w:color="auto" w:fill="819F7C"/>
          </w:tcPr>
          <w:p>
            <w:pPr>
              <w:spacing w:after="0"/>
              <w:rPr>
                <w:sz w:val="14"/>
                <w:szCs w:val="14"/>
                <w:color w:val="auto"/>
              </w:rPr>
            </w:pPr>
          </w:p>
        </w:tc>
        <w:tc>
          <w:tcPr>
            <w:tcW w:w="560" w:type="dxa"/>
            <w:vAlign w:val="bottom"/>
            <w:shd w:val="clear" w:color="auto" w:fill="819F7C"/>
          </w:tcPr>
          <w:p>
            <w:pPr>
              <w:spacing w:after="0"/>
              <w:rPr>
                <w:sz w:val="14"/>
                <w:szCs w:val="14"/>
                <w:color w:val="auto"/>
              </w:rPr>
            </w:pPr>
          </w:p>
        </w:tc>
        <w:tc>
          <w:tcPr>
            <w:tcW w:w="1020" w:type="dxa"/>
            <w:vAlign w:val="bottom"/>
            <w:shd w:val="clear" w:color="auto" w:fill="819F7C"/>
          </w:tcPr>
          <w:p>
            <w:pPr>
              <w:jc w:val="right"/>
              <w:ind w:right="208"/>
              <w:spacing w:after="0"/>
              <w:rPr>
                <w:sz w:val="20"/>
                <w:szCs w:val="20"/>
                <w:color w:val="auto"/>
              </w:rPr>
            </w:pPr>
            <w:r>
              <w:rPr>
                <w:rFonts w:ascii="Arial" w:cs="Arial" w:eastAsia="Arial" w:hAnsi="Arial"/>
                <w:sz w:val="14"/>
                <w:szCs w:val="14"/>
                <w:b w:val="1"/>
                <w:bCs w:val="1"/>
                <w:color w:val="FFFFFF"/>
              </w:rPr>
              <w:t>Stock That</w:t>
            </w:r>
          </w:p>
        </w:tc>
        <w:tc>
          <w:tcPr>
            <w:tcW w:w="132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Stock That</w:t>
            </w:r>
          </w:p>
        </w:tc>
        <w:tc>
          <w:tcPr>
            <w:tcW w:w="2060" w:type="dxa"/>
            <w:vAlign w:val="bottom"/>
            <w:shd w:val="clear" w:color="auto" w:fill="819F7C"/>
          </w:tcPr>
          <w:p>
            <w:pPr>
              <w:jc w:val="right"/>
              <w:ind w:right="268"/>
              <w:spacing w:after="0"/>
              <w:rPr>
                <w:sz w:val="20"/>
                <w:szCs w:val="20"/>
                <w:color w:val="auto"/>
              </w:rPr>
            </w:pPr>
            <w:r>
              <w:rPr>
                <w:rFonts w:ascii="Arial" w:cs="Arial" w:eastAsia="Arial" w:hAnsi="Arial"/>
                <w:sz w:val="14"/>
                <w:szCs w:val="14"/>
                <w:b w:val="1"/>
                <w:bCs w:val="1"/>
                <w:color w:val="FFFFFF"/>
              </w:rPr>
              <w:t>or Units of</w:t>
            </w:r>
          </w:p>
        </w:tc>
        <w:tc>
          <w:tcPr>
            <w:tcW w:w="148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or Units of</w:t>
            </w:r>
          </w:p>
        </w:tc>
        <w:tc>
          <w:tcPr>
            <w:tcW w:w="1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819F7C"/>
          </w:tcPr>
          <w:p>
            <w:pPr>
              <w:spacing w:after="0"/>
              <w:rPr>
                <w:sz w:val="14"/>
                <w:szCs w:val="14"/>
                <w:color w:val="auto"/>
              </w:rPr>
            </w:pPr>
          </w:p>
        </w:tc>
        <w:tc>
          <w:tcPr>
            <w:tcW w:w="1460" w:type="dxa"/>
            <w:vAlign w:val="bottom"/>
            <w:shd w:val="clear" w:color="auto" w:fill="819F7C"/>
          </w:tcPr>
          <w:p>
            <w:pPr>
              <w:spacing w:after="0"/>
              <w:rPr>
                <w:sz w:val="14"/>
                <w:szCs w:val="14"/>
                <w:color w:val="auto"/>
              </w:rPr>
            </w:pPr>
          </w:p>
        </w:tc>
        <w:tc>
          <w:tcPr>
            <w:tcW w:w="560" w:type="dxa"/>
            <w:vAlign w:val="bottom"/>
            <w:shd w:val="clear" w:color="auto" w:fill="819F7C"/>
          </w:tcPr>
          <w:p>
            <w:pPr>
              <w:spacing w:after="0"/>
              <w:rPr>
                <w:sz w:val="14"/>
                <w:szCs w:val="14"/>
                <w:color w:val="auto"/>
              </w:rPr>
            </w:pPr>
          </w:p>
        </w:tc>
        <w:tc>
          <w:tcPr>
            <w:tcW w:w="1020" w:type="dxa"/>
            <w:vAlign w:val="bottom"/>
            <w:shd w:val="clear" w:color="auto" w:fill="819F7C"/>
          </w:tcPr>
          <w:p>
            <w:pPr>
              <w:jc w:val="right"/>
              <w:ind w:right="248"/>
              <w:spacing w:after="0"/>
              <w:rPr>
                <w:sz w:val="20"/>
                <w:szCs w:val="20"/>
                <w:color w:val="auto"/>
              </w:rPr>
            </w:pPr>
            <w:r>
              <w:rPr>
                <w:rFonts w:ascii="Arial" w:cs="Arial" w:eastAsia="Arial" w:hAnsi="Arial"/>
                <w:sz w:val="14"/>
                <w:szCs w:val="14"/>
                <w:b w:val="1"/>
                <w:bCs w:val="1"/>
                <w:color w:val="FFFFFF"/>
              </w:rPr>
              <w:t>Have Not</w:t>
            </w:r>
          </w:p>
        </w:tc>
        <w:tc>
          <w:tcPr>
            <w:tcW w:w="132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Have Not</w:t>
            </w:r>
          </w:p>
        </w:tc>
        <w:tc>
          <w:tcPr>
            <w:tcW w:w="2060" w:type="dxa"/>
            <w:vAlign w:val="bottom"/>
            <w:shd w:val="clear" w:color="auto" w:fill="819F7C"/>
          </w:tcPr>
          <w:p>
            <w:pPr>
              <w:jc w:val="right"/>
              <w:ind w:right="268"/>
              <w:spacing w:after="0"/>
              <w:rPr>
                <w:sz w:val="20"/>
                <w:szCs w:val="20"/>
                <w:color w:val="auto"/>
              </w:rPr>
            </w:pPr>
            <w:r>
              <w:rPr>
                <w:rFonts w:ascii="Arial" w:cs="Arial" w:eastAsia="Arial" w:hAnsi="Arial"/>
                <w:sz w:val="14"/>
                <w:szCs w:val="14"/>
                <w:b w:val="1"/>
                <w:bCs w:val="1"/>
                <w:color w:val="FFFFFF"/>
              </w:rPr>
              <w:t>Stock That Have</w:t>
            </w:r>
          </w:p>
        </w:tc>
        <w:tc>
          <w:tcPr>
            <w:tcW w:w="148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Stock That Have</w:t>
            </w:r>
          </w:p>
        </w:tc>
        <w:tc>
          <w:tcPr>
            <w:tcW w:w="1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60" w:type="dxa"/>
            <w:vAlign w:val="bottom"/>
            <w:shd w:val="clear" w:color="auto" w:fill="819F7C"/>
          </w:tcPr>
          <w:p>
            <w:pPr>
              <w:spacing w:after="0"/>
              <w:rPr>
                <w:sz w:val="13"/>
                <w:szCs w:val="13"/>
                <w:color w:val="auto"/>
              </w:rPr>
            </w:pPr>
          </w:p>
        </w:tc>
        <w:tc>
          <w:tcPr>
            <w:tcW w:w="1460" w:type="dxa"/>
            <w:vAlign w:val="bottom"/>
            <w:shd w:val="clear" w:color="auto" w:fill="819F7C"/>
          </w:tcPr>
          <w:p>
            <w:pPr>
              <w:spacing w:after="0"/>
              <w:rPr>
                <w:sz w:val="13"/>
                <w:szCs w:val="13"/>
                <w:color w:val="auto"/>
              </w:rPr>
            </w:pPr>
          </w:p>
        </w:tc>
        <w:tc>
          <w:tcPr>
            <w:tcW w:w="560" w:type="dxa"/>
            <w:vAlign w:val="bottom"/>
            <w:shd w:val="clear" w:color="auto" w:fill="819F7C"/>
          </w:tcPr>
          <w:p>
            <w:pPr>
              <w:spacing w:after="0"/>
              <w:rPr>
                <w:sz w:val="13"/>
                <w:szCs w:val="13"/>
                <w:color w:val="auto"/>
              </w:rPr>
            </w:pPr>
          </w:p>
        </w:tc>
        <w:tc>
          <w:tcPr>
            <w:tcW w:w="1020" w:type="dxa"/>
            <w:vAlign w:val="bottom"/>
            <w:shd w:val="clear" w:color="auto" w:fill="819F7C"/>
          </w:tcPr>
          <w:p>
            <w:pPr>
              <w:jc w:val="right"/>
              <w:ind w:right="248"/>
              <w:spacing w:after="0" w:line="159" w:lineRule="exact"/>
              <w:rPr>
                <w:sz w:val="20"/>
                <w:szCs w:val="20"/>
                <w:color w:val="auto"/>
              </w:rPr>
            </w:pPr>
            <w:r>
              <w:rPr>
                <w:rFonts w:ascii="Arial" w:cs="Arial" w:eastAsia="Arial" w:hAnsi="Arial"/>
                <w:sz w:val="14"/>
                <w:szCs w:val="14"/>
                <w:b w:val="1"/>
                <w:bCs w:val="1"/>
                <w:color w:val="FFFFFF"/>
              </w:rPr>
              <w:t>Vested</w:t>
            </w:r>
          </w:p>
        </w:tc>
        <w:tc>
          <w:tcPr>
            <w:tcW w:w="1320" w:type="dxa"/>
            <w:vAlign w:val="bottom"/>
            <w:shd w:val="clear" w:color="auto" w:fill="819F7C"/>
          </w:tcPr>
          <w:p>
            <w:pPr>
              <w:jc w:val="right"/>
              <w:ind w:right="108"/>
              <w:spacing w:after="0" w:line="159" w:lineRule="exact"/>
              <w:rPr>
                <w:sz w:val="20"/>
                <w:szCs w:val="20"/>
                <w:color w:val="auto"/>
              </w:rPr>
            </w:pPr>
            <w:r>
              <w:rPr>
                <w:rFonts w:ascii="Arial" w:cs="Arial" w:eastAsia="Arial" w:hAnsi="Arial"/>
                <w:sz w:val="14"/>
                <w:szCs w:val="14"/>
                <w:b w:val="1"/>
                <w:bCs w:val="1"/>
                <w:color w:val="FFFFFF"/>
              </w:rPr>
              <w:t>Vested</w:t>
            </w:r>
          </w:p>
        </w:tc>
        <w:tc>
          <w:tcPr>
            <w:tcW w:w="2060" w:type="dxa"/>
            <w:vAlign w:val="bottom"/>
            <w:shd w:val="clear" w:color="auto" w:fill="819F7C"/>
          </w:tcPr>
          <w:p>
            <w:pPr>
              <w:jc w:val="right"/>
              <w:ind w:right="268"/>
              <w:spacing w:after="0" w:line="159" w:lineRule="exact"/>
              <w:rPr>
                <w:sz w:val="20"/>
                <w:szCs w:val="20"/>
                <w:color w:val="auto"/>
              </w:rPr>
            </w:pPr>
            <w:r>
              <w:rPr>
                <w:rFonts w:ascii="Arial" w:cs="Arial" w:eastAsia="Arial" w:hAnsi="Arial"/>
                <w:sz w:val="14"/>
                <w:szCs w:val="14"/>
                <w:b w:val="1"/>
                <w:bCs w:val="1"/>
                <w:color w:val="FFFFFF"/>
              </w:rPr>
              <w:t>Not Vested</w:t>
            </w:r>
          </w:p>
        </w:tc>
        <w:tc>
          <w:tcPr>
            <w:tcW w:w="1480" w:type="dxa"/>
            <w:vAlign w:val="bottom"/>
            <w:shd w:val="clear" w:color="auto" w:fill="819F7C"/>
          </w:tcPr>
          <w:p>
            <w:pPr>
              <w:jc w:val="right"/>
              <w:spacing w:after="0" w:line="159" w:lineRule="exact"/>
              <w:rPr>
                <w:sz w:val="20"/>
                <w:szCs w:val="20"/>
                <w:color w:val="auto"/>
              </w:rPr>
            </w:pPr>
            <w:r>
              <w:rPr>
                <w:rFonts w:ascii="Arial" w:cs="Arial" w:eastAsia="Arial" w:hAnsi="Arial"/>
                <w:sz w:val="14"/>
                <w:szCs w:val="14"/>
                <w:b w:val="1"/>
                <w:bCs w:val="1"/>
                <w:color w:val="FFFFFF"/>
              </w:rPr>
              <w:t>Not Vested</w:t>
            </w:r>
          </w:p>
        </w:tc>
        <w:tc>
          <w:tcPr>
            <w:tcW w:w="120" w:type="dxa"/>
            <w:vAlign w:val="bottom"/>
            <w:shd w:val="clear" w:color="auto" w:fill="819F7C"/>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160" w:type="dxa"/>
            <w:vAlign w:val="bottom"/>
            <w:shd w:val="clear" w:color="auto" w:fill="819F7C"/>
          </w:tcPr>
          <w:p>
            <w:pPr>
              <w:ind w:left="6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819F7C"/>
          </w:tcPr>
          <w:p>
            <w:pPr>
              <w:ind w:left="640"/>
              <w:spacing w:after="0"/>
              <w:rPr>
                <w:sz w:val="20"/>
                <w:szCs w:val="20"/>
                <w:color w:val="auto"/>
              </w:rPr>
            </w:pPr>
            <w:r>
              <w:rPr>
                <w:rFonts w:ascii="Arial" w:cs="Arial" w:eastAsia="Arial" w:hAnsi="Arial"/>
                <w:sz w:val="14"/>
                <w:szCs w:val="14"/>
                <w:b w:val="1"/>
                <w:bCs w:val="1"/>
                <w:color w:val="FFFFFF"/>
              </w:rPr>
              <w:t>Grant Date</w:t>
            </w:r>
          </w:p>
        </w:tc>
        <w:tc>
          <w:tcPr>
            <w:tcW w:w="1580" w:type="dxa"/>
            <w:vAlign w:val="bottom"/>
            <w:gridSpan w:val="2"/>
            <w:shd w:val="clear" w:color="auto" w:fill="819F7C"/>
          </w:tcPr>
          <w:p>
            <w:pPr>
              <w:jc w:val="right"/>
              <w:ind w:right="208"/>
              <w:spacing w:after="0" w:line="24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320" w:type="dxa"/>
            <w:vAlign w:val="bottom"/>
            <w:shd w:val="clear" w:color="auto" w:fill="819F7C"/>
          </w:tcPr>
          <w:p>
            <w:pPr>
              <w:jc w:val="right"/>
              <w:ind w:right="68"/>
              <w:spacing w:after="0" w:line="24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2060" w:type="dxa"/>
            <w:vAlign w:val="bottom"/>
            <w:shd w:val="clear" w:color="auto" w:fill="819F7C"/>
          </w:tcPr>
          <w:p>
            <w:pPr>
              <w:jc w:val="right"/>
              <w:ind w:right="228"/>
              <w:spacing w:after="0" w:line="24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c>
          <w:tcPr>
            <w:tcW w:w="1480" w:type="dxa"/>
            <w:vAlign w:val="bottom"/>
            <w:shd w:val="clear" w:color="auto" w:fill="819F7C"/>
          </w:tcPr>
          <w:p>
            <w:pPr>
              <w:jc w:val="right"/>
              <w:spacing w:after="0" w:line="24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(4)</w:t>
            </w:r>
          </w:p>
        </w:tc>
        <w:tc>
          <w:tcPr>
            <w:tcW w:w="120" w:type="dxa"/>
            <w:vAlign w:val="bottom"/>
            <w:shd w:val="clear" w:color="auto" w:fill="819F7C"/>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160" w:type="dxa"/>
            <w:vAlign w:val="bottom"/>
            <w:shd w:val="clear" w:color="auto" w:fill="E5E9E3"/>
          </w:tcPr>
          <w:p>
            <w:pPr>
              <w:ind w:left="60"/>
              <w:spacing w:after="0"/>
              <w:rPr>
                <w:sz w:val="20"/>
                <w:szCs w:val="20"/>
                <w:color w:val="auto"/>
              </w:rPr>
            </w:pPr>
            <w:r>
              <w:rPr>
                <w:rFonts w:ascii="Arial" w:cs="Arial" w:eastAsia="Arial" w:hAnsi="Arial"/>
                <w:sz w:val="14"/>
                <w:szCs w:val="14"/>
                <w:color w:val="auto"/>
              </w:rPr>
              <w:t>Seamus Grady</w:t>
            </w: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rPr>
              <w:t>8/24/2023</w:t>
            </w:r>
          </w:p>
        </w:tc>
        <w:tc>
          <w:tcPr>
            <w:tcW w:w="1580" w:type="dxa"/>
            <w:vAlign w:val="bottom"/>
            <w:gridSpan w:val="2"/>
            <w:shd w:val="clear" w:color="auto" w:fill="E5E9E3"/>
          </w:tcPr>
          <w:p>
            <w:pPr>
              <w:jc w:val="right"/>
              <w:ind w:right="208"/>
              <w:spacing w:after="0"/>
              <w:rPr>
                <w:sz w:val="20"/>
                <w:szCs w:val="20"/>
                <w:color w:val="auto"/>
              </w:rPr>
            </w:pPr>
            <w:r>
              <w:rPr>
                <w:rFonts w:ascii="Arial" w:cs="Arial" w:eastAsia="Arial" w:hAnsi="Arial"/>
                <w:sz w:val="14"/>
                <w:szCs w:val="14"/>
                <w:color w:val="auto"/>
              </w:rPr>
              <w:t>16,361</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4,005,009</w:t>
            </w:r>
          </w:p>
        </w:tc>
        <w:tc>
          <w:tcPr>
            <w:tcW w:w="2060" w:type="dxa"/>
            <w:vAlign w:val="bottom"/>
            <w:shd w:val="clear" w:color="auto" w:fill="E5E9E3"/>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E5E9E3"/>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1160" w:type="dxa"/>
            <w:vAlign w:val="bottom"/>
            <w:shd w:val="clear" w:color="auto" w:fill="E5E9E3"/>
          </w:tcPr>
          <w:p>
            <w:pPr>
              <w:spacing w:after="0"/>
              <w:rPr>
                <w:sz w:val="24"/>
                <w:szCs w:val="24"/>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shd w:val="clear" w:color="auto" w:fill="E5E9E3"/>
          </w:tcPr>
          <w:p>
            <w:pPr>
              <w:spacing w:after="0"/>
              <w:rPr>
                <w:sz w:val="24"/>
                <w:szCs w:val="24"/>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16,361</w:t>
            </w:r>
            <w:r>
              <w:rPr>
                <w:rFonts w:ascii="Arial" w:cs="Arial" w:eastAsia="Arial" w:hAnsi="Arial"/>
                <w:sz w:val="23"/>
                <w:szCs w:val="23"/>
                <w:color w:val="auto"/>
                <w:vertAlign w:val="superscript"/>
              </w:rPr>
              <w:t>(6)</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4,005,009</w:t>
            </w:r>
          </w:p>
        </w:tc>
        <w:tc>
          <w:tcPr>
            <w:tcW w:w="120" w:type="dxa"/>
            <w:vAlign w:val="bottom"/>
            <w:shd w:val="clear" w:color="auto" w:fill="E5E9E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E5E9E3"/>
          </w:tcPr>
          <w:p>
            <w:pPr>
              <w:spacing w:after="0"/>
              <w:rPr>
                <w:sz w:val="23"/>
                <w:szCs w:val="23"/>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shd w:val="clear" w:color="auto" w:fill="E5E9E3"/>
          </w:tcPr>
          <w:p>
            <w:pPr>
              <w:spacing w:after="0"/>
              <w:rPr>
                <w:sz w:val="23"/>
                <w:szCs w:val="23"/>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16,361</w:t>
            </w:r>
            <w:r>
              <w:rPr>
                <w:rFonts w:ascii="Arial" w:cs="Arial" w:eastAsia="Arial" w:hAnsi="Arial"/>
                <w:sz w:val="23"/>
                <w:szCs w:val="23"/>
                <w:color w:val="auto"/>
                <w:vertAlign w:val="superscript"/>
              </w:rPr>
              <w:t>(6)</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4,005,009</w:t>
            </w:r>
          </w:p>
        </w:tc>
        <w:tc>
          <w:tcPr>
            <w:tcW w:w="120" w:type="dxa"/>
            <w:vAlign w:val="bottom"/>
            <w:shd w:val="clear" w:color="auto" w:fill="E5E9E3"/>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160" w:type="dxa"/>
            <w:vAlign w:val="bottom"/>
            <w:shd w:val="clear" w:color="auto" w:fill="E5E9E3"/>
          </w:tcPr>
          <w:p>
            <w:pPr>
              <w:spacing w:after="0"/>
              <w:rPr>
                <w:sz w:val="19"/>
                <w:szCs w:val="19"/>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rPr>
              <w:t>8/18/2022</w:t>
            </w:r>
          </w:p>
        </w:tc>
        <w:tc>
          <w:tcPr>
            <w:tcW w:w="560" w:type="dxa"/>
            <w:vAlign w:val="bottom"/>
            <w:shd w:val="clear" w:color="auto" w:fill="E5E9E3"/>
          </w:tcPr>
          <w:p>
            <w:pPr>
              <w:spacing w:after="0"/>
              <w:rPr>
                <w:sz w:val="19"/>
                <w:szCs w:val="19"/>
                <w:color w:val="auto"/>
              </w:rPr>
            </w:pPr>
          </w:p>
        </w:tc>
        <w:tc>
          <w:tcPr>
            <w:tcW w:w="1020" w:type="dxa"/>
            <w:vAlign w:val="bottom"/>
            <w:shd w:val="clear" w:color="auto" w:fill="E5E9E3"/>
          </w:tcPr>
          <w:p>
            <w:pPr>
              <w:jc w:val="right"/>
              <w:ind w:right="208"/>
              <w:spacing w:after="0"/>
              <w:rPr>
                <w:sz w:val="20"/>
                <w:szCs w:val="20"/>
                <w:color w:val="auto"/>
              </w:rPr>
            </w:pPr>
            <w:r>
              <w:rPr>
                <w:rFonts w:ascii="Arial" w:cs="Arial" w:eastAsia="Arial" w:hAnsi="Arial"/>
                <w:sz w:val="14"/>
                <w:szCs w:val="14"/>
                <w:color w:val="auto"/>
              </w:rPr>
              <w:t>14,202</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3,476,508</w:t>
            </w:r>
          </w:p>
        </w:tc>
        <w:tc>
          <w:tcPr>
            <w:tcW w:w="2060" w:type="dxa"/>
            <w:vAlign w:val="bottom"/>
            <w:shd w:val="clear" w:color="auto" w:fill="E5E9E3"/>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E5E9E3"/>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1160" w:type="dxa"/>
            <w:vAlign w:val="bottom"/>
            <w:shd w:val="clear" w:color="auto" w:fill="E5E9E3"/>
          </w:tcPr>
          <w:p>
            <w:pPr>
              <w:spacing w:after="0"/>
              <w:rPr>
                <w:sz w:val="24"/>
                <w:szCs w:val="24"/>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shd w:val="clear" w:color="auto" w:fill="E5E9E3"/>
          </w:tcPr>
          <w:p>
            <w:pPr>
              <w:spacing w:after="0"/>
              <w:rPr>
                <w:sz w:val="24"/>
                <w:szCs w:val="24"/>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21,303</w:t>
            </w:r>
            <w:r>
              <w:rPr>
                <w:rFonts w:ascii="Arial" w:cs="Arial" w:eastAsia="Arial" w:hAnsi="Arial"/>
                <w:sz w:val="23"/>
                <w:szCs w:val="23"/>
                <w:color w:val="auto"/>
                <w:vertAlign w:val="superscript"/>
              </w:rPr>
              <w:t>(8)</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5,214,761</w:t>
            </w:r>
          </w:p>
        </w:tc>
        <w:tc>
          <w:tcPr>
            <w:tcW w:w="120" w:type="dxa"/>
            <w:vAlign w:val="bottom"/>
            <w:shd w:val="clear" w:color="auto" w:fill="E5E9E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E5E9E3"/>
          </w:tcPr>
          <w:p>
            <w:pPr>
              <w:spacing w:after="0"/>
              <w:rPr>
                <w:sz w:val="23"/>
                <w:szCs w:val="23"/>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shd w:val="clear" w:color="auto" w:fill="E5E9E3"/>
          </w:tcPr>
          <w:p>
            <w:pPr>
              <w:spacing w:after="0"/>
              <w:rPr>
                <w:sz w:val="23"/>
                <w:szCs w:val="23"/>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21,303</w:t>
            </w:r>
            <w:r>
              <w:rPr>
                <w:rFonts w:ascii="Arial" w:cs="Arial" w:eastAsia="Arial" w:hAnsi="Arial"/>
                <w:sz w:val="23"/>
                <w:szCs w:val="23"/>
                <w:color w:val="auto"/>
                <w:vertAlign w:val="superscript"/>
              </w:rPr>
              <w:t>(8)</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5,214,761</w:t>
            </w:r>
          </w:p>
        </w:tc>
        <w:tc>
          <w:tcPr>
            <w:tcW w:w="120" w:type="dxa"/>
            <w:vAlign w:val="bottom"/>
            <w:shd w:val="clear" w:color="auto" w:fill="E5E9E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E5E9E3"/>
            </w:tcBorders>
            <w:shd w:val="clear" w:color="auto" w:fill="E5E9E3"/>
          </w:tcPr>
          <w:p>
            <w:pPr>
              <w:spacing w:after="0"/>
              <w:rPr>
                <w:sz w:val="19"/>
                <w:szCs w:val="19"/>
                <w:color w:val="auto"/>
              </w:rPr>
            </w:pPr>
          </w:p>
        </w:tc>
        <w:tc>
          <w:tcPr>
            <w:tcW w:w="1460" w:type="dxa"/>
            <w:vAlign w:val="bottom"/>
            <w:tcBorders>
              <w:bottom w:val="single" w:sz="8" w:color="E5E9E3"/>
            </w:tcBorders>
            <w:shd w:val="clear" w:color="auto" w:fill="E5E9E3"/>
          </w:tcPr>
          <w:p>
            <w:pPr>
              <w:ind w:left="660"/>
              <w:spacing w:after="0"/>
              <w:rPr>
                <w:sz w:val="20"/>
                <w:szCs w:val="20"/>
                <w:color w:val="auto"/>
              </w:rPr>
            </w:pPr>
            <w:r>
              <w:rPr>
                <w:rFonts w:ascii="Arial" w:cs="Arial" w:eastAsia="Arial" w:hAnsi="Arial"/>
                <w:sz w:val="14"/>
                <w:szCs w:val="14"/>
                <w:color w:val="auto"/>
              </w:rPr>
              <w:t>8/19/2021</w:t>
            </w:r>
          </w:p>
        </w:tc>
        <w:tc>
          <w:tcPr>
            <w:tcW w:w="560" w:type="dxa"/>
            <w:vAlign w:val="bottom"/>
            <w:tcBorders>
              <w:bottom w:val="single" w:sz="8" w:color="E5E9E3"/>
            </w:tcBorders>
            <w:shd w:val="clear" w:color="auto" w:fill="E5E9E3"/>
          </w:tcPr>
          <w:p>
            <w:pPr>
              <w:spacing w:after="0"/>
              <w:rPr>
                <w:sz w:val="19"/>
                <w:szCs w:val="19"/>
                <w:color w:val="auto"/>
              </w:rPr>
            </w:pPr>
          </w:p>
        </w:tc>
        <w:tc>
          <w:tcPr>
            <w:tcW w:w="1020" w:type="dxa"/>
            <w:vAlign w:val="bottom"/>
            <w:tcBorders>
              <w:bottom w:val="single" w:sz="8" w:color="E5E9E3"/>
            </w:tcBorders>
            <w:shd w:val="clear" w:color="auto" w:fill="E5E9E3"/>
          </w:tcPr>
          <w:p>
            <w:pPr>
              <w:jc w:val="right"/>
              <w:ind w:right="228"/>
              <w:spacing w:after="0"/>
              <w:rPr>
                <w:sz w:val="20"/>
                <w:szCs w:val="20"/>
                <w:color w:val="auto"/>
              </w:rPr>
            </w:pPr>
            <w:r>
              <w:rPr>
                <w:rFonts w:ascii="Arial" w:cs="Arial" w:eastAsia="Arial" w:hAnsi="Arial"/>
                <w:sz w:val="14"/>
                <w:szCs w:val="14"/>
                <w:color w:val="auto"/>
              </w:rPr>
              <w:t>7,917</w:t>
            </w:r>
          </w:p>
        </w:tc>
        <w:tc>
          <w:tcPr>
            <w:tcW w:w="1320" w:type="dxa"/>
            <w:vAlign w:val="bottom"/>
            <w:tcBorders>
              <w:bottom w:val="single" w:sz="8" w:color="E5E9E3"/>
            </w:tcBorders>
            <w:shd w:val="clear" w:color="auto" w:fill="E5E9E3"/>
          </w:tcPr>
          <w:p>
            <w:pPr>
              <w:jc w:val="right"/>
              <w:ind w:right="88"/>
              <w:spacing w:after="0"/>
              <w:rPr>
                <w:sz w:val="20"/>
                <w:szCs w:val="20"/>
                <w:color w:val="auto"/>
              </w:rPr>
            </w:pPr>
            <w:r>
              <w:rPr>
                <w:rFonts w:ascii="Arial" w:cs="Arial" w:eastAsia="Arial" w:hAnsi="Arial"/>
                <w:sz w:val="14"/>
                <w:szCs w:val="14"/>
                <w:color w:val="auto"/>
              </w:rPr>
              <w:t>1,938,002</w:t>
            </w:r>
          </w:p>
        </w:tc>
        <w:tc>
          <w:tcPr>
            <w:tcW w:w="2060" w:type="dxa"/>
            <w:vAlign w:val="bottom"/>
            <w:tcBorders>
              <w:bottom w:val="single" w:sz="8" w:color="E5E9E3"/>
            </w:tcBorders>
            <w:shd w:val="clear" w:color="auto" w:fill="E5E9E3"/>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E5E9E3"/>
            </w:tcBorders>
            <w:gridSpan w:val="2"/>
            <w:shd w:val="clear" w:color="auto" w:fill="E5E9E3"/>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160" w:type="dxa"/>
            <w:vAlign w:val="bottom"/>
          </w:tcPr>
          <w:p>
            <w:pPr>
              <w:ind w:left="60"/>
              <w:spacing w:after="0"/>
              <w:rPr>
                <w:sz w:val="20"/>
                <w:szCs w:val="20"/>
                <w:color w:val="auto"/>
              </w:rPr>
            </w:pPr>
            <w:r>
              <w:rPr>
                <w:rFonts w:ascii="Arial" w:cs="Arial" w:eastAsia="Arial" w:hAnsi="Arial"/>
                <w:sz w:val="14"/>
                <w:szCs w:val="14"/>
                <w:color w:val="auto"/>
              </w:rPr>
              <w:t>Dr. Harpal Gill</w:t>
            </w:r>
          </w:p>
        </w:tc>
        <w:tc>
          <w:tcPr>
            <w:tcW w:w="1460" w:type="dxa"/>
            <w:vAlign w:val="bottom"/>
          </w:tcPr>
          <w:p>
            <w:pPr>
              <w:ind w:left="660"/>
              <w:spacing w:after="0"/>
              <w:rPr>
                <w:sz w:val="20"/>
                <w:szCs w:val="20"/>
                <w:color w:val="auto"/>
              </w:rPr>
            </w:pPr>
            <w:r>
              <w:rPr>
                <w:rFonts w:ascii="Arial" w:cs="Arial" w:eastAsia="Arial" w:hAnsi="Arial"/>
                <w:sz w:val="14"/>
                <w:szCs w:val="14"/>
                <w:color w:val="auto"/>
              </w:rPr>
              <w:t>8/24/2023</w:t>
            </w:r>
          </w:p>
        </w:tc>
        <w:tc>
          <w:tcPr>
            <w:tcW w:w="1580" w:type="dxa"/>
            <w:vAlign w:val="bottom"/>
            <w:gridSpan w:val="2"/>
          </w:tcPr>
          <w:p>
            <w:pPr>
              <w:jc w:val="right"/>
              <w:ind w:right="208"/>
              <w:spacing w:after="0"/>
              <w:rPr>
                <w:sz w:val="20"/>
                <w:szCs w:val="20"/>
                <w:color w:val="auto"/>
              </w:rPr>
            </w:pPr>
            <w:r>
              <w:rPr>
                <w:rFonts w:ascii="Arial" w:cs="Arial" w:eastAsia="Arial" w:hAnsi="Arial"/>
                <w:sz w:val="14"/>
                <w:szCs w:val="14"/>
                <w:color w:val="auto"/>
              </w:rPr>
              <w:t>10,225</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2,502,978</w:t>
            </w:r>
          </w:p>
        </w:tc>
        <w:tc>
          <w:tcPr>
            <w:tcW w:w="2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28"/>
              <w:spacing w:after="0"/>
              <w:rPr>
                <w:sz w:val="20"/>
                <w:szCs w:val="20"/>
                <w:color w:val="auto"/>
              </w:rPr>
            </w:pPr>
            <w:r>
              <w:rPr>
                <w:rFonts w:ascii="Arial" w:cs="Arial" w:eastAsia="Arial" w:hAnsi="Arial"/>
                <w:sz w:val="14"/>
                <w:szCs w:val="14"/>
                <w:color w:val="auto"/>
              </w:rPr>
              <w:t>10,225</w:t>
            </w:r>
            <w:r>
              <w:rPr>
                <w:rFonts w:ascii="Arial" w:cs="Arial" w:eastAsia="Arial" w:hAnsi="Arial"/>
                <w:sz w:val="23"/>
                <w:szCs w:val="23"/>
                <w:color w:val="auto"/>
                <w:vertAlign w:val="superscript"/>
              </w:rPr>
              <w:t>(6)</w:t>
            </w:r>
          </w:p>
        </w:tc>
        <w:tc>
          <w:tcPr>
            <w:tcW w:w="1480" w:type="dxa"/>
            <w:vAlign w:val="bottom"/>
          </w:tcPr>
          <w:p>
            <w:pPr>
              <w:jc w:val="right"/>
              <w:spacing w:after="0"/>
              <w:rPr>
                <w:sz w:val="20"/>
                <w:szCs w:val="20"/>
                <w:color w:val="auto"/>
              </w:rPr>
            </w:pPr>
            <w:r>
              <w:rPr>
                <w:rFonts w:ascii="Arial" w:cs="Arial" w:eastAsia="Arial" w:hAnsi="Arial"/>
                <w:sz w:val="14"/>
                <w:szCs w:val="14"/>
                <w:color w:val="auto"/>
              </w:rPr>
              <w:t>2,502,978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tcPr>
          <w:p>
            <w:pPr>
              <w:spacing w:after="0"/>
              <w:rPr>
                <w:sz w:val="23"/>
                <w:szCs w:val="23"/>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28"/>
              <w:spacing w:after="0"/>
              <w:rPr>
                <w:sz w:val="20"/>
                <w:szCs w:val="20"/>
                <w:color w:val="auto"/>
              </w:rPr>
            </w:pPr>
            <w:r>
              <w:rPr>
                <w:rFonts w:ascii="Arial" w:cs="Arial" w:eastAsia="Arial" w:hAnsi="Arial"/>
                <w:sz w:val="14"/>
                <w:szCs w:val="14"/>
                <w:color w:val="auto"/>
              </w:rPr>
              <w:t>10,225</w:t>
            </w:r>
            <w:r>
              <w:rPr>
                <w:rFonts w:ascii="Arial" w:cs="Arial" w:eastAsia="Arial" w:hAnsi="Arial"/>
                <w:sz w:val="23"/>
                <w:szCs w:val="23"/>
                <w:color w:val="auto"/>
                <w:vertAlign w:val="superscript"/>
              </w:rPr>
              <w:t>(6)</w:t>
            </w:r>
          </w:p>
        </w:tc>
        <w:tc>
          <w:tcPr>
            <w:tcW w:w="1480" w:type="dxa"/>
            <w:vAlign w:val="bottom"/>
          </w:tcPr>
          <w:p>
            <w:pPr>
              <w:jc w:val="right"/>
              <w:spacing w:after="0"/>
              <w:rPr>
                <w:sz w:val="20"/>
                <w:szCs w:val="20"/>
                <w:color w:val="auto"/>
              </w:rPr>
            </w:pPr>
            <w:r>
              <w:rPr>
                <w:rFonts w:ascii="Arial" w:cs="Arial" w:eastAsia="Arial" w:hAnsi="Arial"/>
                <w:sz w:val="14"/>
                <w:szCs w:val="14"/>
                <w:color w:val="auto"/>
              </w:rPr>
              <w:t>2,502,978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rPr>
              <w:t>8/18/2022</w:t>
            </w:r>
          </w:p>
        </w:tc>
        <w:tc>
          <w:tcPr>
            <w:tcW w:w="1580" w:type="dxa"/>
            <w:vAlign w:val="bottom"/>
            <w:gridSpan w:val="2"/>
          </w:tcPr>
          <w:p>
            <w:pPr>
              <w:jc w:val="right"/>
              <w:ind w:right="228"/>
              <w:spacing w:after="0"/>
              <w:rPr>
                <w:sz w:val="20"/>
                <w:szCs w:val="20"/>
                <w:color w:val="auto"/>
              </w:rPr>
            </w:pPr>
            <w:r>
              <w:rPr>
                <w:rFonts w:ascii="Arial" w:cs="Arial" w:eastAsia="Arial" w:hAnsi="Arial"/>
                <w:sz w:val="14"/>
                <w:szCs w:val="14"/>
                <w:color w:val="auto"/>
              </w:rPr>
              <w:t>9,516</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2,329,422</w:t>
            </w:r>
          </w:p>
        </w:tc>
        <w:tc>
          <w:tcPr>
            <w:tcW w:w="2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28"/>
              <w:spacing w:after="0"/>
              <w:rPr>
                <w:sz w:val="20"/>
                <w:szCs w:val="20"/>
                <w:color w:val="auto"/>
              </w:rPr>
            </w:pPr>
            <w:r>
              <w:rPr>
                <w:rFonts w:ascii="Arial" w:cs="Arial" w:eastAsia="Arial" w:hAnsi="Arial"/>
                <w:sz w:val="14"/>
                <w:szCs w:val="14"/>
                <w:color w:val="auto"/>
              </w:rPr>
              <w:t>13,634</w:t>
            </w:r>
            <w:r>
              <w:rPr>
                <w:rFonts w:ascii="Arial" w:cs="Arial" w:eastAsia="Arial" w:hAnsi="Arial"/>
                <w:sz w:val="23"/>
                <w:szCs w:val="23"/>
                <w:color w:val="auto"/>
                <w:vertAlign w:val="superscript"/>
              </w:rPr>
              <w:t>(8)</w:t>
            </w:r>
          </w:p>
        </w:tc>
        <w:tc>
          <w:tcPr>
            <w:tcW w:w="1480" w:type="dxa"/>
            <w:vAlign w:val="bottom"/>
          </w:tcPr>
          <w:p>
            <w:pPr>
              <w:jc w:val="right"/>
              <w:spacing w:after="0"/>
              <w:rPr>
                <w:sz w:val="20"/>
                <w:szCs w:val="20"/>
                <w:color w:val="auto"/>
              </w:rPr>
            </w:pPr>
            <w:r>
              <w:rPr>
                <w:rFonts w:ascii="Arial" w:cs="Arial" w:eastAsia="Arial" w:hAnsi="Arial"/>
                <w:sz w:val="14"/>
                <w:szCs w:val="14"/>
                <w:color w:val="auto"/>
              </w:rPr>
              <w:t>3,337,467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tcPr>
          <w:p>
            <w:pPr>
              <w:spacing w:after="0"/>
              <w:rPr>
                <w:sz w:val="23"/>
                <w:szCs w:val="23"/>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28"/>
              <w:spacing w:after="0"/>
              <w:rPr>
                <w:sz w:val="20"/>
                <w:szCs w:val="20"/>
                <w:color w:val="auto"/>
              </w:rPr>
            </w:pPr>
            <w:r>
              <w:rPr>
                <w:rFonts w:ascii="Arial" w:cs="Arial" w:eastAsia="Arial" w:hAnsi="Arial"/>
                <w:sz w:val="14"/>
                <w:szCs w:val="14"/>
                <w:color w:val="auto"/>
              </w:rPr>
              <w:t>13,634</w:t>
            </w:r>
            <w:r>
              <w:rPr>
                <w:rFonts w:ascii="Arial" w:cs="Arial" w:eastAsia="Arial" w:hAnsi="Arial"/>
                <w:sz w:val="23"/>
                <w:szCs w:val="23"/>
                <w:color w:val="auto"/>
                <w:vertAlign w:val="superscript"/>
              </w:rPr>
              <w:t>(8)</w:t>
            </w:r>
          </w:p>
        </w:tc>
        <w:tc>
          <w:tcPr>
            <w:tcW w:w="1480" w:type="dxa"/>
            <w:vAlign w:val="bottom"/>
          </w:tcPr>
          <w:p>
            <w:pPr>
              <w:jc w:val="right"/>
              <w:spacing w:after="0"/>
              <w:rPr>
                <w:sz w:val="20"/>
                <w:szCs w:val="20"/>
                <w:color w:val="auto"/>
              </w:rPr>
            </w:pPr>
            <w:r>
              <w:rPr>
                <w:rFonts w:ascii="Arial" w:cs="Arial" w:eastAsia="Arial" w:hAnsi="Arial"/>
                <w:sz w:val="14"/>
                <w:szCs w:val="14"/>
                <w:color w:val="auto"/>
              </w:rPr>
              <w:t>3,337,467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rPr>
              <w:t>8/19/2021</w:t>
            </w:r>
          </w:p>
        </w:tc>
        <w:tc>
          <w:tcPr>
            <w:tcW w:w="1580" w:type="dxa"/>
            <w:vAlign w:val="bottom"/>
            <w:gridSpan w:val="2"/>
          </w:tcPr>
          <w:p>
            <w:pPr>
              <w:jc w:val="right"/>
              <w:ind w:right="228"/>
              <w:spacing w:after="0"/>
              <w:rPr>
                <w:sz w:val="20"/>
                <w:szCs w:val="20"/>
                <w:color w:val="auto"/>
              </w:rPr>
            </w:pPr>
            <w:r>
              <w:rPr>
                <w:rFonts w:ascii="Arial" w:cs="Arial" w:eastAsia="Arial" w:hAnsi="Arial"/>
                <w:sz w:val="14"/>
                <w:szCs w:val="14"/>
                <w:color w:val="auto"/>
              </w:rPr>
              <w:t>4,948</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1,211,221</w:t>
            </w:r>
          </w:p>
        </w:tc>
        <w:tc>
          <w:tcPr>
            <w:tcW w:w="2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shd w:val="clear" w:color="auto" w:fill="E5E9E3"/>
          </w:tcPr>
          <w:p>
            <w:pPr>
              <w:ind w:left="60"/>
              <w:spacing w:after="0"/>
              <w:rPr>
                <w:sz w:val="20"/>
                <w:szCs w:val="20"/>
                <w:color w:val="auto"/>
              </w:rPr>
            </w:pPr>
            <w:r>
              <w:rPr>
                <w:rFonts w:ascii="Arial" w:cs="Arial" w:eastAsia="Arial" w:hAnsi="Arial"/>
                <w:sz w:val="14"/>
                <w:szCs w:val="14"/>
                <w:color w:val="auto"/>
              </w:rPr>
              <w:t>Csaba Sverha</w:t>
            </w: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rPr>
              <w:t>8/24/2023</w:t>
            </w:r>
          </w:p>
        </w:tc>
        <w:tc>
          <w:tcPr>
            <w:tcW w:w="1580" w:type="dxa"/>
            <w:vAlign w:val="bottom"/>
            <w:gridSpan w:val="2"/>
            <w:shd w:val="clear" w:color="auto" w:fill="E5E9E3"/>
          </w:tcPr>
          <w:p>
            <w:pPr>
              <w:jc w:val="right"/>
              <w:ind w:right="228"/>
              <w:spacing w:after="0"/>
              <w:rPr>
                <w:sz w:val="20"/>
                <w:szCs w:val="20"/>
                <w:color w:val="auto"/>
              </w:rPr>
            </w:pPr>
            <w:r>
              <w:rPr>
                <w:rFonts w:ascii="Arial" w:cs="Arial" w:eastAsia="Arial" w:hAnsi="Arial"/>
                <w:sz w:val="14"/>
                <w:szCs w:val="14"/>
                <w:color w:val="auto"/>
              </w:rPr>
              <w:t>5,663</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1,386,246</w:t>
            </w:r>
          </w:p>
        </w:tc>
        <w:tc>
          <w:tcPr>
            <w:tcW w:w="2060" w:type="dxa"/>
            <w:vAlign w:val="bottom"/>
            <w:shd w:val="clear" w:color="auto" w:fill="E5E9E3"/>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E5E9E3"/>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1160" w:type="dxa"/>
            <w:vAlign w:val="bottom"/>
            <w:shd w:val="clear" w:color="auto" w:fill="E5E9E3"/>
          </w:tcPr>
          <w:p>
            <w:pPr>
              <w:spacing w:after="0"/>
              <w:rPr>
                <w:sz w:val="24"/>
                <w:szCs w:val="24"/>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shd w:val="clear" w:color="auto" w:fill="E5E9E3"/>
          </w:tcPr>
          <w:p>
            <w:pPr>
              <w:spacing w:after="0"/>
              <w:rPr>
                <w:sz w:val="24"/>
                <w:szCs w:val="24"/>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48"/>
              <w:spacing w:after="0"/>
              <w:rPr>
                <w:sz w:val="20"/>
                <w:szCs w:val="20"/>
                <w:color w:val="auto"/>
              </w:rPr>
            </w:pPr>
            <w:r>
              <w:rPr>
                <w:rFonts w:ascii="Arial" w:cs="Arial" w:eastAsia="Arial" w:hAnsi="Arial"/>
                <w:sz w:val="14"/>
                <w:szCs w:val="14"/>
                <w:color w:val="auto"/>
              </w:rPr>
              <w:t>5,663</w:t>
            </w:r>
            <w:r>
              <w:rPr>
                <w:rFonts w:ascii="Arial" w:cs="Arial" w:eastAsia="Arial" w:hAnsi="Arial"/>
                <w:sz w:val="23"/>
                <w:szCs w:val="23"/>
                <w:color w:val="auto"/>
                <w:vertAlign w:val="superscript"/>
              </w:rPr>
              <w:t>(6)</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1,386,246</w:t>
            </w:r>
          </w:p>
        </w:tc>
        <w:tc>
          <w:tcPr>
            <w:tcW w:w="120" w:type="dxa"/>
            <w:vAlign w:val="bottom"/>
            <w:shd w:val="clear" w:color="auto" w:fill="E5E9E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E5E9E3"/>
          </w:tcPr>
          <w:p>
            <w:pPr>
              <w:spacing w:after="0"/>
              <w:rPr>
                <w:sz w:val="23"/>
                <w:szCs w:val="23"/>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shd w:val="clear" w:color="auto" w:fill="E5E9E3"/>
          </w:tcPr>
          <w:p>
            <w:pPr>
              <w:spacing w:after="0"/>
              <w:rPr>
                <w:sz w:val="23"/>
                <w:szCs w:val="23"/>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48"/>
              <w:spacing w:after="0"/>
              <w:rPr>
                <w:sz w:val="20"/>
                <w:szCs w:val="20"/>
                <w:color w:val="auto"/>
              </w:rPr>
            </w:pPr>
            <w:r>
              <w:rPr>
                <w:rFonts w:ascii="Arial" w:cs="Arial" w:eastAsia="Arial" w:hAnsi="Arial"/>
                <w:sz w:val="14"/>
                <w:szCs w:val="14"/>
                <w:color w:val="auto"/>
              </w:rPr>
              <w:t>5,663</w:t>
            </w:r>
            <w:r>
              <w:rPr>
                <w:rFonts w:ascii="Arial" w:cs="Arial" w:eastAsia="Arial" w:hAnsi="Arial"/>
                <w:sz w:val="23"/>
                <w:szCs w:val="23"/>
                <w:color w:val="auto"/>
                <w:vertAlign w:val="superscript"/>
              </w:rPr>
              <w:t>(6)</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1,386,246</w:t>
            </w:r>
          </w:p>
        </w:tc>
        <w:tc>
          <w:tcPr>
            <w:tcW w:w="120" w:type="dxa"/>
            <w:vAlign w:val="bottom"/>
            <w:shd w:val="clear" w:color="auto" w:fill="E5E9E3"/>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160" w:type="dxa"/>
            <w:vAlign w:val="bottom"/>
            <w:shd w:val="clear" w:color="auto" w:fill="E5E9E3"/>
          </w:tcPr>
          <w:p>
            <w:pPr>
              <w:spacing w:after="0"/>
              <w:rPr>
                <w:sz w:val="19"/>
                <w:szCs w:val="19"/>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rPr>
              <w:t>8/18/2022</w:t>
            </w:r>
          </w:p>
        </w:tc>
        <w:tc>
          <w:tcPr>
            <w:tcW w:w="560" w:type="dxa"/>
            <w:vAlign w:val="bottom"/>
            <w:shd w:val="clear" w:color="auto" w:fill="E5E9E3"/>
          </w:tcPr>
          <w:p>
            <w:pPr>
              <w:spacing w:after="0"/>
              <w:rPr>
                <w:sz w:val="19"/>
                <w:szCs w:val="19"/>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4,829</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1,182,091</w:t>
            </w:r>
          </w:p>
        </w:tc>
        <w:tc>
          <w:tcPr>
            <w:tcW w:w="2060" w:type="dxa"/>
            <w:vAlign w:val="bottom"/>
            <w:shd w:val="clear" w:color="auto" w:fill="E5E9E3"/>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E5E9E3"/>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1160" w:type="dxa"/>
            <w:vAlign w:val="bottom"/>
            <w:shd w:val="clear" w:color="auto" w:fill="E5E9E3"/>
          </w:tcPr>
          <w:p>
            <w:pPr>
              <w:spacing w:after="0"/>
              <w:rPr>
                <w:sz w:val="24"/>
                <w:szCs w:val="24"/>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shd w:val="clear" w:color="auto" w:fill="E5E9E3"/>
          </w:tcPr>
          <w:p>
            <w:pPr>
              <w:spacing w:after="0"/>
              <w:rPr>
                <w:sz w:val="24"/>
                <w:szCs w:val="24"/>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48"/>
              <w:spacing w:after="0"/>
              <w:rPr>
                <w:sz w:val="20"/>
                <w:szCs w:val="20"/>
                <w:color w:val="auto"/>
              </w:rPr>
            </w:pPr>
            <w:r>
              <w:rPr>
                <w:rFonts w:ascii="Arial" w:cs="Arial" w:eastAsia="Arial" w:hAnsi="Arial"/>
                <w:sz w:val="14"/>
                <w:szCs w:val="14"/>
                <w:color w:val="auto"/>
              </w:rPr>
              <w:t>7,243</w:t>
            </w:r>
            <w:r>
              <w:rPr>
                <w:rFonts w:ascii="Arial" w:cs="Arial" w:eastAsia="Arial" w:hAnsi="Arial"/>
                <w:sz w:val="23"/>
                <w:szCs w:val="23"/>
                <w:color w:val="auto"/>
                <w:vertAlign w:val="superscript"/>
              </w:rPr>
              <w:t>(8)</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1,773,014</w:t>
            </w:r>
          </w:p>
        </w:tc>
        <w:tc>
          <w:tcPr>
            <w:tcW w:w="120" w:type="dxa"/>
            <w:vAlign w:val="bottom"/>
            <w:shd w:val="clear" w:color="auto" w:fill="E5E9E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E5E9E3"/>
          </w:tcPr>
          <w:p>
            <w:pPr>
              <w:spacing w:after="0"/>
              <w:rPr>
                <w:sz w:val="23"/>
                <w:szCs w:val="23"/>
                <w:color w:val="auto"/>
              </w:rPr>
            </w:pPr>
          </w:p>
        </w:tc>
        <w:tc>
          <w:tcPr>
            <w:tcW w:w="1460" w:type="dxa"/>
            <w:vAlign w:val="bottom"/>
            <w:shd w:val="clear" w:color="auto" w:fill="E5E9E3"/>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shd w:val="clear" w:color="auto" w:fill="E5E9E3"/>
          </w:tcPr>
          <w:p>
            <w:pPr>
              <w:spacing w:after="0"/>
              <w:rPr>
                <w:sz w:val="23"/>
                <w:szCs w:val="23"/>
                <w:color w:val="auto"/>
              </w:rPr>
            </w:pPr>
          </w:p>
        </w:tc>
        <w:tc>
          <w:tcPr>
            <w:tcW w:w="1020" w:type="dxa"/>
            <w:vAlign w:val="bottom"/>
            <w:shd w:val="clear" w:color="auto" w:fill="E5E9E3"/>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shd w:val="clear" w:color="auto" w:fill="E5E9E3"/>
          </w:tcPr>
          <w:p>
            <w:pPr>
              <w:jc w:val="right"/>
              <w:ind w:right="248"/>
              <w:spacing w:after="0"/>
              <w:rPr>
                <w:sz w:val="20"/>
                <w:szCs w:val="20"/>
                <w:color w:val="auto"/>
              </w:rPr>
            </w:pPr>
            <w:r>
              <w:rPr>
                <w:rFonts w:ascii="Arial" w:cs="Arial" w:eastAsia="Arial" w:hAnsi="Arial"/>
                <w:sz w:val="14"/>
                <w:szCs w:val="14"/>
                <w:color w:val="auto"/>
              </w:rPr>
              <w:t>7,243</w:t>
            </w:r>
            <w:r>
              <w:rPr>
                <w:rFonts w:ascii="Arial" w:cs="Arial" w:eastAsia="Arial" w:hAnsi="Arial"/>
                <w:sz w:val="23"/>
                <w:szCs w:val="23"/>
                <w:color w:val="auto"/>
                <w:vertAlign w:val="superscript"/>
              </w:rPr>
              <w:t>(8)</w:t>
            </w:r>
          </w:p>
        </w:tc>
        <w:tc>
          <w:tcPr>
            <w:tcW w:w="14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1,773,014</w:t>
            </w:r>
          </w:p>
        </w:tc>
        <w:tc>
          <w:tcPr>
            <w:tcW w:w="120" w:type="dxa"/>
            <w:vAlign w:val="bottom"/>
            <w:shd w:val="clear" w:color="auto" w:fill="E5E9E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E5E9E3"/>
            </w:tcBorders>
            <w:shd w:val="clear" w:color="auto" w:fill="E5E9E3"/>
          </w:tcPr>
          <w:p>
            <w:pPr>
              <w:spacing w:after="0"/>
              <w:rPr>
                <w:sz w:val="19"/>
                <w:szCs w:val="19"/>
                <w:color w:val="auto"/>
              </w:rPr>
            </w:pPr>
          </w:p>
        </w:tc>
        <w:tc>
          <w:tcPr>
            <w:tcW w:w="1460" w:type="dxa"/>
            <w:vAlign w:val="bottom"/>
            <w:tcBorders>
              <w:bottom w:val="single" w:sz="8" w:color="E5E9E3"/>
            </w:tcBorders>
            <w:shd w:val="clear" w:color="auto" w:fill="E5E9E3"/>
          </w:tcPr>
          <w:p>
            <w:pPr>
              <w:ind w:left="660"/>
              <w:spacing w:after="0"/>
              <w:rPr>
                <w:sz w:val="20"/>
                <w:szCs w:val="20"/>
                <w:color w:val="auto"/>
              </w:rPr>
            </w:pPr>
            <w:r>
              <w:rPr>
                <w:rFonts w:ascii="Arial" w:cs="Arial" w:eastAsia="Arial" w:hAnsi="Arial"/>
                <w:sz w:val="14"/>
                <w:szCs w:val="14"/>
                <w:color w:val="auto"/>
              </w:rPr>
              <w:t>8/19/2021</w:t>
            </w:r>
          </w:p>
        </w:tc>
        <w:tc>
          <w:tcPr>
            <w:tcW w:w="560" w:type="dxa"/>
            <w:vAlign w:val="bottom"/>
            <w:tcBorders>
              <w:bottom w:val="single" w:sz="8" w:color="E5E9E3"/>
            </w:tcBorders>
            <w:shd w:val="clear" w:color="auto" w:fill="E5E9E3"/>
          </w:tcPr>
          <w:p>
            <w:pPr>
              <w:spacing w:after="0"/>
              <w:rPr>
                <w:sz w:val="19"/>
                <w:szCs w:val="19"/>
                <w:color w:val="auto"/>
              </w:rPr>
            </w:pPr>
          </w:p>
        </w:tc>
        <w:tc>
          <w:tcPr>
            <w:tcW w:w="1020" w:type="dxa"/>
            <w:vAlign w:val="bottom"/>
            <w:tcBorders>
              <w:bottom w:val="single" w:sz="8" w:color="E5E9E3"/>
            </w:tcBorders>
            <w:shd w:val="clear" w:color="auto" w:fill="E5E9E3"/>
          </w:tcPr>
          <w:p>
            <w:pPr>
              <w:jc w:val="right"/>
              <w:ind w:right="228"/>
              <w:spacing w:after="0"/>
              <w:rPr>
                <w:sz w:val="20"/>
                <w:szCs w:val="20"/>
                <w:color w:val="auto"/>
              </w:rPr>
            </w:pPr>
            <w:r>
              <w:rPr>
                <w:rFonts w:ascii="Arial" w:cs="Arial" w:eastAsia="Arial" w:hAnsi="Arial"/>
                <w:sz w:val="14"/>
                <w:szCs w:val="14"/>
                <w:color w:val="auto"/>
              </w:rPr>
              <w:t>2,639</w:t>
            </w:r>
          </w:p>
        </w:tc>
        <w:tc>
          <w:tcPr>
            <w:tcW w:w="1320" w:type="dxa"/>
            <w:vAlign w:val="bottom"/>
            <w:tcBorders>
              <w:bottom w:val="single" w:sz="8" w:color="E5E9E3"/>
            </w:tcBorders>
            <w:shd w:val="clear" w:color="auto" w:fill="E5E9E3"/>
          </w:tcPr>
          <w:p>
            <w:pPr>
              <w:jc w:val="right"/>
              <w:ind w:right="88"/>
              <w:spacing w:after="0"/>
              <w:rPr>
                <w:sz w:val="20"/>
                <w:szCs w:val="20"/>
                <w:color w:val="auto"/>
              </w:rPr>
            </w:pPr>
            <w:r>
              <w:rPr>
                <w:rFonts w:ascii="Arial" w:cs="Arial" w:eastAsia="Arial" w:hAnsi="Arial"/>
                <w:sz w:val="14"/>
                <w:szCs w:val="14"/>
                <w:color w:val="auto"/>
              </w:rPr>
              <w:t>646,001</w:t>
            </w:r>
          </w:p>
        </w:tc>
        <w:tc>
          <w:tcPr>
            <w:tcW w:w="2060" w:type="dxa"/>
            <w:vAlign w:val="bottom"/>
            <w:tcBorders>
              <w:bottom w:val="single" w:sz="8" w:color="E5E9E3"/>
            </w:tcBorders>
            <w:shd w:val="clear" w:color="auto" w:fill="E5E9E3"/>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E5E9E3"/>
            </w:tcBorders>
            <w:gridSpan w:val="2"/>
            <w:shd w:val="clear" w:color="auto" w:fill="E5E9E3"/>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160" w:type="dxa"/>
            <w:vAlign w:val="bottom"/>
          </w:tcPr>
          <w:p>
            <w:pPr>
              <w:ind w:left="60"/>
              <w:spacing w:after="0"/>
              <w:rPr>
                <w:sz w:val="20"/>
                <w:szCs w:val="20"/>
                <w:color w:val="auto"/>
              </w:rPr>
            </w:pPr>
            <w:r>
              <w:rPr>
                <w:rFonts w:ascii="Arial" w:cs="Arial" w:eastAsia="Arial" w:hAnsi="Arial"/>
                <w:sz w:val="14"/>
                <w:szCs w:val="14"/>
                <w:color w:val="auto"/>
              </w:rPr>
              <w:t>Edward T.</w:t>
            </w:r>
          </w:p>
        </w:tc>
        <w:tc>
          <w:tcPr>
            <w:tcW w:w="1460" w:type="dxa"/>
            <w:vAlign w:val="bottom"/>
          </w:tcPr>
          <w:p>
            <w:pPr>
              <w:ind w:left="660"/>
              <w:spacing w:after="0"/>
              <w:rPr>
                <w:sz w:val="20"/>
                <w:szCs w:val="20"/>
                <w:color w:val="auto"/>
              </w:rPr>
            </w:pPr>
            <w:r>
              <w:rPr>
                <w:rFonts w:ascii="Arial" w:cs="Arial" w:eastAsia="Arial" w:hAnsi="Arial"/>
                <w:sz w:val="14"/>
                <w:szCs w:val="14"/>
                <w:color w:val="auto"/>
              </w:rPr>
              <w:t>8/24/2023</w:t>
            </w:r>
          </w:p>
        </w:tc>
        <w:tc>
          <w:tcPr>
            <w:tcW w:w="1580" w:type="dxa"/>
            <w:vAlign w:val="bottom"/>
            <w:gridSpan w:val="2"/>
          </w:tcPr>
          <w:p>
            <w:pPr>
              <w:jc w:val="right"/>
              <w:ind w:right="228"/>
              <w:spacing w:after="0"/>
              <w:rPr>
                <w:sz w:val="20"/>
                <w:szCs w:val="20"/>
                <w:color w:val="auto"/>
              </w:rPr>
            </w:pPr>
            <w:r>
              <w:rPr>
                <w:rFonts w:ascii="Arial" w:cs="Arial" w:eastAsia="Arial" w:hAnsi="Arial"/>
                <w:sz w:val="14"/>
                <w:szCs w:val="14"/>
                <w:color w:val="auto"/>
              </w:rPr>
              <w:t>4,719</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1,155,164</w:t>
            </w:r>
          </w:p>
        </w:tc>
        <w:tc>
          <w:tcPr>
            <w:tcW w:w="2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160" w:type="dxa"/>
            <w:vAlign w:val="bottom"/>
          </w:tcPr>
          <w:p>
            <w:pPr>
              <w:ind w:left="60"/>
              <w:spacing w:after="0"/>
              <w:rPr>
                <w:sz w:val="20"/>
                <w:szCs w:val="20"/>
                <w:color w:val="auto"/>
              </w:rPr>
            </w:pPr>
            <w:r>
              <w:rPr>
                <w:rFonts w:ascii="Arial" w:cs="Arial" w:eastAsia="Arial" w:hAnsi="Arial"/>
                <w:sz w:val="14"/>
                <w:szCs w:val="14"/>
                <w:color w:val="auto"/>
              </w:rPr>
              <w:t>Archer</w:t>
            </w:r>
          </w:p>
        </w:tc>
        <w:tc>
          <w:tcPr>
            <w:tcW w:w="1460" w:type="dxa"/>
            <w:vAlign w:val="bottom"/>
            <w:vMerge w:val="restart"/>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tcPr>
          <w:p>
            <w:pPr>
              <w:spacing w:after="0"/>
              <w:rPr>
                <w:sz w:val="16"/>
                <w:szCs w:val="16"/>
                <w:color w:val="auto"/>
              </w:rPr>
            </w:pP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248"/>
              <w:spacing w:after="0"/>
              <w:rPr>
                <w:sz w:val="20"/>
                <w:szCs w:val="20"/>
                <w:color w:val="auto"/>
              </w:rPr>
            </w:pPr>
            <w:r>
              <w:rPr>
                <w:rFonts w:ascii="Arial" w:cs="Arial" w:eastAsia="Arial" w:hAnsi="Arial"/>
                <w:sz w:val="14"/>
                <w:szCs w:val="14"/>
                <w:color w:val="auto"/>
              </w:rPr>
              <w:t>4,719</w:t>
            </w:r>
            <w:r>
              <w:rPr>
                <w:rFonts w:ascii="Arial" w:cs="Arial" w:eastAsia="Arial" w:hAnsi="Arial"/>
                <w:sz w:val="23"/>
                <w:szCs w:val="23"/>
                <w:color w:val="auto"/>
                <w:vertAlign w:val="superscript"/>
              </w:rPr>
              <w:t>(6)</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1,155,164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8/24/2023</w:t>
            </w:r>
            <w:r>
              <w:rPr>
                <w:rFonts w:ascii="Arial" w:cs="Arial" w:eastAsia="Arial" w:hAnsi="Arial"/>
                <w:sz w:val="23"/>
                <w:szCs w:val="23"/>
                <w:color w:val="auto"/>
                <w:w w:val="96"/>
                <w:vertAlign w:val="superscript"/>
              </w:rPr>
              <w:t>(5)</w:t>
            </w:r>
          </w:p>
        </w:tc>
        <w:tc>
          <w:tcPr>
            <w:tcW w:w="560" w:type="dxa"/>
            <w:vAlign w:val="bottom"/>
          </w:tcPr>
          <w:p>
            <w:pPr>
              <w:spacing w:after="0"/>
              <w:rPr>
                <w:sz w:val="23"/>
                <w:szCs w:val="23"/>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48"/>
              <w:spacing w:after="0"/>
              <w:rPr>
                <w:sz w:val="20"/>
                <w:szCs w:val="20"/>
                <w:color w:val="auto"/>
              </w:rPr>
            </w:pPr>
            <w:r>
              <w:rPr>
                <w:rFonts w:ascii="Arial" w:cs="Arial" w:eastAsia="Arial" w:hAnsi="Arial"/>
                <w:sz w:val="14"/>
                <w:szCs w:val="14"/>
                <w:color w:val="auto"/>
              </w:rPr>
              <w:t>4,719</w:t>
            </w:r>
            <w:r>
              <w:rPr>
                <w:rFonts w:ascii="Arial" w:cs="Arial" w:eastAsia="Arial" w:hAnsi="Arial"/>
                <w:sz w:val="23"/>
                <w:szCs w:val="23"/>
                <w:color w:val="auto"/>
                <w:vertAlign w:val="superscript"/>
              </w:rPr>
              <w:t>(6)</w:t>
            </w:r>
          </w:p>
        </w:tc>
        <w:tc>
          <w:tcPr>
            <w:tcW w:w="1480" w:type="dxa"/>
            <w:vAlign w:val="bottom"/>
          </w:tcPr>
          <w:p>
            <w:pPr>
              <w:jc w:val="right"/>
              <w:spacing w:after="0"/>
              <w:rPr>
                <w:sz w:val="20"/>
                <w:szCs w:val="20"/>
                <w:color w:val="auto"/>
              </w:rPr>
            </w:pPr>
            <w:r>
              <w:rPr>
                <w:rFonts w:ascii="Arial" w:cs="Arial" w:eastAsia="Arial" w:hAnsi="Arial"/>
                <w:sz w:val="14"/>
                <w:szCs w:val="14"/>
                <w:color w:val="auto"/>
              </w:rPr>
              <w:t>1,155,164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rPr>
              <w:t>8/18/2022</w:t>
            </w:r>
          </w:p>
        </w:tc>
        <w:tc>
          <w:tcPr>
            <w:tcW w:w="1580" w:type="dxa"/>
            <w:vAlign w:val="bottom"/>
            <w:gridSpan w:val="2"/>
          </w:tcPr>
          <w:p>
            <w:pPr>
              <w:jc w:val="right"/>
              <w:ind w:right="228"/>
              <w:spacing w:after="0"/>
              <w:rPr>
                <w:sz w:val="20"/>
                <w:szCs w:val="20"/>
                <w:color w:val="auto"/>
              </w:rPr>
            </w:pPr>
            <w:r>
              <w:rPr>
                <w:rFonts w:ascii="Arial" w:cs="Arial" w:eastAsia="Arial" w:hAnsi="Arial"/>
                <w:sz w:val="14"/>
                <w:szCs w:val="14"/>
                <w:color w:val="auto"/>
              </w:rPr>
              <w:t>4,261</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1,043,050</w:t>
            </w:r>
          </w:p>
        </w:tc>
        <w:tc>
          <w:tcPr>
            <w:tcW w:w="2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48"/>
              <w:spacing w:after="0"/>
              <w:rPr>
                <w:sz w:val="20"/>
                <w:szCs w:val="20"/>
                <w:color w:val="auto"/>
              </w:rPr>
            </w:pPr>
            <w:r>
              <w:rPr>
                <w:rFonts w:ascii="Arial" w:cs="Arial" w:eastAsia="Arial" w:hAnsi="Arial"/>
                <w:sz w:val="14"/>
                <w:szCs w:val="14"/>
                <w:color w:val="auto"/>
              </w:rPr>
              <w:t>6,391</w:t>
            </w:r>
            <w:r>
              <w:rPr>
                <w:rFonts w:ascii="Arial" w:cs="Arial" w:eastAsia="Arial" w:hAnsi="Arial"/>
                <w:sz w:val="23"/>
                <w:szCs w:val="23"/>
                <w:color w:val="auto"/>
                <w:vertAlign w:val="superscript"/>
              </w:rPr>
              <w:t>(8)</w:t>
            </w:r>
          </w:p>
        </w:tc>
        <w:tc>
          <w:tcPr>
            <w:tcW w:w="1480" w:type="dxa"/>
            <w:vAlign w:val="bottom"/>
          </w:tcPr>
          <w:p>
            <w:pPr>
              <w:jc w:val="right"/>
              <w:spacing w:after="0"/>
              <w:rPr>
                <w:sz w:val="20"/>
                <w:szCs w:val="20"/>
                <w:color w:val="auto"/>
              </w:rPr>
            </w:pPr>
            <w:r>
              <w:rPr>
                <w:rFonts w:ascii="Arial" w:cs="Arial" w:eastAsia="Arial" w:hAnsi="Arial"/>
                <w:sz w:val="14"/>
                <w:szCs w:val="14"/>
                <w:color w:val="auto"/>
              </w:rPr>
              <w:t>1,564,453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w w:val="96"/>
              </w:rPr>
              <w:t>8/18/2022</w:t>
            </w:r>
            <w:r>
              <w:rPr>
                <w:rFonts w:ascii="Arial" w:cs="Arial" w:eastAsia="Arial" w:hAnsi="Arial"/>
                <w:sz w:val="23"/>
                <w:szCs w:val="23"/>
                <w:color w:val="auto"/>
                <w:w w:val="96"/>
                <w:vertAlign w:val="superscript"/>
              </w:rPr>
              <w:t>(7)</w:t>
            </w:r>
          </w:p>
        </w:tc>
        <w:tc>
          <w:tcPr>
            <w:tcW w:w="560" w:type="dxa"/>
            <w:vAlign w:val="bottom"/>
          </w:tcPr>
          <w:p>
            <w:pPr>
              <w:spacing w:after="0"/>
              <w:rPr>
                <w:sz w:val="23"/>
                <w:szCs w:val="23"/>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248"/>
              <w:spacing w:after="0"/>
              <w:rPr>
                <w:sz w:val="20"/>
                <w:szCs w:val="20"/>
                <w:color w:val="auto"/>
              </w:rPr>
            </w:pPr>
            <w:r>
              <w:rPr>
                <w:rFonts w:ascii="Arial" w:cs="Arial" w:eastAsia="Arial" w:hAnsi="Arial"/>
                <w:sz w:val="14"/>
                <w:szCs w:val="14"/>
                <w:color w:val="auto"/>
              </w:rPr>
              <w:t>6,391</w:t>
            </w:r>
            <w:r>
              <w:rPr>
                <w:rFonts w:ascii="Arial" w:cs="Arial" w:eastAsia="Arial" w:hAnsi="Arial"/>
                <w:sz w:val="23"/>
                <w:szCs w:val="23"/>
                <w:color w:val="auto"/>
                <w:vertAlign w:val="superscript"/>
              </w:rPr>
              <w:t>(8)</w:t>
            </w:r>
          </w:p>
        </w:tc>
        <w:tc>
          <w:tcPr>
            <w:tcW w:w="1480" w:type="dxa"/>
            <w:vAlign w:val="bottom"/>
          </w:tcPr>
          <w:p>
            <w:pPr>
              <w:jc w:val="right"/>
              <w:spacing w:after="0"/>
              <w:rPr>
                <w:sz w:val="20"/>
                <w:szCs w:val="20"/>
                <w:color w:val="auto"/>
              </w:rPr>
            </w:pPr>
            <w:r>
              <w:rPr>
                <w:rFonts w:ascii="Arial" w:cs="Arial" w:eastAsia="Arial" w:hAnsi="Arial"/>
                <w:sz w:val="14"/>
                <w:szCs w:val="14"/>
                <w:color w:val="auto"/>
              </w:rPr>
              <w:t>1,564,453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1460" w:type="dxa"/>
            <w:vAlign w:val="bottom"/>
          </w:tcPr>
          <w:p>
            <w:pPr>
              <w:ind w:left="660"/>
              <w:spacing w:after="0"/>
              <w:rPr>
                <w:sz w:val="20"/>
                <w:szCs w:val="20"/>
                <w:color w:val="auto"/>
              </w:rPr>
            </w:pPr>
            <w:r>
              <w:rPr>
                <w:rFonts w:ascii="Arial" w:cs="Arial" w:eastAsia="Arial" w:hAnsi="Arial"/>
                <w:sz w:val="14"/>
                <w:szCs w:val="14"/>
                <w:color w:val="auto"/>
              </w:rPr>
              <w:t>8/19/2021</w:t>
            </w:r>
          </w:p>
        </w:tc>
        <w:tc>
          <w:tcPr>
            <w:tcW w:w="1580" w:type="dxa"/>
            <w:vAlign w:val="bottom"/>
            <w:gridSpan w:val="2"/>
          </w:tcPr>
          <w:p>
            <w:pPr>
              <w:jc w:val="right"/>
              <w:ind w:right="228"/>
              <w:spacing w:after="0"/>
              <w:rPr>
                <w:sz w:val="20"/>
                <w:szCs w:val="20"/>
                <w:color w:val="auto"/>
              </w:rPr>
            </w:pPr>
            <w:r>
              <w:rPr>
                <w:rFonts w:ascii="Arial" w:cs="Arial" w:eastAsia="Arial" w:hAnsi="Arial"/>
                <w:sz w:val="14"/>
                <w:szCs w:val="14"/>
                <w:color w:val="auto"/>
              </w:rPr>
              <w:t>2,309</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565,220</w:t>
            </w:r>
          </w:p>
        </w:tc>
        <w:tc>
          <w:tcPr>
            <w:tcW w:w="2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1160" w:type="dxa"/>
            <w:vAlign w:val="bottom"/>
            <w:shd w:val="clear" w:color="auto" w:fill="819F7C"/>
          </w:tcPr>
          <w:p>
            <w:pPr>
              <w:spacing w:after="0"/>
              <w:rPr>
                <w:sz w:val="8"/>
                <w:szCs w:val="8"/>
                <w:color w:val="auto"/>
              </w:rPr>
            </w:pPr>
          </w:p>
        </w:tc>
        <w:tc>
          <w:tcPr>
            <w:tcW w:w="1460" w:type="dxa"/>
            <w:vAlign w:val="bottom"/>
            <w:shd w:val="clear" w:color="auto" w:fill="819F7C"/>
          </w:tcPr>
          <w:p>
            <w:pPr>
              <w:spacing w:after="0"/>
              <w:rPr>
                <w:sz w:val="8"/>
                <w:szCs w:val="8"/>
                <w:color w:val="auto"/>
              </w:rPr>
            </w:pPr>
          </w:p>
        </w:tc>
        <w:tc>
          <w:tcPr>
            <w:tcW w:w="560" w:type="dxa"/>
            <w:vAlign w:val="bottom"/>
            <w:shd w:val="clear" w:color="auto" w:fill="819F7C"/>
          </w:tcPr>
          <w:p>
            <w:pPr>
              <w:spacing w:after="0"/>
              <w:rPr>
                <w:sz w:val="8"/>
                <w:szCs w:val="8"/>
                <w:color w:val="auto"/>
              </w:rPr>
            </w:pPr>
          </w:p>
        </w:tc>
        <w:tc>
          <w:tcPr>
            <w:tcW w:w="1020" w:type="dxa"/>
            <w:vAlign w:val="bottom"/>
            <w:shd w:val="clear" w:color="auto" w:fill="819F7C"/>
          </w:tcPr>
          <w:p>
            <w:pPr>
              <w:spacing w:after="0"/>
              <w:rPr>
                <w:sz w:val="8"/>
                <w:szCs w:val="8"/>
                <w:color w:val="auto"/>
              </w:rPr>
            </w:pPr>
          </w:p>
        </w:tc>
        <w:tc>
          <w:tcPr>
            <w:tcW w:w="1320" w:type="dxa"/>
            <w:vAlign w:val="bottom"/>
            <w:shd w:val="clear" w:color="auto" w:fill="819F7C"/>
          </w:tcPr>
          <w:p>
            <w:pPr>
              <w:spacing w:after="0"/>
              <w:rPr>
                <w:sz w:val="8"/>
                <w:szCs w:val="8"/>
                <w:color w:val="auto"/>
              </w:rPr>
            </w:pPr>
          </w:p>
        </w:tc>
        <w:tc>
          <w:tcPr>
            <w:tcW w:w="2060" w:type="dxa"/>
            <w:vAlign w:val="bottom"/>
            <w:shd w:val="clear" w:color="auto" w:fill="819F7C"/>
          </w:tcPr>
          <w:p>
            <w:pPr>
              <w:spacing w:after="0"/>
              <w:rPr>
                <w:sz w:val="8"/>
                <w:szCs w:val="8"/>
                <w:color w:val="auto"/>
              </w:rPr>
            </w:pPr>
          </w:p>
        </w:tc>
        <w:tc>
          <w:tcPr>
            <w:tcW w:w="1480" w:type="dxa"/>
            <w:vAlign w:val="bottom"/>
            <w:shd w:val="clear" w:color="auto" w:fill="819F7C"/>
          </w:tcPr>
          <w:p>
            <w:pPr>
              <w:spacing w:after="0"/>
              <w:rPr>
                <w:sz w:val="8"/>
                <w:szCs w:val="8"/>
                <w:color w:val="auto"/>
              </w:rPr>
            </w:pPr>
          </w:p>
        </w:tc>
        <w:tc>
          <w:tcPr>
            <w:tcW w:w="12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-5545455</wp:posOffset>
            </wp:positionV>
            <wp:extent cx="37376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62" w:lineRule="exact"/>
        <w:rPr>
          <w:sz w:val="20"/>
          <w:szCs w:val="20"/>
          <w:color w:val="auto"/>
        </w:rPr>
      </w:pPr>
    </w:p>
    <w:p>
      <w:pPr>
        <w:ind w:left="340" w:hanging="286"/>
        <w:spacing w:after="0" w:line="281" w:lineRule="auto"/>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Stock awards in this column consist of unvested time-based RSUs. Unless otherwise noted, all time-based RSUs are scheduled to vest over a three-year period at a rate of one-third on each anniversary of the grant date, subject to continued service with us through the applicable vesting date.</w:t>
      </w:r>
    </w:p>
    <w:p>
      <w:pPr>
        <w:ind w:left="340" w:right="20" w:hanging="286"/>
        <w:spacing w:after="0" w:line="281" w:lineRule="auto"/>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Values reported were determined by multiplying the number of unvested time-based RSUs by $244.79, the closing price on the NYSE of our ordinary shares on June 28, 2024, the last business day of fiscal 2024.</w:t>
      </w:r>
    </w:p>
    <w:p>
      <w:pPr>
        <w:ind w:left="340" w:hanging="286"/>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Amounts reported assume achievement in full of performance measures under PSU and “Stretch” PSU awards.</w:t>
      </w:r>
    </w:p>
    <w:p>
      <w:pPr>
        <w:spacing w:after="0" w:line="53" w:lineRule="exact"/>
        <w:rPr>
          <w:rFonts w:ascii="Arial" w:cs="Arial" w:eastAsia="Arial" w:hAnsi="Arial"/>
          <w:sz w:val="13"/>
          <w:szCs w:val="13"/>
          <w:color w:val="auto"/>
        </w:rPr>
      </w:pPr>
    </w:p>
    <w:p>
      <w:pPr>
        <w:ind w:left="340" w:right="20" w:hanging="286"/>
        <w:spacing w:after="0" w:line="280" w:lineRule="auto"/>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Values reported determined by multiplying the number of unvested PSUs and “Stretch” PSUs (assuming achievement in full of performance measures) by $244.79, the closing price on the NYSE of our ordinary shares on June 28, 2024, the last business day of fiscal 2024.</w:t>
      </w:r>
    </w:p>
    <w:p>
      <w:pPr>
        <w:ind w:left="340" w:hanging="286"/>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performance cycle for this award began on July 1, 2023 and ends on June 27, 2025 (the “</w:t>
      </w:r>
      <w:r>
        <w:rPr>
          <w:rFonts w:ascii="Arial" w:cs="Arial" w:eastAsia="Arial" w:hAnsi="Arial"/>
          <w:sz w:val="13"/>
          <w:szCs w:val="13"/>
          <w:b w:val="1"/>
          <w:bCs w:val="1"/>
          <w:color w:val="auto"/>
        </w:rPr>
        <w:t>fiscal 2024-2025 cycle</w:t>
      </w:r>
      <w:r>
        <w:rPr>
          <w:rFonts w:ascii="Arial" w:cs="Arial" w:eastAsia="Arial" w:hAnsi="Arial"/>
          <w:sz w:val="13"/>
          <w:szCs w:val="13"/>
          <w:color w:val="auto"/>
        </w:rPr>
        <w:t>”).</w:t>
      </w:r>
    </w:p>
    <w:p>
      <w:pPr>
        <w:spacing w:after="0" w:line="55" w:lineRule="exact"/>
        <w:rPr>
          <w:rFonts w:ascii="Arial" w:cs="Arial" w:eastAsia="Arial" w:hAnsi="Arial"/>
          <w:sz w:val="13"/>
          <w:szCs w:val="13"/>
          <w:color w:val="auto"/>
        </w:rPr>
      </w:pPr>
    </w:p>
    <w:p>
      <w:pPr>
        <w:ind w:left="340" w:right="20" w:hanging="286"/>
        <w:spacing w:after="0" w:line="280" w:lineRule="auto"/>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This award will vest, if at all, following the end of the fiscal 2024-2025 cycle, on the date the Compensation Committee certifies achievement of the applicable performance criteria.</w:t>
      </w:r>
    </w:p>
    <w:p>
      <w:pPr>
        <w:ind w:left="340" w:hanging="286"/>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performance cycle for this award began on June 25, 2022 and ended on June 28, 2024 (the “</w:t>
      </w:r>
      <w:r>
        <w:rPr>
          <w:rFonts w:ascii="Arial" w:cs="Arial" w:eastAsia="Arial" w:hAnsi="Arial"/>
          <w:sz w:val="13"/>
          <w:szCs w:val="13"/>
          <w:b w:val="1"/>
          <w:bCs w:val="1"/>
          <w:color w:val="auto"/>
        </w:rPr>
        <w:t>fiscal 2023-2024 cycle</w:t>
      </w:r>
      <w:r>
        <w:rPr>
          <w:rFonts w:ascii="Arial" w:cs="Arial" w:eastAsia="Arial" w:hAnsi="Arial"/>
          <w:sz w:val="13"/>
          <w:szCs w:val="13"/>
          <w:color w:val="auto"/>
        </w:rPr>
        <w:t>”).</w:t>
      </w:r>
    </w:p>
    <w:p>
      <w:pPr>
        <w:spacing w:after="0" w:line="55" w:lineRule="exact"/>
        <w:rPr>
          <w:rFonts w:ascii="Arial" w:cs="Arial" w:eastAsia="Arial" w:hAnsi="Arial"/>
          <w:sz w:val="13"/>
          <w:szCs w:val="13"/>
          <w:color w:val="auto"/>
        </w:rPr>
      </w:pPr>
    </w:p>
    <w:p>
      <w:pPr>
        <w:ind w:left="340" w:hanging="286"/>
        <w:spacing w:after="0" w:line="281" w:lineRule="auto"/>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 August 2024, 100% of the shares subject to this award vested following the Compensation Committee’s certification of achievement of the performance criteria for the fiscal 2023-2024 cycle.</w:t>
      </w:r>
    </w:p>
    <w:p>
      <w:pPr>
        <w:spacing w:after="0" w:line="266"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50</w:t>
      </w:r>
      <w:r>
        <w:rPr>
          <w:sz w:val="20"/>
          <w:szCs w:val="20"/>
          <w:color w:val="auto"/>
        </w:rPr>
        <w:tab/>
      </w:r>
      <w:r>
        <w:rPr>
          <w:sz w:val="1"/>
          <w:szCs w:val="1"/>
          <w:color w:val="auto"/>
        </w:rPr>
        <w:drawing>
          <wp:inline distT="0" distB="0" distL="0" distR="0">
            <wp:extent cx="342900" cy="7683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bookmarkStart w:id="56" w:name="page57"/>
    <w:bookmarkEnd w:id="56"/>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Option Exercises and Shares Vested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ind w:left="920" w:right="940"/>
        <w:spacing w:after="0" w:line="271" w:lineRule="auto"/>
        <w:rPr>
          <w:sz w:val="20"/>
          <w:szCs w:val="20"/>
          <w:color w:val="auto"/>
        </w:rPr>
      </w:pPr>
      <w:r>
        <w:rPr>
          <w:rFonts w:ascii="Arial" w:cs="Arial" w:eastAsia="Arial" w:hAnsi="Arial"/>
          <w:sz w:val="18"/>
          <w:szCs w:val="18"/>
          <w:color w:val="auto"/>
        </w:rPr>
        <w:t>The following table presents information concerning the exercise of options and the vesting of stock awards in fiscal 2024 for each of our Named Officers.</w:t>
      </w:r>
    </w:p>
    <w:p>
      <w:pPr>
        <w:spacing w:after="0" w:line="91" w:lineRule="exact"/>
        <w:rPr>
          <w:sz w:val="20"/>
          <w:szCs w:val="20"/>
          <w:color w:val="auto"/>
        </w:rPr>
      </w:pPr>
    </w:p>
    <w:tbl>
      <w:tblPr>
        <w:tblLayout w:type="fixed"/>
        <w:tblInd w:w="920" w:type="dxa"/>
        <w:tblCellMar>
          <w:top w:w="0" w:type="dxa"/>
          <w:left w:w="0" w:type="dxa"/>
          <w:bottom w:w="0" w:type="dxa"/>
          <w:right w:w="0" w:type="dxa"/>
        </w:tblCellMar>
      </w:tblPr>
      <w:tr>
        <w:trPr>
          <w:trHeight w:val="295"/>
        </w:trPr>
        <w:tc>
          <w:tcPr>
            <w:tcW w:w="3520" w:type="dxa"/>
            <w:vAlign w:val="bottom"/>
            <w:shd w:val="clear" w:color="auto" w:fill="819F7C"/>
          </w:tcPr>
          <w:p>
            <w:pPr>
              <w:spacing w:after="0"/>
              <w:rPr>
                <w:sz w:val="24"/>
                <w:szCs w:val="24"/>
                <w:color w:val="auto"/>
              </w:rPr>
            </w:pPr>
          </w:p>
        </w:tc>
        <w:tc>
          <w:tcPr>
            <w:tcW w:w="2900" w:type="dxa"/>
            <w:vAlign w:val="bottom"/>
            <w:gridSpan w:val="2"/>
            <w:shd w:val="clear" w:color="auto" w:fill="819F7C"/>
          </w:tcPr>
          <w:p>
            <w:pPr>
              <w:ind w:left="1020"/>
              <w:spacing w:after="0"/>
              <w:rPr>
                <w:sz w:val="20"/>
                <w:szCs w:val="20"/>
                <w:color w:val="auto"/>
              </w:rPr>
            </w:pPr>
            <w:r>
              <w:rPr>
                <w:rFonts w:ascii="Arial" w:cs="Arial" w:eastAsia="Arial" w:hAnsi="Arial"/>
                <w:sz w:val="14"/>
                <w:szCs w:val="14"/>
                <w:b w:val="1"/>
                <w:bCs w:val="1"/>
                <w:color w:val="FFFFFF"/>
              </w:rPr>
              <w:t>Option Awards</w:t>
            </w:r>
          </w:p>
        </w:tc>
        <w:tc>
          <w:tcPr>
            <w:tcW w:w="2640" w:type="dxa"/>
            <w:vAlign w:val="bottom"/>
            <w:gridSpan w:val="2"/>
            <w:shd w:val="clear" w:color="auto" w:fill="819F7C"/>
          </w:tcPr>
          <w:p>
            <w:pPr>
              <w:jc w:val="right"/>
              <w:ind w:right="708"/>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shd w:val="clear" w:color="auto" w:fill="819F7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20" w:type="dxa"/>
            <w:vAlign w:val="bottom"/>
            <w:shd w:val="clear" w:color="auto" w:fill="819F7C"/>
          </w:tcPr>
          <w:p>
            <w:pPr>
              <w:spacing w:after="0"/>
              <w:rPr>
                <w:sz w:val="22"/>
                <w:szCs w:val="22"/>
                <w:color w:val="auto"/>
              </w:rPr>
            </w:pPr>
          </w:p>
        </w:tc>
        <w:tc>
          <w:tcPr>
            <w:tcW w:w="1600" w:type="dxa"/>
            <w:vAlign w:val="bottom"/>
            <w:shd w:val="clear" w:color="auto" w:fill="819F7C"/>
          </w:tcPr>
          <w:p>
            <w:pPr>
              <w:jc w:val="right"/>
              <w:ind w:right="128"/>
              <w:spacing w:after="0"/>
              <w:rPr>
                <w:sz w:val="20"/>
                <w:szCs w:val="20"/>
                <w:color w:val="auto"/>
              </w:rPr>
            </w:pPr>
            <w:r>
              <w:rPr>
                <w:rFonts w:ascii="Arial" w:cs="Arial" w:eastAsia="Arial" w:hAnsi="Arial"/>
                <w:sz w:val="14"/>
                <w:szCs w:val="14"/>
                <w:b w:val="1"/>
                <w:bCs w:val="1"/>
                <w:color w:val="FFFFFF"/>
              </w:rPr>
              <w:t>Number of</w:t>
            </w:r>
          </w:p>
        </w:tc>
        <w:tc>
          <w:tcPr>
            <w:tcW w:w="1300" w:type="dxa"/>
            <w:vAlign w:val="bottom"/>
            <w:shd w:val="clear" w:color="auto" w:fill="819F7C"/>
          </w:tcPr>
          <w:p>
            <w:pPr>
              <w:spacing w:after="0"/>
              <w:rPr>
                <w:sz w:val="22"/>
                <w:szCs w:val="22"/>
                <w:color w:val="auto"/>
              </w:rPr>
            </w:pPr>
          </w:p>
        </w:tc>
        <w:tc>
          <w:tcPr>
            <w:tcW w:w="1480" w:type="dxa"/>
            <w:vAlign w:val="bottom"/>
            <w:shd w:val="clear" w:color="auto" w:fill="819F7C"/>
          </w:tcPr>
          <w:p>
            <w:pPr>
              <w:jc w:val="right"/>
              <w:ind w:right="148"/>
              <w:spacing w:after="0"/>
              <w:rPr>
                <w:sz w:val="20"/>
                <w:szCs w:val="20"/>
                <w:color w:val="auto"/>
              </w:rPr>
            </w:pPr>
            <w:r>
              <w:rPr>
                <w:rFonts w:ascii="Arial" w:cs="Arial" w:eastAsia="Arial" w:hAnsi="Arial"/>
                <w:sz w:val="14"/>
                <w:szCs w:val="14"/>
                <w:b w:val="1"/>
                <w:bCs w:val="1"/>
                <w:color w:val="FFFFFF"/>
              </w:rPr>
              <w:t>Number of</w:t>
            </w:r>
          </w:p>
        </w:tc>
        <w:tc>
          <w:tcPr>
            <w:tcW w:w="1160" w:type="dxa"/>
            <w:vAlign w:val="bottom"/>
            <w:vMerge w:val="restart"/>
            <w:shd w:val="clear" w:color="auto" w:fill="819F7C"/>
          </w:tcPr>
          <w:p>
            <w:pPr>
              <w:jc w:val="right"/>
              <w:spacing w:after="0"/>
              <w:rPr>
                <w:sz w:val="20"/>
                <w:szCs w:val="20"/>
                <w:color w:val="auto"/>
              </w:rPr>
            </w:pPr>
            <w:r>
              <w:rPr>
                <w:rFonts w:ascii="Arial" w:cs="Arial" w:eastAsia="Arial" w:hAnsi="Arial"/>
                <w:sz w:val="14"/>
                <w:szCs w:val="14"/>
                <w:b w:val="1"/>
                <w:bCs w:val="1"/>
                <w:color w:val="FFFFFF"/>
              </w:rPr>
              <w:t>Value Realized</w:t>
            </w:r>
          </w:p>
        </w:tc>
        <w:tc>
          <w:tcPr>
            <w:tcW w:w="120" w:type="dxa"/>
            <w:vAlign w:val="bottom"/>
            <w:shd w:val="clear" w:color="auto" w:fill="819F7C"/>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520" w:type="dxa"/>
            <w:vAlign w:val="bottom"/>
            <w:shd w:val="clear" w:color="auto" w:fill="819F7C"/>
          </w:tcPr>
          <w:p>
            <w:pPr>
              <w:spacing w:after="0"/>
              <w:rPr>
                <w:sz w:val="12"/>
                <w:szCs w:val="12"/>
                <w:color w:val="auto"/>
              </w:rPr>
            </w:pPr>
          </w:p>
        </w:tc>
        <w:tc>
          <w:tcPr>
            <w:tcW w:w="1600" w:type="dxa"/>
            <w:vAlign w:val="bottom"/>
            <w:shd w:val="clear" w:color="auto" w:fill="819F7C"/>
          </w:tcPr>
          <w:p>
            <w:pPr>
              <w:jc w:val="right"/>
              <w:ind w:right="88"/>
              <w:spacing w:after="0" w:line="145" w:lineRule="exact"/>
              <w:rPr>
                <w:sz w:val="20"/>
                <w:szCs w:val="20"/>
                <w:color w:val="auto"/>
              </w:rPr>
            </w:pPr>
            <w:r>
              <w:rPr>
                <w:rFonts w:ascii="Arial" w:cs="Arial" w:eastAsia="Arial" w:hAnsi="Arial"/>
                <w:sz w:val="14"/>
                <w:szCs w:val="14"/>
                <w:b w:val="1"/>
                <w:bCs w:val="1"/>
                <w:color w:val="FFFFFF"/>
              </w:rPr>
              <w:t>Shares Acquired</w:t>
            </w:r>
          </w:p>
        </w:tc>
        <w:tc>
          <w:tcPr>
            <w:tcW w:w="1300" w:type="dxa"/>
            <w:vAlign w:val="bottom"/>
            <w:shd w:val="clear" w:color="auto" w:fill="819F7C"/>
          </w:tcPr>
          <w:p>
            <w:pPr>
              <w:ind w:left="160"/>
              <w:spacing w:after="0" w:line="145" w:lineRule="exact"/>
              <w:rPr>
                <w:sz w:val="20"/>
                <w:szCs w:val="20"/>
                <w:color w:val="auto"/>
              </w:rPr>
            </w:pPr>
            <w:r>
              <w:rPr>
                <w:rFonts w:ascii="Arial" w:cs="Arial" w:eastAsia="Arial" w:hAnsi="Arial"/>
                <w:sz w:val="14"/>
                <w:szCs w:val="14"/>
                <w:b w:val="1"/>
                <w:bCs w:val="1"/>
                <w:color w:val="FFFFFF"/>
              </w:rPr>
              <w:t>Value Realized</w:t>
            </w:r>
          </w:p>
        </w:tc>
        <w:tc>
          <w:tcPr>
            <w:tcW w:w="1480" w:type="dxa"/>
            <w:vAlign w:val="bottom"/>
            <w:shd w:val="clear" w:color="auto" w:fill="819F7C"/>
          </w:tcPr>
          <w:p>
            <w:pPr>
              <w:jc w:val="right"/>
              <w:ind w:right="108"/>
              <w:spacing w:after="0" w:line="145" w:lineRule="exact"/>
              <w:rPr>
                <w:sz w:val="20"/>
                <w:szCs w:val="20"/>
                <w:color w:val="auto"/>
              </w:rPr>
            </w:pPr>
            <w:r>
              <w:rPr>
                <w:rFonts w:ascii="Arial" w:cs="Arial" w:eastAsia="Arial" w:hAnsi="Arial"/>
                <w:sz w:val="14"/>
                <w:szCs w:val="14"/>
                <w:b w:val="1"/>
                <w:bCs w:val="1"/>
                <w:color w:val="FFFFFF"/>
              </w:rPr>
              <w:t>Shares Acquired</w:t>
            </w:r>
          </w:p>
        </w:tc>
        <w:tc>
          <w:tcPr>
            <w:tcW w:w="1160" w:type="dxa"/>
            <w:vAlign w:val="bottom"/>
            <w:vMerge w:val="continue"/>
            <w:shd w:val="clear" w:color="auto" w:fill="819F7C"/>
          </w:tcPr>
          <w:p>
            <w:pPr>
              <w:spacing w:after="0"/>
              <w:rPr>
                <w:sz w:val="12"/>
                <w:szCs w:val="12"/>
                <w:color w:val="auto"/>
              </w:rPr>
            </w:pPr>
          </w:p>
        </w:tc>
        <w:tc>
          <w:tcPr>
            <w:tcW w:w="120" w:type="dxa"/>
            <w:vAlign w:val="bottom"/>
            <w:shd w:val="clear" w:color="auto" w:fill="819F7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819F7C"/>
          </w:tcPr>
          <w:p>
            <w:pPr>
              <w:spacing w:after="0"/>
              <w:rPr>
                <w:sz w:val="14"/>
                <w:szCs w:val="14"/>
                <w:color w:val="auto"/>
              </w:rPr>
            </w:pPr>
          </w:p>
        </w:tc>
        <w:tc>
          <w:tcPr>
            <w:tcW w:w="1600" w:type="dxa"/>
            <w:vAlign w:val="bottom"/>
            <w:shd w:val="clear" w:color="auto" w:fill="819F7C"/>
          </w:tcPr>
          <w:p>
            <w:pPr>
              <w:jc w:val="right"/>
              <w:ind w:right="128"/>
              <w:spacing w:after="0"/>
              <w:rPr>
                <w:sz w:val="20"/>
                <w:szCs w:val="20"/>
                <w:color w:val="auto"/>
              </w:rPr>
            </w:pPr>
            <w:r>
              <w:rPr>
                <w:rFonts w:ascii="Arial" w:cs="Arial" w:eastAsia="Arial" w:hAnsi="Arial"/>
                <w:sz w:val="14"/>
                <w:szCs w:val="14"/>
                <w:b w:val="1"/>
                <w:bCs w:val="1"/>
                <w:color w:val="FFFFFF"/>
              </w:rPr>
              <w:t>on Exercise</w:t>
            </w:r>
          </w:p>
        </w:tc>
        <w:tc>
          <w:tcPr>
            <w:tcW w:w="1300" w:type="dxa"/>
            <w:vAlign w:val="bottom"/>
            <w:shd w:val="clear" w:color="auto" w:fill="819F7C"/>
          </w:tcPr>
          <w:p>
            <w:pPr>
              <w:ind w:left="300"/>
              <w:spacing w:after="0"/>
              <w:rPr>
                <w:sz w:val="20"/>
                <w:szCs w:val="20"/>
                <w:color w:val="auto"/>
              </w:rPr>
            </w:pPr>
            <w:r>
              <w:rPr>
                <w:rFonts w:ascii="Arial" w:cs="Arial" w:eastAsia="Arial" w:hAnsi="Arial"/>
                <w:sz w:val="14"/>
                <w:szCs w:val="14"/>
                <w:b w:val="1"/>
                <w:bCs w:val="1"/>
                <w:color w:val="FFFFFF"/>
              </w:rPr>
              <w:t>on Exercise</w:t>
            </w:r>
          </w:p>
        </w:tc>
        <w:tc>
          <w:tcPr>
            <w:tcW w:w="1480" w:type="dxa"/>
            <w:vAlign w:val="bottom"/>
            <w:shd w:val="clear" w:color="auto" w:fill="819F7C"/>
          </w:tcPr>
          <w:p>
            <w:pPr>
              <w:jc w:val="right"/>
              <w:ind w:right="148"/>
              <w:spacing w:after="0"/>
              <w:rPr>
                <w:sz w:val="20"/>
                <w:szCs w:val="20"/>
                <w:color w:val="auto"/>
              </w:rPr>
            </w:pPr>
            <w:r>
              <w:rPr>
                <w:rFonts w:ascii="Arial" w:cs="Arial" w:eastAsia="Arial" w:hAnsi="Arial"/>
                <w:sz w:val="14"/>
                <w:szCs w:val="14"/>
                <w:b w:val="1"/>
                <w:bCs w:val="1"/>
                <w:color w:val="FFFFFF"/>
              </w:rPr>
              <w:t>on Vesting</w:t>
            </w:r>
          </w:p>
        </w:tc>
        <w:tc>
          <w:tcPr>
            <w:tcW w:w="1160" w:type="dxa"/>
            <w:vAlign w:val="bottom"/>
            <w:shd w:val="clear" w:color="auto" w:fill="819F7C"/>
          </w:tcPr>
          <w:p>
            <w:pPr>
              <w:jc w:val="right"/>
              <w:spacing w:after="0"/>
              <w:rPr>
                <w:sz w:val="20"/>
                <w:szCs w:val="20"/>
                <w:color w:val="auto"/>
              </w:rPr>
            </w:pPr>
            <w:r>
              <w:rPr>
                <w:rFonts w:ascii="Arial" w:cs="Arial" w:eastAsia="Arial" w:hAnsi="Arial"/>
                <w:sz w:val="14"/>
                <w:szCs w:val="14"/>
                <w:b w:val="1"/>
                <w:bCs w:val="1"/>
                <w:color w:val="FFFFFF"/>
              </w:rPr>
              <w:t>on Vesting</w:t>
            </w:r>
          </w:p>
        </w:tc>
        <w:tc>
          <w:tcPr>
            <w:tcW w:w="120" w:type="dxa"/>
            <w:vAlign w:val="bottom"/>
            <w:shd w:val="clear" w:color="auto" w:fill="819F7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1600" w:type="dxa"/>
            <w:vAlign w:val="bottom"/>
            <w:shd w:val="clear" w:color="auto" w:fill="819F7C"/>
          </w:tcPr>
          <w:p>
            <w:pPr>
              <w:jc w:val="right"/>
              <w:ind w:right="8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819F7C"/>
          </w:tcPr>
          <w:p>
            <w:pPr>
              <w:jc w:val="center"/>
              <w:ind w:left="768"/>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819F7C"/>
          </w:tcPr>
          <w:p>
            <w:pPr>
              <w:jc w:val="right"/>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20" w:type="dxa"/>
            <w:vAlign w:val="bottom"/>
            <w:shd w:val="clear" w:color="auto" w:fill="819F7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Seamus Grady</w:t>
            </w:r>
          </w:p>
        </w:tc>
        <w:tc>
          <w:tcPr>
            <w:tcW w:w="1600" w:type="dxa"/>
            <w:vAlign w:val="bottom"/>
            <w:tcBorders>
              <w:bottom w:val="single" w:sz="8" w:color="E5E9E3"/>
            </w:tcBorders>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9E3"/>
            </w:tcBorders>
            <w:shd w:val="clear" w:color="auto" w:fill="E5E9E3"/>
          </w:tcPr>
          <w:p>
            <w:pPr>
              <w:jc w:val="center"/>
              <w:ind w:left="768"/>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E5E9E3"/>
            </w:tcBorders>
            <w:shd w:val="clear" w:color="auto" w:fill="E5E9E3"/>
          </w:tcPr>
          <w:p>
            <w:pPr>
              <w:jc w:val="right"/>
              <w:ind w:right="128"/>
              <w:spacing w:after="0"/>
              <w:rPr>
                <w:sz w:val="20"/>
                <w:szCs w:val="20"/>
                <w:color w:val="auto"/>
              </w:rPr>
            </w:pPr>
            <w:r>
              <w:rPr>
                <w:rFonts w:ascii="Arial" w:cs="Arial" w:eastAsia="Arial" w:hAnsi="Arial"/>
                <w:sz w:val="14"/>
                <w:szCs w:val="14"/>
                <w:color w:val="auto"/>
              </w:rPr>
              <w:t>71,797</w:t>
            </w:r>
          </w:p>
        </w:tc>
        <w:tc>
          <w:tcPr>
            <w:tcW w:w="1160" w:type="dxa"/>
            <w:vAlign w:val="bottom"/>
            <w:tcBorders>
              <w:bottom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8,614,701</w:t>
            </w:r>
          </w:p>
        </w:tc>
        <w:tc>
          <w:tcPr>
            <w:tcW w:w="120" w:type="dxa"/>
            <w:vAlign w:val="bottom"/>
            <w:tcBorders>
              <w:bottom w:val="single" w:sz="8" w:color="E5E9E3"/>
            </w:tcBorders>
            <w:shd w:val="clear" w:color="auto" w:fill="E5E9E3"/>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20" w:type="dxa"/>
            <w:vAlign w:val="bottom"/>
          </w:tcPr>
          <w:p>
            <w:pPr>
              <w:ind w:left="80"/>
              <w:spacing w:after="0"/>
              <w:rPr>
                <w:sz w:val="20"/>
                <w:szCs w:val="20"/>
                <w:color w:val="auto"/>
              </w:rPr>
            </w:pPr>
            <w:r>
              <w:rPr>
                <w:rFonts w:ascii="Arial" w:cs="Arial" w:eastAsia="Arial" w:hAnsi="Arial"/>
                <w:sz w:val="14"/>
                <w:szCs w:val="14"/>
                <w:color w:val="auto"/>
              </w:rPr>
              <w:t>Dr. Harpal Gill</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45,341</w:t>
            </w:r>
          </w:p>
        </w:tc>
        <w:tc>
          <w:tcPr>
            <w:tcW w:w="1160" w:type="dxa"/>
            <w:vAlign w:val="bottom"/>
          </w:tcPr>
          <w:p>
            <w:pPr>
              <w:jc w:val="right"/>
              <w:spacing w:after="0"/>
              <w:rPr>
                <w:sz w:val="20"/>
                <w:szCs w:val="20"/>
                <w:color w:val="auto"/>
              </w:rPr>
            </w:pPr>
            <w:r>
              <w:rPr>
                <w:rFonts w:ascii="Arial" w:cs="Arial" w:eastAsia="Arial" w:hAnsi="Arial"/>
                <w:sz w:val="14"/>
                <w:szCs w:val="14"/>
                <w:color w:val="auto"/>
              </w:rPr>
              <w:t>5,439,329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tcBorders>
              <w:bottom w:val="single" w:sz="8" w:color="E5E9E3"/>
            </w:tcBorders>
            <w:shd w:val="clear" w:color="auto" w:fill="E5E9E3"/>
          </w:tcPr>
          <w:p>
            <w:pPr>
              <w:ind w:left="80"/>
              <w:spacing w:after="0"/>
              <w:rPr>
                <w:sz w:val="20"/>
                <w:szCs w:val="20"/>
                <w:color w:val="auto"/>
              </w:rPr>
            </w:pPr>
            <w:r>
              <w:rPr>
                <w:rFonts w:ascii="Arial" w:cs="Arial" w:eastAsia="Arial" w:hAnsi="Arial"/>
                <w:sz w:val="14"/>
                <w:szCs w:val="14"/>
                <w:color w:val="auto"/>
              </w:rPr>
              <w:t>Csaba Sverha</w:t>
            </w:r>
          </w:p>
        </w:tc>
        <w:tc>
          <w:tcPr>
            <w:tcW w:w="1600" w:type="dxa"/>
            <w:vAlign w:val="bottom"/>
            <w:tcBorders>
              <w:bottom w:val="single" w:sz="8" w:color="E5E9E3"/>
            </w:tcBorders>
            <w:shd w:val="clear" w:color="auto" w:fill="E5E9E3"/>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9E3"/>
            </w:tcBorders>
            <w:shd w:val="clear" w:color="auto" w:fill="E5E9E3"/>
          </w:tcPr>
          <w:p>
            <w:pPr>
              <w:jc w:val="center"/>
              <w:ind w:left="768"/>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E5E9E3"/>
            </w:tcBorders>
            <w:shd w:val="clear" w:color="auto" w:fill="E5E9E3"/>
          </w:tcPr>
          <w:p>
            <w:pPr>
              <w:jc w:val="right"/>
              <w:ind w:right="128"/>
              <w:spacing w:after="0"/>
              <w:rPr>
                <w:sz w:val="20"/>
                <w:szCs w:val="20"/>
                <w:color w:val="auto"/>
              </w:rPr>
            </w:pPr>
            <w:r>
              <w:rPr>
                <w:rFonts w:ascii="Arial" w:cs="Arial" w:eastAsia="Arial" w:hAnsi="Arial"/>
                <w:sz w:val="14"/>
                <w:szCs w:val="14"/>
                <w:color w:val="auto"/>
              </w:rPr>
              <w:t>24,733</w:t>
            </w:r>
          </w:p>
        </w:tc>
        <w:tc>
          <w:tcPr>
            <w:tcW w:w="1160" w:type="dxa"/>
            <w:vAlign w:val="bottom"/>
            <w:tcBorders>
              <w:bottom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2,984,435</w:t>
            </w:r>
          </w:p>
        </w:tc>
        <w:tc>
          <w:tcPr>
            <w:tcW w:w="120" w:type="dxa"/>
            <w:vAlign w:val="bottom"/>
            <w:tcBorders>
              <w:bottom w:val="single" w:sz="8" w:color="E5E9E3"/>
            </w:tcBorders>
            <w:shd w:val="clear" w:color="auto" w:fill="E5E9E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80"/>
              <w:spacing w:after="0"/>
              <w:rPr>
                <w:sz w:val="20"/>
                <w:szCs w:val="20"/>
                <w:color w:val="auto"/>
              </w:rPr>
            </w:pPr>
            <w:r>
              <w:rPr>
                <w:rFonts w:ascii="Arial" w:cs="Arial" w:eastAsia="Arial" w:hAnsi="Arial"/>
                <w:sz w:val="14"/>
                <w:szCs w:val="14"/>
                <w:color w:val="auto"/>
              </w:rPr>
              <w:t>Edward T. Archer</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21,148</w:t>
            </w:r>
          </w:p>
        </w:tc>
        <w:tc>
          <w:tcPr>
            <w:tcW w:w="1160" w:type="dxa"/>
            <w:vAlign w:val="bottom"/>
          </w:tcPr>
          <w:p>
            <w:pPr>
              <w:jc w:val="right"/>
              <w:spacing w:after="0"/>
              <w:rPr>
                <w:sz w:val="20"/>
                <w:szCs w:val="20"/>
                <w:color w:val="auto"/>
              </w:rPr>
            </w:pPr>
            <w:r>
              <w:rPr>
                <w:rFonts w:ascii="Arial" w:cs="Arial" w:eastAsia="Arial" w:hAnsi="Arial"/>
                <w:sz w:val="14"/>
                <w:szCs w:val="14"/>
                <w:color w:val="auto"/>
              </w:rPr>
              <w:t>2,537,040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520" w:type="dxa"/>
            <w:vAlign w:val="bottom"/>
            <w:shd w:val="clear" w:color="auto" w:fill="819F7C"/>
          </w:tcPr>
          <w:p>
            <w:pPr>
              <w:spacing w:after="0"/>
              <w:rPr>
                <w:sz w:val="8"/>
                <w:szCs w:val="8"/>
                <w:color w:val="auto"/>
              </w:rPr>
            </w:pPr>
          </w:p>
        </w:tc>
        <w:tc>
          <w:tcPr>
            <w:tcW w:w="1600" w:type="dxa"/>
            <w:vAlign w:val="bottom"/>
            <w:shd w:val="clear" w:color="auto" w:fill="819F7C"/>
          </w:tcPr>
          <w:p>
            <w:pPr>
              <w:spacing w:after="0"/>
              <w:rPr>
                <w:sz w:val="8"/>
                <w:szCs w:val="8"/>
                <w:color w:val="auto"/>
              </w:rPr>
            </w:pPr>
          </w:p>
        </w:tc>
        <w:tc>
          <w:tcPr>
            <w:tcW w:w="1300" w:type="dxa"/>
            <w:vAlign w:val="bottom"/>
            <w:shd w:val="clear" w:color="auto" w:fill="819F7C"/>
          </w:tcPr>
          <w:p>
            <w:pPr>
              <w:spacing w:after="0"/>
              <w:rPr>
                <w:sz w:val="8"/>
                <w:szCs w:val="8"/>
                <w:color w:val="auto"/>
              </w:rPr>
            </w:pPr>
          </w:p>
        </w:tc>
        <w:tc>
          <w:tcPr>
            <w:tcW w:w="1480" w:type="dxa"/>
            <w:vAlign w:val="bottom"/>
            <w:shd w:val="clear" w:color="auto" w:fill="819F7C"/>
          </w:tcPr>
          <w:p>
            <w:pPr>
              <w:spacing w:after="0"/>
              <w:rPr>
                <w:sz w:val="8"/>
                <w:szCs w:val="8"/>
                <w:color w:val="auto"/>
              </w:rPr>
            </w:pPr>
          </w:p>
        </w:tc>
        <w:tc>
          <w:tcPr>
            <w:tcW w:w="1160" w:type="dxa"/>
            <w:vAlign w:val="bottom"/>
            <w:shd w:val="clear" w:color="auto" w:fill="819F7C"/>
          </w:tcPr>
          <w:p>
            <w:pPr>
              <w:spacing w:after="0"/>
              <w:rPr>
                <w:sz w:val="8"/>
                <w:szCs w:val="8"/>
                <w:color w:val="auto"/>
              </w:rPr>
            </w:pPr>
          </w:p>
        </w:tc>
        <w:tc>
          <w:tcPr>
            <w:tcW w:w="12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-1139825</wp:posOffset>
            </wp:positionV>
            <wp:extent cx="33261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1200" w:right="940" w:hanging="286"/>
        <w:spacing w:after="0" w:line="281" w:lineRule="auto"/>
        <w:tabs>
          <w:tab w:leader="none" w:pos="12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value realized on vesting was determined by multiplying (i) the number of our ordinary shares acquired upon vesting of stock-based awards, by (ii) the closing price per share of our ordinary shares on the NYSE on the applicable vesting date.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51</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38735</wp:posOffset>
            </wp:positionV>
            <wp:extent cx="5829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Arrangement with Seamus Grady</w:t>
      </w:r>
    </w:p>
    <w:p>
      <w:pPr>
        <w:spacing w:after="0" w:line="108"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color w:val="auto"/>
        </w:rPr>
        <w:t>Pursuant to a change in control and severance agreement effective as of February 26, 2019, as amended effective August 10, 2022 (the “</w:t>
      </w:r>
      <w:r>
        <w:rPr>
          <w:rFonts w:ascii="Arial" w:cs="Arial" w:eastAsia="Arial" w:hAnsi="Arial"/>
          <w:sz w:val="18"/>
          <w:szCs w:val="18"/>
          <w:b w:val="1"/>
          <w:bCs w:val="1"/>
          <w:color w:val="auto"/>
        </w:rPr>
        <w:t>Grady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Mr. Grady may receive certain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 involuntary termination of employment, including in connection with a change of control of Fabrinet. The Grady Agreement automatically renews annually unless either party provides notice of non-renewal at least 90 days before the date of the scheduled renewal. The Grady Agreement supersedes the severance payments and benefits set forth in Mr. Grady’s offer letter dated September 20, 2017.</w:t>
      </w:r>
    </w:p>
    <w:p>
      <w:pPr>
        <w:spacing w:after="0" w:line="182" w:lineRule="exact"/>
        <w:rPr>
          <w:sz w:val="20"/>
          <w:szCs w:val="20"/>
          <w:color w:val="auto"/>
        </w:rPr>
      </w:pPr>
    </w:p>
    <w:p>
      <w:pPr>
        <w:ind w:left="60" w:right="100"/>
        <w:spacing w:after="0" w:line="278" w:lineRule="auto"/>
        <w:rPr>
          <w:sz w:val="20"/>
          <w:szCs w:val="20"/>
          <w:color w:val="auto"/>
        </w:rPr>
      </w:pPr>
      <w:r>
        <w:rPr>
          <w:rFonts w:ascii="Arial" w:cs="Arial" w:eastAsia="Arial" w:hAnsi="Arial"/>
          <w:sz w:val="18"/>
          <w:szCs w:val="18"/>
          <w:b w:val="1"/>
          <w:bCs w:val="1"/>
          <w:i w:val="1"/>
          <w:iCs w:val="1"/>
          <w:color w:val="auto"/>
        </w:rPr>
        <w:t>Termination of Employment Unrelated to a Change in Control</w:t>
      </w:r>
    </w:p>
    <w:p>
      <w:pPr>
        <w:spacing w:after="0" w:line="31" w:lineRule="exact"/>
        <w:rPr>
          <w:sz w:val="20"/>
          <w:szCs w:val="20"/>
          <w:color w:val="auto"/>
        </w:rPr>
      </w:pPr>
    </w:p>
    <w:p>
      <w:pPr>
        <w:jc w:val="both"/>
        <w:ind w:left="60"/>
        <w:spacing w:after="0" w:line="238" w:lineRule="auto"/>
        <w:rPr>
          <w:sz w:val="20"/>
          <w:szCs w:val="20"/>
          <w:color w:val="auto"/>
        </w:rPr>
      </w:pPr>
      <w:r>
        <w:rPr>
          <w:rFonts w:ascii="Arial" w:cs="Arial" w:eastAsia="Arial" w:hAnsi="Arial"/>
          <w:sz w:val="18"/>
          <w:szCs w:val="18"/>
          <w:color w:val="auto"/>
        </w:rPr>
        <w:t>Pursuant to the Grady Agreement, if Mr. Grady’s employment is terminated by us without “cause” and other than due to his death or disability, or by him for “good reason” (each, a “</w:t>
      </w:r>
      <w:r>
        <w:rPr>
          <w:rFonts w:ascii="Arial" w:cs="Arial" w:eastAsia="Arial" w:hAnsi="Arial"/>
          <w:sz w:val="18"/>
          <w:szCs w:val="18"/>
          <w:b w:val="1"/>
          <w:bCs w:val="1"/>
          <w:color w:val="auto"/>
        </w:rPr>
        <w:t>Qualifying Termination</w:t>
      </w:r>
      <w:r>
        <w:rPr>
          <w:rFonts w:ascii="Arial" w:cs="Arial" w:eastAsia="Arial" w:hAnsi="Arial"/>
          <w:sz w:val="18"/>
          <w:szCs w:val="18"/>
          <w:color w:val="auto"/>
        </w:rPr>
        <w:t>”), in each case other than during the period beginning three months prior to a change in control of Fabrinet through the one-year anniversary of any such change in control (the “</w:t>
      </w:r>
      <w:r>
        <w:rPr>
          <w:rFonts w:ascii="Arial" w:cs="Arial" w:eastAsia="Arial" w:hAnsi="Arial"/>
          <w:sz w:val="18"/>
          <w:szCs w:val="18"/>
          <w:b w:val="1"/>
          <w:bCs w:val="1"/>
          <w:color w:val="auto"/>
        </w:rPr>
        <w:t>Change in Control Period</w:t>
      </w:r>
      <w:r>
        <w:rPr>
          <w:rFonts w:ascii="Arial" w:cs="Arial" w:eastAsia="Arial" w:hAnsi="Arial"/>
          <w:sz w:val="18"/>
          <w:szCs w:val="18"/>
          <w:color w:val="auto"/>
        </w:rPr>
        <w:t>”), then subject to Mr. Grady entering into and not revoking a separation agreement and release of claims (a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Mr. Grady will receive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payments and benefits as was set forth in his offer letter, consisting of:</w:t>
      </w:r>
    </w:p>
    <w:p>
      <w:pPr>
        <w:spacing w:after="0" w:line="72" w:lineRule="exact"/>
        <w:rPr>
          <w:sz w:val="20"/>
          <w:szCs w:val="20"/>
          <w:color w:val="auto"/>
        </w:rPr>
      </w:pPr>
    </w:p>
    <w:p>
      <w:pPr>
        <w:jc w:val="both"/>
        <w:ind w:left="400" w:hanging="350"/>
        <w:spacing w:after="0" w:line="271" w:lineRule="auto"/>
        <w:tabs>
          <w:tab w:leader="none" w:pos="380" w:val="left"/>
        </w:tabs>
        <w:rPr>
          <w:sz w:val="20"/>
          <w:szCs w:val="20"/>
          <w:color w:val="auto"/>
        </w:rPr>
      </w:pPr>
      <w:r>
        <w:rPr>
          <w:sz w:val="1"/>
          <w:szCs w:val="1"/>
          <w:color w:val="auto"/>
        </w:rPr>
        <w:drawing>
          <wp:inline distT="0" distB="0" distL="0" distR="0">
            <wp:extent cx="94615" cy="9398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100% of his annual base salary as of the date of employment termination;</w:t>
      </w:r>
    </w:p>
    <w:p>
      <w:pPr>
        <w:spacing w:after="0" w:line="46" w:lineRule="exact"/>
        <w:rPr>
          <w:sz w:val="20"/>
          <w:szCs w:val="20"/>
          <w:color w:val="auto"/>
        </w:rPr>
      </w:pPr>
    </w:p>
    <w:p>
      <w:pPr>
        <w:jc w:val="both"/>
        <w:ind w:left="400" w:hanging="350"/>
        <w:spacing w:after="0" w:line="271" w:lineRule="auto"/>
        <w:tabs>
          <w:tab w:leader="none" w:pos="380" w:val="left"/>
        </w:tabs>
        <w:rPr>
          <w:sz w:val="20"/>
          <w:szCs w:val="20"/>
          <w:color w:val="auto"/>
        </w:rPr>
      </w:pPr>
      <w:r>
        <w:rPr>
          <w:sz w:val="1"/>
          <w:szCs w:val="1"/>
          <w:color w:val="auto"/>
        </w:rPr>
        <w:drawing>
          <wp:inline distT="0" distB="0" distL="0" distR="0">
            <wp:extent cx="94615" cy="9461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any earned but unpaid bonus as of the date of employment termination;</w:t>
      </w:r>
    </w:p>
    <w:p>
      <w:pPr>
        <w:spacing w:after="0" w:line="46" w:lineRule="exact"/>
        <w:rPr>
          <w:sz w:val="20"/>
          <w:szCs w:val="20"/>
          <w:color w:val="auto"/>
        </w:rPr>
      </w:pPr>
    </w:p>
    <w:p>
      <w:pPr>
        <w:jc w:val="both"/>
        <w:ind w:left="400" w:hanging="350"/>
        <w:spacing w:after="0" w:line="271" w:lineRule="auto"/>
        <w:tabs>
          <w:tab w:leader="none" w:pos="380" w:val="left"/>
        </w:tabs>
        <w:rPr>
          <w:sz w:val="20"/>
          <w:szCs w:val="20"/>
          <w:color w:val="auto"/>
        </w:rPr>
      </w:pPr>
      <w:r>
        <w:rPr>
          <w:sz w:val="1"/>
          <w:szCs w:val="1"/>
          <w:color w:val="auto"/>
        </w:rPr>
        <w:drawing>
          <wp:inline distT="0" distB="0" distL="0" distR="0">
            <wp:extent cx="94615" cy="9461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two times his cost of COBRA coverage for twelve months; and</w:t>
      </w:r>
    </w:p>
    <w:p>
      <w:pPr>
        <w:spacing w:after="0" w:line="46" w:lineRule="exact"/>
        <w:rPr>
          <w:sz w:val="20"/>
          <w:szCs w:val="20"/>
          <w:color w:val="auto"/>
        </w:rPr>
      </w:pPr>
    </w:p>
    <w:p>
      <w:pPr>
        <w:jc w:val="both"/>
        <w:ind w:left="400" w:hanging="350"/>
        <w:spacing w:after="0" w:line="242" w:lineRule="auto"/>
        <w:tabs>
          <w:tab w:leader="none" w:pos="380" w:val="left"/>
        </w:tabs>
        <w:rPr>
          <w:sz w:val="20"/>
          <w:szCs w:val="20"/>
          <w:color w:val="auto"/>
        </w:rPr>
      </w:pPr>
      <w:r>
        <w:rPr>
          <w:sz w:val="1"/>
          <w:szCs w:val="1"/>
          <w:color w:val="auto"/>
        </w:rPr>
        <w:drawing>
          <wp:inline distT="0" distB="0" distL="0" distR="0">
            <wp:extent cx="94615" cy="9398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to the extent Mr. Grady is receiving tax equalization benefits under our expatriate policy as of the date of employment termination, continued tax equalization benefits for the calendar year in which the employment termination occurs and the immediately following calendar year.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purposes of the Grady Agreement, “cause” generally means Mr. Grady’s (i) commission of a felony or any crime involving moral turpitude, (ii) willful breach of his duties to us, including, but not limited to, theft from us and failure to fully disclose a personal pecuniary interest in a transaction involving us, or (iii) engaging in willful misconduct, willful or gross neglect, fraud, misappropriation, or embezzlement.</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purposes of the Grady Agreement, “good reason” generally means, without Mr. Grady’s written consent,</w:t>
      </w:r>
    </w:p>
    <w:p>
      <w:pPr>
        <w:jc w:val="both"/>
        <w:ind w:firstLine="6"/>
        <w:spacing w:after="0" w:line="236"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material diminution in Mr. Grady’s authority, duties, or responsibilities (including following any change in control) or (ii) a material breach by us of Mr. Grady’s offer letter or the Grady Agreement. However, to qualify as a termination of his employment for good reason, Mr. Grady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w:t>
      </w:r>
    </w:p>
    <w:p>
      <w:pPr>
        <w:spacing w:after="0" w:line="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purposes of the Grady Agreement, a “change in control” of Fabrinet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(ii) a change in our effective control which occurs upon a majority of members of the Board being replaced during any 12-month period by directors whose appointment or election is not endorsed by a majority of the Board members prior to appointment or election; or</w:t>
      </w:r>
    </w:p>
    <w:p>
      <w:pPr>
        <w:spacing w:after="0" w:line="5" w:lineRule="exact"/>
        <w:rPr>
          <w:sz w:val="20"/>
          <w:szCs w:val="20"/>
          <w:color w:val="auto"/>
        </w:rPr>
      </w:pPr>
    </w:p>
    <w:p>
      <w:pPr>
        <w:jc w:val="both"/>
        <w:ind w:firstLine="6"/>
        <w:spacing w:after="0" w:line="236"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w:t>
      </w:r>
    </w:p>
    <w:p>
      <w:pPr>
        <w:spacing w:after="0" w:line="2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93"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52</w:t>
      </w:r>
      <w:r>
        <w:rPr>
          <w:sz w:val="20"/>
          <w:szCs w:val="20"/>
          <w:color w:val="auto"/>
        </w:rPr>
        <w:tab/>
      </w:r>
      <w:r>
        <w:rPr>
          <w:sz w:val="1"/>
          <w:szCs w:val="1"/>
          <w:color w:val="auto"/>
        </w:rPr>
        <w:drawing>
          <wp:inline distT="0" distB="0" distL="0" distR="0">
            <wp:extent cx="342900" cy="7683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158115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58" w:name="page59"/>
    <w:bookmarkEnd w:id="58"/>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920"/>
        <w:spacing w:after="0" w:line="238" w:lineRule="auto"/>
        <w:rPr>
          <w:sz w:val="20"/>
          <w:szCs w:val="20"/>
          <w:color w:val="auto"/>
        </w:rPr>
      </w:pPr>
      <w:r>
        <w:rPr>
          <w:rFonts w:ascii="Arial" w:cs="Arial" w:eastAsia="Arial" w:hAnsi="Arial"/>
          <w:sz w:val="18"/>
          <w:szCs w:val="18"/>
          <w:color w:val="auto"/>
        </w:rPr>
        <w:t>The Grady Agreement provides that if any payments or benefits under the Grady Agreement would constitute a “parachute payment” within the meaning of Section 280G of the Code and therefore would be subject to an excise tax under Section 280G of the Code, then such payments and benefits will be either</w:t>
      </w:r>
    </w:p>
    <w:p>
      <w:pPr>
        <w:spacing w:after="0" w:line="1" w:lineRule="exact"/>
        <w:rPr>
          <w:sz w:val="20"/>
          <w:szCs w:val="20"/>
          <w:color w:val="auto"/>
        </w:rPr>
      </w:pPr>
    </w:p>
    <w:p>
      <w:pPr>
        <w:jc w:val="both"/>
        <w:ind w:left="920" w:hanging="6"/>
        <w:spacing w:after="0" w:line="237" w:lineRule="auto"/>
        <w:tabs>
          <w:tab w:leader="none" w:pos="1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paid in full or (y) delivered as to such lesser extent that would result in no portion of the payments and benefits being subject to the excise tax, whichever, after taking into account all applicable federal, state, and local income taxes and the excise tax, results in his receipt, on an after-tax basis, of the greater payments and benefits. The Grady Agreement does not provide for any Code Section 280G-related tax gross-up payments from us.</w:t>
      </w:r>
    </w:p>
    <w:p>
      <w:pPr>
        <w:spacing w:after="0" w:line="331" w:lineRule="exact"/>
        <w:rPr>
          <w:sz w:val="20"/>
          <w:szCs w:val="20"/>
          <w:color w:val="auto"/>
        </w:rPr>
      </w:pPr>
    </w:p>
    <w:p>
      <w:pPr>
        <w:ind w:left="920" w:right="240"/>
        <w:spacing w:after="0" w:line="278" w:lineRule="auto"/>
        <w:rPr>
          <w:sz w:val="20"/>
          <w:szCs w:val="20"/>
          <w:color w:val="auto"/>
        </w:rPr>
      </w:pPr>
      <w:r>
        <w:rPr>
          <w:rFonts w:ascii="Arial" w:cs="Arial" w:eastAsia="Arial" w:hAnsi="Arial"/>
          <w:sz w:val="18"/>
          <w:szCs w:val="18"/>
          <w:b w:val="1"/>
          <w:bCs w:val="1"/>
          <w:i w:val="1"/>
          <w:iCs w:val="1"/>
          <w:color w:val="auto"/>
        </w:rPr>
        <w:t>Termination of Employment in Connection with a Change in Control</w:t>
      </w:r>
    </w:p>
    <w:p>
      <w:pPr>
        <w:spacing w:after="0" w:line="31" w:lineRule="exact"/>
        <w:rPr>
          <w:sz w:val="20"/>
          <w:szCs w:val="20"/>
          <w:color w:val="auto"/>
        </w:rPr>
      </w:pPr>
    </w:p>
    <w:p>
      <w:pPr>
        <w:jc w:val="both"/>
        <w:ind w:left="920"/>
        <w:spacing w:after="0" w:line="244" w:lineRule="auto"/>
        <w:rPr>
          <w:sz w:val="20"/>
          <w:szCs w:val="20"/>
          <w:color w:val="auto"/>
        </w:rPr>
      </w:pPr>
      <w:r>
        <w:rPr>
          <w:rFonts w:ascii="Arial" w:cs="Arial" w:eastAsia="Arial" w:hAnsi="Arial"/>
          <w:sz w:val="18"/>
          <w:szCs w:val="18"/>
          <w:color w:val="auto"/>
        </w:rPr>
        <w:t>In the event of a Qualifying Termination during the Change in Control Period, then subject to Mr. Grady entering into and not revoking a Release Agreement, and in lieu of the severance payments and benefits described above, Mr. Grady will receive:</w:t>
      </w:r>
    </w:p>
    <w:p>
      <w:pPr>
        <w:spacing w:after="0" w:line="68" w:lineRule="exact"/>
        <w:rPr>
          <w:sz w:val="20"/>
          <w:szCs w:val="20"/>
          <w:color w:val="auto"/>
        </w:rPr>
      </w:pPr>
    </w:p>
    <w:p>
      <w:pPr>
        <w:jc w:val="both"/>
        <w:ind w:left="1260" w:hanging="350"/>
        <w:spacing w:after="0" w:line="247" w:lineRule="auto"/>
        <w:tabs>
          <w:tab w:leader="none" w:pos="1240" w:val="left"/>
        </w:tabs>
        <w:rPr>
          <w:sz w:val="20"/>
          <w:szCs w:val="20"/>
          <w:color w:val="auto"/>
        </w:rPr>
      </w:pPr>
      <w:r>
        <w:rPr>
          <w:sz w:val="1"/>
          <w:szCs w:val="1"/>
          <w:color w:val="auto"/>
        </w:rPr>
        <w:drawing>
          <wp:inline distT="0" distB="0" distL="0" distR="0">
            <wp:extent cx="94615" cy="9461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200% of his annual base salary as of the date of employment termination (or, if greater, his annual base salary as in effect immediately before the change in control);</w:t>
      </w:r>
    </w:p>
    <w:p>
      <w:pPr>
        <w:spacing w:after="0" w:line="66" w:lineRule="exact"/>
        <w:rPr>
          <w:sz w:val="20"/>
          <w:szCs w:val="20"/>
          <w:color w:val="auto"/>
        </w:rPr>
      </w:pPr>
    </w:p>
    <w:p>
      <w:pPr>
        <w:jc w:val="both"/>
        <w:ind w:left="1260" w:hanging="350"/>
        <w:spacing w:after="0" w:line="271" w:lineRule="auto"/>
        <w:tabs>
          <w:tab w:leader="none" w:pos="1240" w:val="left"/>
        </w:tabs>
        <w:rPr>
          <w:sz w:val="20"/>
          <w:szCs w:val="20"/>
          <w:color w:val="auto"/>
        </w:rPr>
      </w:pPr>
      <w:r>
        <w:rPr>
          <w:sz w:val="1"/>
          <w:szCs w:val="1"/>
          <w:color w:val="auto"/>
        </w:rPr>
        <w:drawing>
          <wp:inline distT="0" distB="0" distL="0" distR="0">
            <wp:extent cx="94615" cy="9461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any earned but unpaid bonus as of the date of employment termination;</w:t>
      </w:r>
    </w:p>
    <w:p>
      <w:pPr>
        <w:spacing w:after="0" w:line="46" w:lineRule="exact"/>
        <w:rPr>
          <w:sz w:val="20"/>
          <w:szCs w:val="20"/>
          <w:color w:val="auto"/>
        </w:rPr>
      </w:pPr>
    </w:p>
    <w:p>
      <w:pPr>
        <w:jc w:val="both"/>
        <w:ind w:left="1260" w:hanging="350"/>
        <w:spacing w:after="0" w:line="244" w:lineRule="auto"/>
        <w:tabs>
          <w:tab w:leader="none" w:pos="1240" w:val="left"/>
        </w:tabs>
        <w:rPr>
          <w:sz w:val="20"/>
          <w:szCs w:val="20"/>
          <w:color w:val="auto"/>
        </w:rPr>
      </w:pPr>
      <w:r>
        <w:rPr>
          <w:sz w:val="1"/>
          <w:szCs w:val="1"/>
          <w:color w:val="auto"/>
        </w:rPr>
        <w:drawing>
          <wp:inline distT="0" distB="0" distL="0" distR="0">
            <wp:extent cx="94615" cy="9398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200% of his annual target bonus opportunity in effect as of the date of employment termination (or, if greater, his annual target bonus opportunity as in effect immediately before the change in control);</w:t>
      </w:r>
    </w:p>
    <w:p>
      <w:pPr>
        <w:spacing w:after="0" w:line="68" w:lineRule="exact"/>
        <w:rPr>
          <w:sz w:val="20"/>
          <w:szCs w:val="20"/>
          <w:color w:val="auto"/>
        </w:rPr>
      </w:pPr>
    </w:p>
    <w:p>
      <w:pPr>
        <w:jc w:val="both"/>
        <w:ind w:left="1260" w:hanging="350"/>
        <w:spacing w:after="0" w:line="271" w:lineRule="auto"/>
        <w:tabs>
          <w:tab w:leader="none" w:pos="1240" w:val="left"/>
        </w:tabs>
        <w:rPr>
          <w:sz w:val="20"/>
          <w:szCs w:val="20"/>
          <w:color w:val="auto"/>
        </w:rPr>
      </w:pPr>
      <w:r>
        <w:rPr>
          <w:sz w:val="1"/>
          <w:szCs w:val="1"/>
          <w:color w:val="auto"/>
        </w:rPr>
        <w:drawing>
          <wp:inline distT="0" distB="0" distL="0" distR="0">
            <wp:extent cx="94615" cy="9398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two times his cost of COBRA coverage for twelve months;</w:t>
      </w:r>
    </w:p>
    <w:p>
      <w:pPr>
        <w:spacing w:after="0" w:line="46" w:lineRule="exact"/>
        <w:rPr>
          <w:sz w:val="20"/>
          <w:szCs w:val="20"/>
          <w:color w:val="auto"/>
        </w:rPr>
      </w:pPr>
    </w:p>
    <w:p>
      <w:pPr>
        <w:jc w:val="both"/>
        <w:ind w:left="1260" w:hanging="350"/>
        <w:spacing w:after="0" w:line="247" w:lineRule="auto"/>
        <w:tabs>
          <w:tab w:leader="none" w:pos="1240" w:val="left"/>
        </w:tabs>
        <w:rPr>
          <w:sz w:val="20"/>
          <w:szCs w:val="20"/>
          <w:color w:val="auto"/>
        </w:rPr>
      </w:pPr>
      <w:r>
        <w:rPr>
          <w:sz w:val="1"/>
          <w:szCs w:val="1"/>
          <w:color w:val="auto"/>
        </w:rPr>
        <w:drawing>
          <wp:inline distT="0" distB="0" distL="0" distR="0">
            <wp:extent cx="94615" cy="9398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100% vesting acceleration of any unvested and outstanding time-based equity awards (i.e., awards subject to vest based on continued service but not any other performance requirements); and</w:t>
      </w:r>
    </w:p>
    <w:p>
      <w:pPr>
        <w:spacing w:after="0" w:line="66" w:lineRule="exact"/>
        <w:rPr>
          <w:sz w:val="20"/>
          <w:szCs w:val="20"/>
          <w:color w:val="auto"/>
        </w:rPr>
      </w:pPr>
    </w:p>
    <w:p>
      <w:pPr>
        <w:jc w:val="both"/>
        <w:ind w:left="1260" w:hanging="350"/>
        <w:spacing w:after="0" w:line="242" w:lineRule="auto"/>
        <w:tabs>
          <w:tab w:leader="none" w:pos="1240" w:val="left"/>
        </w:tabs>
        <w:rPr>
          <w:sz w:val="20"/>
          <w:szCs w:val="20"/>
          <w:color w:val="auto"/>
        </w:rPr>
      </w:pPr>
      <w:r>
        <w:rPr>
          <w:sz w:val="1"/>
          <w:szCs w:val="1"/>
          <w:color w:val="auto"/>
        </w:rPr>
        <w:drawing>
          <wp:inline distT="0" distB="0" distL="0" distR="0">
            <wp:extent cx="94615" cy="9461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to the extent Mr. Grady is receiving tax equalization benefits under our expatriate policy as of the date of employment termination, continued tax equalization benefits for the calendar year in which the employment termination occurs and the immediately following calendar year.</w:t>
      </w:r>
    </w:p>
    <w:p>
      <w:pPr>
        <w:spacing w:after="0" w:line="71" w:lineRule="exact"/>
        <w:rPr>
          <w:sz w:val="20"/>
          <w:szCs w:val="20"/>
          <w:color w:val="auto"/>
        </w:rPr>
      </w:pPr>
    </w:p>
    <w:p>
      <w:pPr>
        <w:jc w:val="both"/>
        <w:ind w:left="920"/>
        <w:spacing w:after="0" w:line="244" w:lineRule="auto"/>
        <w:rPr>
          <w:sz w:val="20"/>
          <w:szCs w:val="20"/>
          <w:color w:val="auto"/>
        </w:rPr>
      </w:pPr>
      <w:r>
        <w:rPr>
          <w:rFonts w:ascii="Arial" w:cs="Arial" w:eastAsia="Arial" w:hAnsi="Arial"/>
          <w:sz w:val="18"/>
          <w:szCs w:val="18"/>
          <w:color w:val="auto"/>
        </w:rPr>
        <w:t>In addition, in the event of a change in control of Fabrinet, any then-outstanding and unvested equity awards held by Mr. Grady that are subject to the achievement of any performance-based or similar vesting criteria will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920"/>
        <w:spacing w:after="0" w:line="247" w:lineRule="auto"/>
        <w:rPr>
          <w:sz w:val="20"/>
          <w:szCs w:val="20"/>
          <w:color w:val="auto"/>
        </w:rPr>
      </w:pPr>
      <w:r>
        <w:rPr>
          <w:rFonts w:ascii="Arial" w:cs="Arial" w:eastAsia="Arial" w:hAnsi="Arial"/>
          <w:sz w:val="18"/>
          <w:szCs w:val="18"/>
          <w:color w:val="auto"/>
        </w:rPr>
        <w:t>governed by the award agreement applicable to such performance-based award. See “—</w:t>
      </w:r>
      <w:r>
        <w:rPr>
          <w:rFonts w:ascii="Arial" w:cs="Arial" w:eastAsia="Arial" w:hAnsi="Arial"/>
          <w:sz w:val="18"/>
          <w:szCs w:val="18"/>
          <w:i w:val="1"/>
          <w:iCs w:val="1"/>
          <w:color w:val="auto"/>
        </w:rPr>
        <w:t>Treatment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Awards in Change in Control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578255"/>
        </w:rPr>
        <w:t>Arrangement with Dr. Harpal Gill</w:t>
      </w:r>
    </w:p>
    <w:p>
      <w:pPr>
        <w:spacing w:after="0" w:line="108"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Pursuant to Dr. Gill’s amended and restated offer letter dated as of May 3, 2023, Dr. Gill and Fabrinet are each free to terminate Dr. Gill’s employment at any time, effective (i) one year after providing written notice, or</w:t>
      </w:r>
    </w:p>
    <w:p>
      <w:pPr>
        <w:jc w:val="both"/>
        <w:ind w:right="920" w:firstLine="6"/>
        <w:spacing w:after="0" w:line="238" w:lineRule="auto"/>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lesser period ending on December 31, 2025 (the “</w:t>
      </w:r>
      <w:r>
        <w:rPr>
          <w:rFonts w:ascii="Arial" w:cs="Arial" w:eastAsia="Arial" w:hAnsi="Arial"/>
          <w:sz w:val="18"/>
          <w:szCs w:val="18"/>
          <w:b w:val="1"/>
          <w:bCs w:val="1"/>
          <w:color w:val="auto"/>
        </w:rPr>
        <w:t>Gill Retirement Date</w:t>
      </w:r>
      <w:r>
        <w:rPr>
          <w:rFonts w:ascii="Arial" w:cs="Arial" w:eastAsia="Arial" w:hAnsi="Arial"/>
          <w:sz w:val="18"/>
          <w:szCs w:val="18"/>
          <w:color w:val="auto"/>
        </w:rPr>
        <w:t>”) to the extent that the written notice is provided within the one year period prior to the Gill Retirement Date, provided that Dr. Gill’s employment can be terminated at any time for cause without advance written notice.</w:t>
      </w:r>
    </w:p>
    <w:p>
      <w:pPr>
        <w:spacing w:after="0" w:line="73"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Subject to certain conditions, in the event Dr. Gill’s employment is terminated prior to the Gill Retirement Date, either by us without “good cause” (and other than due to Dr. Gill’s death or disability), or by Dr. Gill for any reason (in either case, subject to the advance written notice requirement described above), Dr. Gill will receive the following severance benefits:</w:t>
      </w:r>
    </w:p>
    <w:p>
      <w:pPr>
        <w:spacing w:after="0" w:line="77" w:lineRule="exact"/>
        <w:rPr>
          <w:sz w:val="20"/>
          <w:szCs w:val="20"/>
          <w:color w:val="auto"/>
        </w:rPr>
      </w:pPr>
    </w:p>
    <w:p>
      <w:pPr>
        <w:jc w:val="both"/>
        <w:ind w:left="360" w:right="920" w:hanging="350"/>
        <w:spacing w:after="0" w:line="244" w:lineRule="auto"/>
        <w:tabs>
          <w:tab w:leader="none" w:pos="340" w:val="left"/>
        </w:tabs>
        <w:rPr>
          <w:sz w:val="20"/>
          <w:szCs w:val="20"/>
          <w:color w:val="auto"/>
        </w:rPr>
      </w:pPr>
      <w:r>
        <w:rPr>
          <w:sz w:val="1"/>
          <w:szCs w:val="1"/>
          <w:color w:val="auto"/>
        </w:rPr>
        <w:drawing>
          <wp:inline distT="0" distB="0" distL="0" distR="0">
            <wp:extent cx="94615" cy="9398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equal to one month’s base salary as of the date of employment termination multiplied by the total number of full and fractional years of his employment with us as of the date of employment termination;</w:t>
      </w:r>
    </w:p>
    <w:p>
      <w:pPr>
        <w:spacing w:after="0" w:line="68" w:lineRule="exact"/>
        <w:rPr>
          <w:sz w:val="20"/>
          <w:szCs w:val="20"/>
          <w:color w:val="auto"/>
        </w:rPr>
      </w:pPr>
    </w:p>
    <w:p>
      <w:pPr>
        <w:jc w:val="both"/>
        <w:ind w:left="360" w:right="920" w:hanging="350"/>
        <w:spacing w:after="0" w:line="271" w:lineRule="auto"/>
        <w:tabs>
          <w:tab w:leader="none" w:pos="340" w:val="left"/>
        </w:tabs>
        <w:rPr>
          <w:sz w:val="20"/>
          <w:szCs w:val="20"/>
          <w:color w:val="auto"/>
        </w:rPr>
      </w:pPr>
      <w:r>
        <w:rPr>
          <w:sz w:val="1"/>
          <w:szCs w:val="1"/>
          <w:color w:val="auto"/>
        </w:rPr>
        <w:drawing>
          <wp:inline distT="0" distB="0" distL="0" distR="0">
            <wp:extent cx="94615" cy="9398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any earned but unpaid bonus as of the date of employment termination;</w:t>
      </w:r>
    </w:p>
    <w:p>
      <w:pPr>
        <w:spacing w:after="0" w:line="46" w:lineRule="exact"/>
        <w:rPr>
          <w:sz w:val="20"/>
          <w:szCs w:val="20"/>
          <w:color w:val="auto"/>
        </w:rPr>
      </w:pPr>
    </w:p>
    <w:p>
      <w:pPr>
        <w:jc w:val="both"/>
        <w:ind w:left="360" w:right="940" w:hanging="350"/>
        <w:spacing w:after="0" w:line="271" w:lineRule="auto"/>
        <w:tabs>
          <w:tab w:leader="none" w:pos="340" w:val="left"/>
        </w:tabs>
        <w:rPr>
          <w:sz w:val="20"/>
          <w:szCs w:val="20"/>
          <w:color w:val="auto"/>
        </w:rPr>
      </w:pPr>
      <w:r>
        <w:rPr>
          <w:sz w:val="1"/>
          <w:szCs w:val="1"/>
          <w:color w:val="auto"/>
        </w:rPr>
        <w:drawing>
          <wp:inline distT="0" distB="0" distL="0" distR="0">
            <wp:extent cx="94615" cy="9398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two times his cost of COBRA coverage for twelve months;</w:t>
      </w:r>
    </w:p>
    <w:p>
      <w:pPr>
        <w:spacing w:after="0" w:line="46" w:lineRule="exact"/>
        <w:rPr>
          <w:sz w:val="20"/>
          <w:szCs w:val="20"/>
          <w:color w:val="auto"/>
        </w:rPr>
      </w:pPr>
    </w:p>
    <w:p>
      <w:pPr>
        <w:jc w:val="both"/>
        <w:ind w:left="360" w:right="920" w:hanging="350"/>
        <w:spacing w:after="0" w:line="244" w:lineRule="auto"/>
        <w:tabs>
          <w:tab w:leader="none" w:pos="340" w:val="left"/>
        </w:tabs>
        <w:rPr>
          <w:sz w:val="20"/>
          <w:szCs w:val="20"/>
          <w:color w:val="auto"/>
        </w:rPr>
      </w:pPr>
      <w:r>
        <w:rPr>
          <w:sz w:val="1"/>
          <w:szCs w:val="1"/>
          <w:color w:val="auto"/>
        </w:rPr>
        <w:drawing>
          <wp:inline distT="0" distB="0" distL="0" distR="0">
            <wp:extent cx="94615" cy="9461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100% vesting acceleration of any then-outstanding and unvested time-based restricted stock unit awards (i.e., awards subject to vest based on continued service but not any other performance requirements);</w:t>
      </w:r>
    </w:p>
    <w:p>
      <w:pPr>
        <w:spacing w:after="0" w:line="68" w:lineRule="exact"/>
        <w:rPr>
          <w:sz w:val="20"/>
          <w:szCs w:val="20"/>
          <w:color w:val="auto"/>
        </w:rPr>
      </w:pPr>
    </w:p>
    <w:p>
      <w:pPr>
        <w:jc w:val="both"/>
        <w:ind w:left="360" w:right="920" w:hanging="350"/>
        <w:spacing w:after="0" w:line="239" w:lineRule="auto"/>
        <w:tabs>
          <w:tab w:leader="none" w:pos="340" w:val="left"/>
        </w:tabs>
        <w:rPr>
          <w:sz w:val="20"/>
          <w:szCs w:val="20"/>
          <w:color w:val="auto"/>
        </w:rPr>
      </w:pPr>
      <w:r>
        <w:rPr>
          <w:sz w:val="1"/>
          <w:szCs w:val="1"/>
          <w:color w:val="auto"/>
        </w:rPr>
        <w:drawing>
          <wp:inline distT="0" distB="0" distL="0" distR="0">
            <wp:extent cx="94615" cy="9461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 w:cs="Arial" w:eastAsia="Arial" w:hAnsi="Arial"/>
          <w:sz w:val="18"/>
          <w:szCs w:val="18"/>
          <w:i w:val="1"/>
          <w:iCs w:val="1"/>
          <w:color w:val="auto"/>
        </w:rPr>
        <w:t>Treatment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Awards in Change in Control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 and</w:t>
      </w:r>
    </w:p>
    <w:p>
      <w:pPr>
        <w:spacing w:after="0" w:line="75" w:lineRule="exact"/>
        <w:rPr>
          <w:sz w:val="20"/>
          <w:szCs w:val="20"/>
          <w:color w:val="auto"/>
        </w:rPr>
      </w:pPr>
    </w:p>
    <w:p>
      <w:pPr>
        <w:jc w:val="both"/>
        <w:ind w:left="360" w:right="920" w:hanging="350"/>
        <w:spacing w:after="0" w:line="244" w:lineRule="auto"/>
        <w:tabs>
          <w:tab w:leader="none" w:pos="340" w:val="left"/>
        </w:tabs>
        <w:rPr>
          <w:sz w:val="20"/>
          <w:szCs w:val="20"/>
          <w:color w:val="auto"/>
        </w:rPr>
      </w:pPr>
      <w:r>
        <w:rPr>
          <w:sz w:val="1"/>
          <w:szCs w:val="1"/>
          <w:color w:val="auto"/>
        </w:rPr>
        <w:drawing>
          <wp:inline distT="0" distB="0" distL="0" distR="0">
            <wp:extent cx="94615" cy="9461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continued tax equalization benefits under our expatriate policy, as in effect on the date of employment termination, for the calendar year in which the employment termination occurs and the immediately following calendar year.</w:t>
      </w:r>
    </w:p>
    <w:p>
      <w:pPr>
        <w:spacing w:after="0" w:line="200"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53</w:t>
            </w:r>
          </w:p>
        </w:tc>
      </w:tr>
      <w:tr>
        <w:trPr>
          <w:trHeight w:val="237"/>
        </w:trPr>
        <w:tc>
          <w:tcPr>
            <w:tcW w:w="66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342900" cy="768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0"/>
        <w:spacing w:after="0" w:line="247" w:lineRule="auto"/>
        <w:rPr>
          <w:sz w:val="20"/>
          <w:szCs w:val="20"/>
          <w:color w:val="auto"/>
        </w:rPr>
      </w:pPr>
      <w:r>
        <w:rPr>
          <w:rFonts w:ascii="Arial" w:cs="Arial" w:eastAsia="Arial" w:hAnsi="Arial"/>
          <w:sz w:val="18"/>
          <w:szCs w:val="18"/>
          <w:color w:val="auto"/>
        </w:rPr>
        <w:t>In the event Dr. Gill’s employment is terminated on account of Dr. Gill’s death or disability on or prior to the Gill Retirement Date, Dr. Gill will receive the following severance benefits:</w:t>
      </w:r>
    </w:p>
    <w:p>
      <w:pPr>
        <w:spacing w:after="0" w:line="66" w:lineRule="exact"/>
        <w:rPr>
          <w:sz w:val="20"/>
          <w:szCs w:val="20"/>
          <w:color w:val="auto"/>
        </w:rPr>
      </w:pPr>
    </w:p>
    <w:p>
      <w:pPr>
        <w:jc w:val="both"/>
        <w:ind w:left="400" w:hanging="350"/>
        <w:spacing w:after="0" w:line="244" w:lineRule="auto"/>
        <w:tabs>
          <w:tab w:leader="none" w:pos="380" w:val="left"/>
        </w:tabs>
        <w:rPr>
          <w:sz w:val="20"/>
          <w:szCs w:val="20"/>
          <w:color w:val="auto"/>
        </w:rPr>
      </w:pPr>
      <w:r>
        <w:rPr>
          <w:sz w:val="1"/>
          <w:szCs w:val="1"/>
          <w:color w:val="auto"/>
        </w:rPr>
        <w:drawing>
          <wp:inline distT="0" distB="0" distL="0" distR="0">
            <wp:extent cx="94615" cy="9398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equal to one month’s base salary as of the date of employment termination multiplied by the total number of full and fractional years of his employment with us as of the date of employment termination;</w:t>
      </w:r>
    </w:p>
    <w:p>
      <w:pPr>
        <w:spacing w:after="0" w:line="68" w:lineRule="exact"/>
        <w:rPr>
          <w:sz w:val="20"/>
          <w:szCs w:val="20"/>
          <w:color w:val="auto"/>
        </w:rPr>
      </w:pPr>
    </w:p>
    <w:p>
      <w:pPr>
        <w:jc w:val="both"/>
        <w:ind w:left="400" w:hanging="350"/>
        <w:spacing w:after="0" w:line="271" w:lineRule="auto"/>
        <w:tabs>
          <w:tab w:leader="none" w:pos="380" w:val="left"/>
        </w:tabs>
        <w:rPr>
          <w:sz w:val="20"/>
          <w:szCs w:val="20"/>
          <w:color w:val="auto"/>
        </w:rPr>
      </w:pPr>
      <w:r>
        <w:rPr>
          <w:sz w:val="1"/>
          <w:szCs w:val="1"/>
          <w:color w:val="auto"/>
        </w:rPr>
        <w:drawing>
          <wp:inline distT="0" distB="0" distL="0" distR="0">
            <wp:extent cx="94615" cy="9398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any earned but unpaid bonus as of the date of employment termination;</w:t>
      </w:r>
    </w:p>
    <w:p>
      <w:pPr>
        <w:spacing w:after="0" w:line="46" w:lineRule="exact"/>
        <w:rPr>
          <w:sz w:val="20"/>
          <w:szCs w:val="20"/>
          <w:color w:val="auto"/>
        </w:rPr>
      </w:pPr>
    </w:p>
    <w:p>
      <w:pPr>
        <w:jc w:val="both"/>
        <w:ind w:left="400" w:hanging="350"/>
        <w:spacing w:after="0" w:line="271" w:lineRule="auto"/>
        <w:tabs>
          <w:tab w:leader="none" w:pos="380" w:val="left"/>
        </w:tabs>
        <w:rPr>
          <w:sz w:val="20"/>
          <w:szCs w:val="20"/>
          <w:color w:val="auto"/>
        </w:rPr>
      </w:pPr>
      <w:r>
        <w:rPr>
          <w:sz w:val="1"/>
          <w:szCs w:val="1"/>
          <w:color w:val="auto"/>
        </w:rPr>
        <w:drawing>
          <wp:inline distT="0" distB="0" distL="0" distR="0">
            <wp:extent cx="94615" cy="9461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two times his cost of COBRA coverage for twelve months;</w:t>
      </w:r>
    </w:p>
    <w:p>
      <w:pPr>
        <w:spacing w:after="0" w:line="46" w:lineRule="exact"/>
        <w:rPr>
          <w:sz w:val="20"/>
          <w:szCs w:val="20"/>
          <w:color w:val="auto"/>
        </w:rPr>
      </w:pPr>
    </w:p>
    <w:p>
      <w:pPr>
        <w:jc w:val="both"/>
        <w:ind w:left="400" w:hanging="350"/>
        <w:spacing w:after="0" w:line="244" w:lineRule="auto"/>
        <w:tabs>
          <w:tab w:leader="none" w:pos="380" w:val="left"/>
        </w:tabs>
        <w:rPr>
          <w:sz w:val="20"/>
          <w:szCs w:val="20"/>
          <w:color w:val="auto"/>
        </w:rPr>
      </w:pPr>
      <w:r>
        <w:rPr>
          <w:sz w:val="1"/>
          <w:szCs w:val="1"/>
          <w:color w:val="auto"/>
        </w:rPr>
        <w:drawing>
          <wp:inline distT="0" distB="0" distL="0" distR="0">
            <wp:extent cx="94615" cy="9398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100% vesting acceleration of any then-outstanding and unvested time-based restricted stock unit awards (i.e., awards subject to vest based on continued service but not any other performance requirements); and</w:t>
      </w:r>
    </w:p>
    <w:p>
      <w:pPr>
        <w:spacing w:after="0" w:line="68" w:lineRule="exact"/>
        <w:rPr>
          <w:sz w:val="20"/>
          <w:szCs w:val="20"/>
          <w:color w:val="auto"/>
        </w:rPr>
      </w:pPr>
    </w:p>
    <w:p>
      <w:pPr>
        <w:jc w:val="both"/>
        <w:ind w:left="400" w:hanging="350"/>
        <w:spacing w:after="0" w:line="239" w:lineRule="auto"/>
        <w:tabs>
          <w:tab w:leader="none" w:pos="380" w:val="left"/>
        </w:tabs>
        <w:rPr>
          <w:sz w:val="20"/>
          <w:szCs w:val="20"/>
          <w:color w:val="auto"/>
        </w:rPr>
      </w:pPr>
      <w:r>
        <w:rPr>
          <w:sz w:val="1"/>
          <w:szCs w:val="1"/>
          <w:color w:val="auto"/>
        </w:rPr>
        <w:drawing>
          <wp:inline distT="0" distB="0" distL="0" distR="0">
            <wp:extent cx="94615" cy="9398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any then-outstanding and unvested performance-based equity awards that remain subject to the achievement of any performance goals as of the date of employment termination will remain outstanding and eligible to vest based on the extent that the applicable performance-based or other criteria are satisfied (see “—</w:t>
      </w:r>
      <w:r>
        <w:rPr>
          <w:rFonts w:ascii="Arial" w:cs="Arial" w:eastAsia="Arial" w:hAnsi="Arial"/>
          <w:sz w:val="18"/>
          <w:szCs w:val="18"/>
          <w:i w:val="1"/>
          <w:iCs w:val="1"/>
          <w:color w:val="auto"/>
        </w:rPr>
        <w:t>Treatment of</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Awards in Change in Control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75"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For purposes of Dr. Gill’s offer letter, “good cause” generally means (i) an act of dishonesty made in connection with his responsibilities as an employee, (ii) a conviction of or plea of nolo contendere to a felony or any crime involving fraud, embezzlement or any other act of moral turpitude, (iii) gross misconduct, (iv) unauthorized use or disclosure of any proprietary information or trade secrets of Fabrinet or any other party to whom he owes an obligation of nondisclosure as a result of his relationship with us, (v) willful breach of any obligations under any written agreement or covenant with us, or (vi) continued failure to perform employment duties after receipt of a written demand for performance from us and opportunity to cure such failure over a 30-day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578255"/>
        </w:rPr>
        <w:t>Executive Change in Control and Severance Plan</w:t>
      </w:r>
    </w:p>
    <w:p>
      <w:pPr>
        <w:spacing w:after="0" w:line="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August 2021, we adopted our Executive Change in Control and Severance Plan (the “</w:t>
      </w:r>
      <w:r>
        <w:rPr>
          <w:rFonts w:ascii="Arial" w:cs="Arial" w:eastAsia="Arial" w:hAnsi="Arial"/>
          <w:sz w:val="18"/>
          <w:szCs w:val="18"/>
          <w:b w:val="1"/>
          <w:bCs w:val="1"/>
          <w:color w:val="auto"/>
        </w:rPr>
        <w:t>Severance Plan</w:t>
      </w:r>
      <w:r>
        <w:rPr>
          <w:rFonts w:ascii="Arial" w:cs="Arial" w:eastAsia="Arial" w:hAnsi="Arial"/>
          <w:sz w:val="18"/>
          <w:szCs w:val="18"/>
          <w:color w:val="auto"/>
        </w:rPr>
        <w:t>”), which provides benefits to designated executive officers in connection with an involuntary termination of employment, including in connection with a change in control of Fabrinet. Currently, Mr. Sverha and Mr. Archer are the only Named Officers who are eligible to participate in the Severance Plan.</w:t>
      </w:r>
    </w:p>
    <w:p>
      <w:pPr>
        <w:spacing w:after="0" w:line="18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Termination of Employment Unrelated to a Change in Control</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 participant’s employment with us is terminated by us without “cause” and other than due to the participant’s death or disability, or by the participant for “good reason” (each, a “</w:t>
      </w:r>
      <w:r>
        <w:rPr>
          <w:rFonts w:ascii="Arial" w:cs="Arial" w:eastAsia="Arial" w:hAnsi="Arial"/>
          <w:sz w:val="18"/>
          <w:szCs w:val="18"/>
          <w:b w:val="1"/>
          <w:bCs w:val="1"/>
          <w:color w:val="auto"/>
        </w:rPr>
        <w:t>Plan Qualifying</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w:t>
      </w:r>
      <w:r>
        <w:rPr>
          <w:rFonts w:ascii="Arial" w:cs="Arial" w:eastAsia="Arial" w:hAnsi="Arial"/>
          <w:sz w:val="18"/>
          <w:szCs w:val="18"/>
          <w:color w:val="auto"/>
        </w:rPr>
        <w:t>”), in each case other than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beginning three months prior to a change in control of Fabrinet through the one-year anniversary of any such change in control (the “</w:t>
      </w:r>
      <w:r>
        <w:rPr>
          <w:rFonts w:ascii="Arial" w:cs="Arial" w:eastAsia="Arial" w:hAnsi="Arial"/>
          <w:sz w:val="18"/>
          <w:szCs w:val="18"/>
          <w:b w:val="1"/>
          <w:bCs w:val="1"/>
          <w:color w:val="auto"/>
        </w:rPr>
        <w:t>Plan Change in</w:t>
      </w:r>
      <w:r>
        <w:rPr>
          <w:rFonts w:ascii="Arial" w:cs="Arial" w:eastAsia="Arial" w:hAnsi="Arial"/>
          <w:sz w:val="18"/>
          <w:szCs w:val="18"/>
          <w:color w:val="auto"/>
        </w:rPr>
        <w:t xml:space="preserve"> </w:t>
      </w:r>
      <w:r>
        <w:rPr>
          <w:rFonts w:ascii="Arial" w:cs="Arial" w:eastAsia="Arial" w:hAnsi="Arial"/>
          <w:sz w:val="18"/>
          <w:szCs w:val="18"/>
          <w:b w:val="1"/>
          <w:bCs w:val="1"/>
          <w:color w:val="auto"/>
        </w:rPr>
        <w:t>Control Period</w:t>
      </w:r>
      <w:r>
        <w:rPr>
          <w:rFonts w:ascii="Arial" w:cs="Arial" w:eastAsia="Arial" w:hAnsi="Arial"/>
          <w:sz w:val="18"/>
          <w:szCs w:val="18"/>
          <w:color w:val="auto"/>
        </w:rPr>
        <w:t>”), then, subject to the participant timely</w:t>
      </w:r>
      <w:r>
        <w:rPr>
          <w:rFonts w:ascii="Arial" w:cs="Arial" w:eastAsia="Arial" w:hAnsi="Arial"/>
          <w:sz w:val="18"/>
          <w:szCs w:val="18"/>
          <w:b w:val="1"/>
          <w:bCs w:val="1"/>
          <w:color w:val="auto"/>
        </w:rPr>
        <w:t xml:space="preserve"> </w:t>
      </w:r>
      <w:r>
        <w:rPr>
          <w:rFonts w:ascii="Arial" w:cs="Arial" w:eastAsia="Arial" w:hAnsi="Arial"/>
          <w:sz w:val="18"/>
          <w:szCs w:val="18"/>
          <w:color w:val="auto"/>
        </w:rPr>
        <w:t>signing and not revoking a separation agreement and release of claims (the “</w:t>
      </w:r>
      <w:r>
        <w:rPr>
          <w:rFonts w:ascii="Arial" w:cs="Arial" w:eastAsia="Arial" w:hAnsi="Arial"/>
          <w:sz w:val="18"/>
          <w:szCs w:val="18"/>
          <w:b w:val="1"/>
          <w:bCs w:val="1"/>
          <w:color w:val="auto"/>
        </w:rPr>
        <w:t>Release Condition</w:t>
      </w:r>
      <w:r>
        <w:rPr>
          <w:rFonts w:ascii="Arial" w:cs="Arial" w:eastAsia="Arial" w:hAnsi="Arial"/>
          <w:sz w:val="18"/>
          <w:szCs w:val="18"/>
          <w:color w:val="auto"/>
        </w:rPr>
        <w:t>”), the participant will be entitled to receive the following severance benefits:</w:t>
      </w:r>
    </w:p>
    <w:p>
      <w:pPr>
        <w:spacing w:after="0" w:line="72" w:lineRule="exact"/>
        <w:rPr>
          <w:sz w:val="20"/>
          <w:szCs w:val="20"/>
          <w:color w:val="auto"/>
        </w:rPr>
      </w:pPr>
    </w:p>
    <w:p>
      <w:pPr>
        <w:jc w:val="both"/>
        <w:ind w:left="360" w:right="20" w:hanging="350"/>
        <w:spacing w:after="0" w:line="253" w:lineRule="auto"/>
        <w:tabs>
          <w:tab w:leader="none" w:pos="340" w:val="left"/>
        </w:tabs>
        <w:rPr>
          <w:sz w:val="20"/>
          <w:szCs w:val="20"/>
          <w:color w:val="auto"/>
        </w:rPr>
      </w:pPr>
      <w:r>
        <w:rPr>
          <w:sz w:val="1"/>
          <w:szCs w:val="1"/>
          <w:color w:val="auto"/>
        </w:rPr>
        <w:drawing>
          <wp:inline distT="0" distB="0" distL="0" distR="0">
            <wp:extent cx="94615" cy="9461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50% of the participant’s annual base salary as of the date of employment termination;</w:t>
      </w:r>
    </w:p>
    <w:p>
      <w:pPr>
        <w:spacing w:after="0" w:line="61" w:lineRule="exact"/>
        <w:rPr>
          <w:sz w:val="20"/>
          <w:szCs w:val="20"/>
          <w:color w:val="auto"/>
        </w:rPr>
      </w:pPr>
    </w:p>
    <w:p>
      <w:pPr>
        <w:jc w:val="both"/>
        <w:ind w:left="360" w:hanging="350"/>
        <w:spacing w:after="0" w:line="253" w:lineRule="auto"/>
        <w:tabs>
          <w:tab w:leader="none" w:pos="340" w:val="left"/>
        </w:tabs>
        <w:rPr>
          <w:sz w:val="20"/>
          <w:szCs w:val="20"/>
          <w:color w:val="auto"/>
        </w:rPr>
      </w:pPr>
      <w:r>
        <w:rPr>
          <w:sz w:val="1"/>
          <w:szCs w:val="1"/>
          <w:color w:val="auto"/>
        </w:rPr>
        <w:drawing>
          <wp:inline distT="0" distB="0" distL="0" distR="0">
            <wp:extent cx="94615" cy="9398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equal to the participant’s earned but unpaid bonus as of the date of employment termination;</w:t>
      </w:r>
    </w:p>
    <w:p>
      <w:pPr>
        <w:spacing w:after="0" w:line="61" w:lineRule="exact"/>
        <w:rPr>
          <w:sz w:val="20"/>
          <w:szCs w:val="20"/>
          <w:color w:val="auto"/>
        </w:rPr>
      </w:pPr>
    </w:p>
    <w:p>
      <w:pPr>
        <w:jc w:val="both"/>
        <w:ind w:left="360" w:hanging="350"/>
        <w:spacing w:after="0" w:line="247" w:lineRule="auto"/>
        <w:tabs>
          <w:tab w:leader="none" w:pos="340" w:val="left"/>
        </w:tabs>
        <w:rPr>
          <w:sz w:val="20"/>
          <w:szCs w:val="20"/>
          <w:color w:val="auto"/>
        </w:rPr>
      </w:pPr>
      <w:r>
        <w:rPr>
          <w:sz w:val="1"/>
          <w:szCs w:val="1"/>
          <w:color w:val="auto"/>
        </w:rPr>
        <w:drawing>
          <wp:inline distT="0" distB="0" distL="0" distR="0">
            <wp:extent cx="94615" cy="9398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18 times the monthly premium for continued health coverage under COBRA for the participant and the participant’s eligible dependents, as applicable; and</w:t>
      </w:r>
    </w:p>
    <w:p>
      <w:pPr>
        <w:spacing w:after="0" w:line="66" w:lineRule="exact"/>
        <w:rPr>
          <w:sz w:val="20"/>
          <w:szCs w:val="20"/>
          <w:color w:val="auto"/>
        </w:rPr>
      </w:pPr>
    </w:p>
    <w:p>
      <w:pPr>
        <w:jc w:val="both"/>
        <w:ind w:left="360" w:hanging="350"/>
        <w:spacing w:after="0" w:line="242" w:lineRule="auto"/>
        <w:tabs>
          <w:tab w:leader="none" w:pos="340" w:val="left"/>
        </w:tabs>
        <w:rPr>
          <w:sz w:val="20"/>
          <w:szCs w:val="20"/>
          <w:color w:val="auto"/>
        </w:rPr>
      </w:pPr>
      <w:r>
        <w:rPr>
          <w:sz w:val="1"/>
          <w:szCs w:val="1"/>
          <w:color w:val="auto"/>
        </w:rPr>
        <w:drawing>
          <wp:inline distT="0" distB="0" distL="0" distR="0">
            <wp:extent cx="94615" cy="9398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w:t>
      </w:r>
    </w:p>
    <w:p>
      <w:pPr>
        <w:spacing w:after="0" w:line="200"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88"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54</w:t>
      </w:r>
      <w:r>
        <w:rPr>
          <w:sz w:val="20"/>
          <w:szCs w:val="20"/>
          <w:color w:val="auto"/>
        </w:rPr>
        <w:tab/>
      </w:r>
      <w:r>
        <w:rPr>
          <w:sz w:val="1"/>
          <w:szCs w:val="1"/>
          <w:color w:val="auto"/>
        </w:rPr>
        <w:drawing>
          <wp:inline distT="0" distB="0" distL="0" distR="0">
            <wp:extent cx="342900" cy="7747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60" w:name="page61"/>
    <w:bookmarkEnd w:id="6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right="240"/>
        <w:spacing w:after="0" w:line="278" w:lineRule="auto"/>
        <w:rPr>
          <w:sz w:val="20"/>
          <w:szCs w:val="20"/>
          <w:color w:val="auto"/>
        </w:rPr>
      </w:pPr>
      <w:r>
        <w:rPr>
          <w:rFonts w:ascii="Arial" w:cs="Arial" w:eastAsia="Arial" w:hAnsi="Arial"/>
          <w:sz w:val="18"/>
          <w:szCs w:val="18"/>
          <w:b w:val="1"/>
          <w:bCs w:val="1"/>
          <w:i w:val="1"/>
          <w:iCs w:val="1"/>
          <w:color w:val="auto"/>
        </w:rPr>
        <w:t>Termination of Employment in Connection with a Change in Control</w:t>
      </w:r>
    </w:p>
    <w:p>
      <w:pPr>
        <w:spacing w:after="0" w:line="31" w:lineRule="exact"/>
        <w:rPr>
          <w:sz w:val="20"/>
          <w:szCs w:val="20"/>
          <w:color w:val="auto"/>
        </w:rPr>
      </w:pPr>
    </w:p>
    <w:p>
      <w:pPr>
        <w:jc w:val="both"/>
        <w:ind w:left="920"/>
        <w:spacing w:after="0" w:line="242" w:lineRule="auto"/>
        <w:rPr>
          <w:sz w:val="20"/>
          <w:szCs w:val="20"/>
          <w:color w:val="auto"/>
        </w:rPr>
      </w:pPr>
      <w:r>
        <w:rPr>
          <w:rFonts w:ascii="Arial" w:cs="Arial" w:eastAsia="Arial" w:hAnsi="Arial"/>
          <w:sz w:val="18"/>
          <w:szCs w:val="18"/>
          <w:color w:val="auto"/>
        </w:rPr>
        <w:t>Pursuant to the Severance Plan, if a participant’s employment with us is terminated within the Plan Change in Control Period due to a Plan Qualifying Termination, then, subject to the Release Condition, the participant will be entitled to receive the following severance benefits:</w:t>
      </w:r>
    </w:p>
    <w:p>
      <w:pPr>
        <w:spacing w:after="0" w:line="71" w:lineRule="exact"/>
        <w:rPr>
          <w:sz w:val="20"/>
          <w:szCs w:val="20"/>
          <w:color w:val="auto"/>
        </w:rPr>
      </w:pPr>
    </w:p>
    <w:p>
      <w:pPr>
        <w:jc w:val="both"/>
        <w:ind w:left="1260" w:hanging="350"/>
        <w:spacing w:after="0" w:line="244" w:lineRule="auto"/>
        <w:tabs>
          <w:tab w:leader="none" w:pos="1240" w:val="left"/>
        </w:tabs>
        <w:rPr>
          <w:sz w:val="20"/>
          <w:szCs w:val="20"/>
          <w:color w:val="auto"/>
        </w:rPr>
      </w:pPr>
      <w:r>
        <w:rPr>
          <w:sz w:val="1"/>
          <w:szCs w:val="1"/>
          <w:color w:val="auto"/>
        </w:rPr>
        <w:drawing>
          <wp:inline distT="0" distB="0" distL="0" distR="0">
            <wp:extent cx="94615" cy="9398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100% of the participant’s annual base salary as of the date of employment termination (or, if greater, the participant’s annual base salary as in effect immediately before the change in control);</w:t>
      </w:r>
    </w:p>
    <w:p>
      <w:pPr>
        <w:spacing w:after="0" w:line="68" w:lineRule="exact"/>
        <w:rPr>
          <w:sz w:val="20"/>
          <w:szCs w:val="20"/>
          <w:color w:val="auto"/>
        </w:rPr>
      </w:pPr>
    </w:p>
    <w:p>
      <w:pPr>
        <w:jc w:val="both"/>
        <w:ind w:left="1260" w:hanging="350"/>
        <w:spacing w:after="0" w:line="271" w:lineRule="auto"/>
        <w:tabs>
          <w:tab w:leader="none" w:pos="1240" w:val="left"/>
        </w:tabs>
        <w:rPr>
          <w:sz w:val="20"/>
          <w:szCs w:val="20"/>
          <w:color w:val="auto"/>
        </w:rPr>
      </w:pPr>
      <w:r>
        <w:rPr>
          <w:sz w:val="1"/>
          <w:szCs w:val="1"/>
          <w:color w:val="auto"/>
        </w:rPr>
        <w:drawing>
          <wp:inline distT="0" distB="0" distL="0" distR="0">
            <wp:extent cx="94615" cy="9461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any earned but unpaid bonus as of the date of employment termination;</w:t>
      </w:r>
    </w:p>
    <w:p>
      <w:pPr>
        <w:spacing w:after="0" w:line="46" w:lineRule="exact"/>
        <w:rPr>
          <w:sz w:val="20"/>
          <w:szCs w:val="20"/>
          <w:color w:val="auto"/>
        </w:rPr>
      </w:pPr>
    </w:p>
    <w:p>
      <w:pPr>
        <w:jc w:val="both"/>
        <w:ind w:left="1260" w:hanging="350"/>
        <w:spacing w:after="0" w:line="244" w:lineRule="auto"/>
        <w:tabs>
          <w:tab w:leader="none" w:pos="1240" w:val="left"/>
        </w:tabs>
        <w:rPr>
          <w:sz w:val="20"/>
          <w:szCs w:val="20"/>
          <w:color w:val="auto"/>
        </w:rPr>
      </w:pPr>
      <w:r>
        <w:rPr>
          <w:sz w:val="1"/>
          <w:szCs w:val="1"/>
          <w:color w:val="auto"/>
        </w:rPr>
        <w:drawing>
          <wp:inline distT="0" distB="0" distL="0" distR="0">
            <wp:extent cx="94615" cy="9398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100% of the participant’s annual target bonus opportunity in effect as of the date of employment termination (or, if greater, the participant’s annual target bonus opportunity as in effect immediately before the change in control);</w:t>
      </w:r>
    </w:p>
    <w:p>
      <w:pPr>
        <w:spacing w:after="0" w:line="68" w:lineRule="exact"/>
        <w:rPr>
          <w:sz w:val="20"/>
          <w:szCs w:val="20"/>
          <w:color w:val="auto"/>
        </w:rPr>
      </w:pPr>
    </w:p>
    <w:p>
      <w:pPr>
        <w:jc w:val="both"/>
        <w:ind w:left="1260" w:hanging="350"/>
        <w:spacing w:after="0" w:line="247" w:lineRule="auto"/>
        <w:tabs>
          <w:tab w:leader="none" w:pos="1240" w:val="left"/>
        </w:tabs>
        <w:rPr>
          <w:sz w:val="20"/>
          <w:szCs w:val="20"/>
          <w:color w:val="auto"/>
        </w:rPr>
      </w:pPr>
      <w:r>
        <w:rPr>
          <w:sz w:val="1"/>
          <w:szCs w:val="1"/>
          <w:color w:val="auto"/>
        </w:rPr>
        <w:drawing>
          <wp:inline distT="0" distB="0" distL="0" distR="0">
            <wp:extent cx="94615" cy="9398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a lump sum payment of 18 times the monthly premium for continued health coverage under COBRA for the participant and the participant’s eligible dependents, as applicable;</w:t>
      </w:r>
    </w:p>
    <w:p>
      <w:pPr>
        <w:spacing w:after="0" w:line="66" w:lineRule="exact"/>
        <w:rPr>
          <w:sz w:val="20"/>
          <w:szCs w:val="20"/>
          <w:color w:val="auto"/>
        </w:rPr>
      </w:pPr>
    </w:p>
    <w:p>
      <w:pPr>
        <w:jc w:val="both"/>
        <w:ind w:left="1260" w:hanging="350"/>
        <w:spacing w:after="0" w:line="246" w:lineRule="auto"/>
        <w:tabs>
          <w:tab w:leader="none" w:pos="1240" w:val="left"/>
        </w:tabs>
        <w:rPr>
          <w:sz w:val="20"/>
          <w:szCs w:val="20"/>
          <w:color w:val="auto"/>
        </w:rPr>
      </w:pPr>
      <w:r>
        <w:rPr>
          <w:sz w:val="1"/>
          <w:szCs w:val="1"/>
          <w:color w:val="auto"/>
        </w:rPr>
        <w:drawing>
          <wp:inline distT="0" distB="0" distL="0" distR="0">
            <wp:extent cx="94615" cy="9461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100% vesting acceleration of any unvested and outstanding time-based equity awards (i.e., awards subject to vest based on continued service but not any other performance requirements) (“</w:t>
      </w:r>
      <w:r>
        <w:rPr>
          <w:rFonts w:ascii="Arial" w:cs="Arial" w:eastAsia="Arial" w:hAnsi="Arial"/>
          <w:sz w:val="18"/>
          <w:szCs w:val="18"/>
          <w:b w:val="1"/>
          <w:bCs w:val="1"/>
          <w:color w:val="auto"/>
        </w:rPr>
        <w:t>Time-Based Awards</w:t>
      </w:r>
      <w:r>
        <w:rPr>
          <w:rFonts w:ascii="Arial" w:cs="Arial" w:eastAsia="Arial" w:hAnsi="Arial"/>
          <w:sz w:val="18"/>
          <w:szCs w:val="18"/>
          <w:color w:val="auto"/>
        </w:rPr>
        <w:t>”); and</w:t>
      </w:r>
    </w:p>
    <w:p>
      <w:pPr>
        <w:spacing w:after="0" w:line="60" w:lineRule="exact"/>
        <w:rPr>
          <w:sz w:val="20"/>
          <w:szCs w:val="20"/>
          <w:color w:val="auto"/>
        </w:rPr>
      </w:pPr>
    </w:p>
    <w:p>
      <w:pPr>
        <w:jc w:val="both"/>
        <w:ind w:left="1260" w:hanging="350"/>
        <w:spacing w:after="0" w:line="242" w:lineRule="auto"/>
        <w:tabs>
          <w:tab w:leader="none" w:pos="1240" w:val="left"/>
        </w:tabs>
        <w:rPr>
          <w:sz w:val="20"/>
          <w:szCs w:val="20"/>
          <w:color w:val="auto"/>
        </w:rPr>
      </w:pPr>
      <w:r>
        <w:rPr>
          <w:sz w:val="1"/>
          <w:szCs w:val="1"/>
          <w:color w:val="auto"/>
        </w:rPr>
        <w:drawing>
          <wp:inline distT="0" distB="0" distL="0" distR="0">
            <wp:extent cx="94615" cy="9398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Arial" w:cs="Arial" w:eastAsia="Arial" w:hAnsi="Arial"/>
          <w:sz w:val="18"/>
          <w:szCs w:val="18"/>
          <w:color w:val="578255"/>
        </w:rPr>
        <w:t> </w:t>
      </w:r>
      <w:r>
        <w:rPr>
          <w:rFonts w:ascii="Arial" w:cs="Arial" w:eastAsia="Arial" w:hAnsi="Arial"/>
          <w:sz w:val="18"/>
          <w:szCs w:val="18"/>
          <w:color w:val="auto"/>
        </w:rPr>
        <w:tab/>
        <w:t>to the extent a participant is receiving tax equalization benefits under our expatriate policy as of the date of employment termination, continued tax equalization benefits for the calendar year in which the employment termination occurs and the immediately following calendar year.</w:t>
      </w:r>
    </w:p>
    <w:p>
      <w:pPr>
        <w:spacing w:after="0" w:line="71" w:lineRule="exact"/>
        <w:rPr>
          <w:sz w:val="20"/>
          <w:szCs w:val="20"/>
          <w:color w:val="auto"/>
        </w:rPr>
      </w:pPr>
    </w:p>
    <w:p>
      <w:pPr>
        <w:jc w:val="both"/>
        <w:ind w:left="920"/>
        <w:spacing w:after="0"/>
        <w:rPr>
          <w:sz w:val="20"/>
          <w:szCs w:val="20"/>
          <w:color w:val="auto"/>
        </w:rPr>
      </w:pPr>
      <w:r>
        <w:rPr>
          <w:rFonts w:ascii="Arial" w:cs="Arial" w:eastAsia="Arial" w:hAnsi="Arial"/>
          <w:sz w:val="18"/>
          <w:szCs w:val="18"/>
          <w:color w:val="auto"/>
        </w:rPr>
        <w:t>In addition, in the event of a change in control of Fabrinet, any then-outstanding and unvested equity awards held by a participant that are subject to the achievement of any performance-based or similar vesting criteria will be governed by the award agreement applicable to such performance-based award. See “—</w:t>
      </w:r>
      <w:r>
        <w:rPr>
          <w:rFonts w:ascii="Arial" w:cs="Arial" w:eastAsia="Arial" w:hAnsi="Arial"/>
          <w:sz w:val="18"/>
          <w:szCs w:val="18"/>
          <w:i w:val="1"/>
          <w:iCs w:val="1"/>
          <w:color w:val="auto"/>
        </w:rPr>
        <w:t>Treatment of Performance-Based</w:t>
      </w:r>
      <w:r>
        <w:rPr>
          <w:rFonts w:ascii="Arial" w:cs="Arial" w:eastAsia="Arial" w:hAnsi="Arial"/>
          <w:sz w:val="18"/>
          <w:szCs w:val="18"/>
          <w:color w:val="auto"/>
        </w:rPr>
        <w:t xml:space="preserve"> </w:t>
      </w:r>
      <w:r>
        <w:rPr>
          <w:rFonts w:ascii="Arial" w:cs="Arial" w:eastAsia="Arial" w:hAnsi="Arial"/>
          <w:sz w:val="18"/>
          <w:szCs w:val="18"/>
          <w:i w:val="1"/>
          <w:iCs w:val="1"/>
          <w:color w:val="auto"/>
        </w:rPr>
        <w:t>Awards in Change in Control</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For purposes of the Severance Plan, “cause” generally means the Named Officer’s (i) commission of any felony or any crime involving moral turpitude; (ii) willful breach of his duties to us, including, but not limited to, theft from us or failure to fully disclose a personal pecuniary interest in a transaction involving us; and (iii) engaging in willful misconduct, willful or gross neglect, fraud, misappropriation, or embezzlement.</w:t>
      </w:r>
    </w:p>
    <w:p>
      <w:pPr>
        <w:spacing w:after="0" w:line="72" w:lineRule="exact"/>
        <w:rPr>
          <w:sz w:val="20"/>
          <w:szCs w:val="20"/>
          <w:color w:val="auto"/>
        </w:rPr>
      </w:pPr>
    </w:p>
    <w:p>
      <w:pPr>
        <w:jc w:val="both"/>
        <w:ind w:right="920"/>
        <w:spacing w:after="0" w:line="237" w:lineRule="auto"/>
        <w:rPr>
          <w:sz w:val="20"/>
          <w:szCs w:val="20"/>
          <w:color w:val="auto"/>
        </w:rPr>
      </w:pPr>
      <w:r>
        <w:rPr>
          <w:rFonts w:ascii="Arial" w:cs="Arial" w:eastAsia="Arial" w:hAnsi="Arial"/>
          <w:sz w:val="18"/>
          <w:szCs w:val="18"/>
          <w:color w:val="auto"/>
        </w:rPr>
        <w:t>For purposes of the Severance Plan, “good reason” generally means without the Named Officer’s written consent: (i) a material diminution in his authority, duties or responsibilities (including following any change in control), or (ii) a material breach by us of a written employment agreement or offer of employment letter with us or the Severance Plan. However, to qualify as a termination of employment for good reason, the Named Officer must (i) provide written notice to the Board setting forth the condition that could constitute a “good reason” event within 60 days following the initial existence of such condition, (ii) provide an opportunity for us to remedy the condition within 30 days after receipt of such notice, and (iii) resign within 30 days following the expiration of our cure period.</w:t>
      </w:r>
    </w:p>
    <w:p>
      <w:pPr>
        <w:spacing w:after="0" w:line="80" w:lineRule="exact"/>
        <w:rPr>
          <w:sz w:val="20"/>
          <w:szCs w:val="20"/>
          <w:color w:val="auto"/>
        </w:rPr>
      </w:pPr>
    </w:p>
    <w:p>
      <w:pPr>
        <w:jc w:val="both"/>
        <w:ind w:right="920"/>
        <w:spacing w:after="0" w:line="253" w:lineRule="auto"/>
        <w:rPr>
          <w:sz w:val="20"/>
          <w:szCs w:val="20"/>
          <w:color w:val="auto"/>
        </w:rPr>
      </w:pPr>
      <w:r>
        <w:rPr>
          <w:rFonts w:ascii="Arial" w:cs="Arial" w:eastAsia="Arial" w:hAnsi="Arial"/>
          <w:sz w:val="18"/>
          <w:szCs w:val="18"/>
          <w:color w:val="auto"/>
        </w:rPr>
        <w:t>For purposes of the Severance Plan, a “change in control” of Fabrinet generally has the same meaning as provided under the Grady Agreement.</w:t>
      </w:r>
    </w:p>
    <w:p>
      <w:pPr>
        <w:spacing w:after="0" w:line="61" w:lineRule="exact"/>
        <w:rPr>
          <w:sz w:val="20"/>
          <w:szCs w:val="20"/>
          <w:color w:val="auto"/>
        </w:rPr>
      </w:pPr>
    </w:p>
    <w:p>
      <w:pPr>
        <w:jc w:val="both"/>
        <w:ind w:right="920"/>
        <w:spacing w:after="0" w:line="238" w:lineRule="auto"/>
        <w:rPr>
          <w:sz w:val="20"/>
          <w:szCs w:val="20"/>
          <w:color w:val="auto"/>
        </w:rPr>
      </w:pPr>
      <w:r>
        <w:rPr>
          <w:rFonts w:ascii="Arial" w:cs="Arial" w:eastAsia="Arial" w:hAnsi="Arial"/>
          <w:sz w:val="18"/>
          <w:szCs w:val="18"/>
          <w:color w:val="auto"/>
        </w:rPr>
        <w:t>The Severance Plan provides that if any payments or benefits under the Severance Plan would constitute a “parachute payment” within the meaning of Section 280G of the Code and therefore would be subject to an excise tax under Section 280G of the Code, then such payments and benefits will be either</w:t>
      </w:r>
    </w:p>
    <w:p>
      <w:pPr>
        <w:spacing w:after="0" w:line="1" w:lineRule="exact"/>
        <w:rPr>
          <w:sz w:val="20"/>
          <w:szCs w:val="20"/>
          <w:color w:val="auto"/>
        </w:rPr>
      </w:pPr>
    </w:p>
    <w:p>
      <w:pPr>
        <w:jc w:val="both"/>
        <w:ind w:right="920" w:firstLine="6"/>
        <w:spacing w:after="0" w:line="237" w:lineRule="auto"/>
        <w:tabs>
          <w:tab w:leader="none" w:pos="2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paid in full or (y) delivered as to such lesser extent that would result in no portion of the payments and benefits being subject to the excise tax, whichever, after taking into account all applicable federal, state, and local income taxes and the excise tax, results in the applicable Named Officer’s receipt, on an after-tax basis, of the greater payments and benefits. The Severance Plan does not provide for any Code Section 280G-related tax gross-up payments from us.</w:t>
      </w:r>
    </w:p>
    <w:p>
      <w:pPr>
        <w:spacing w:after="0" w:line="1145"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55</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0"/>
        <w:spacing w:after="0" w:line="272" w:lineRule="auto"/>
        <w:rPr>
          <w:sz w:val="20"/>
          <w:szCs w:val="20"/>
          <w:color w:val="auto"/>
        </w:rPr>
      </w:pPr>
      <w:r>
        <w:rPr>
          <w:rFonts w:ascii="Arial" w:cs="Arial" w:eastAsia="Arial" w:hAnsi="Arial"/>
          <w:sz w:val="22"/>
          <w:szCs w:val="22"/>
          <w:b w:val="1"/>
          <w:bCs w:val="1"/>
          <w:color w:val="578255"/>
        </w:rPr>
        <w:t>Treatment of Performance-Based Awards in Change in Control</w:t>
      </w:r>
    </w:p>
    <w:p>
      <w:pPr>
        <w:spacing w:after="0" w:line="30" w:lineRule="exact"/>
        <w:rPr>
          <w:sz w:val="20"/>
          <w:szCs w:val="20"/>
          <w:color w:val="auto"/>
        </w:rPr>
      </w:pPr>
    </w:p>
    <w:p>
      <w:pPr>
        <w:jc w:val="both"/>
        <w:ind w:left="60"/>
        <w:spacing w:after="0" w:line="253" w:lineRule="auto"/>
        <w:rPr>
          <w:sz w:val="20"/>
          <w:szCs w:val="20"/>
          <w:color w:val="auto"/>
        </w:rPr>
      </w:pPr>
      <w:r>
        <w:rPr>
          <w:rFonts w:ascii="Arial" w:cs="Arial" w:eastAsia="Arial" w:hAnsi="Arial"/>
          <w:sz w:val="17"/>
          <w:szCs w:val="17"/>
          <w:color w:val="auto"/>
        </w:rPr>
        <w:t>The performance-based equity awards held by our Named Officers outstanding as of the end of fiscal 2024 provide that, to the extent that the performance period has not yet been completed as of a change in control of Fabrinet, (i) the performance period for any Fabrinet revenue goals will be shortened to end shortly before the change in control and achievement of revenue will be measured based on goals that are prorated for the shortened performance period, and (ii) the performance period for any Fabrinet operating margin goals will be deemed to be the last four consecutive fiscal quarters of Fabrinet completed before the change in control.</w:t>
      </w:r>
    </w:p>
    <w:p>
      <w:pPr>
        <w:spacing w:after="0" w:line="65"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auto"/>
        </w:rPr>
        <w:t>For Messrs. Grady, Sverha and Archer, the portion of any performance-based equity awards for which such applicable goal is deemed achieved will be scheduled to vest subject to continued service with Fabrinet through the last date of the award’s original performance period, and (i) in the case of Mr. Grady’s awards, will be treated as a time-based award that may be eligible for certain vesting acceleration under the Grady Agreement upon a Qualifying Termination during the Change in Control Period and (ii) in the case of Messrs. Sverha and Archer’s awards, will be treated as a Time-Based Award under the Severance Plan that may be eligible for the vesting acceleration under the Severance Plan upon a Plan Qualifying Termination during the Plan Change in Control Period, as described in “—</w:t>
      </w:r>
      <w:r>
        <w:rPr>
          <w:rFonts w:ascii="Arial" w:cs="Arial" w:eastAsia="Arial" w:hAnsi="Arial"/>
          <w:sz w:val="18"/>
          <w:szCs w:val="18"/>
          <w:i w:val="1"/>
          <w:iCs w:val="1"/>
          <w:color w:val="auto"/>
        </w:rPr>
        <w:t>Executive Change in Control and Severance</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purposes of our 2020 Equity Incentive Plan, under which each of the performance-based equity awards held by our Named Officers outstanding as of the end of fiscal 2024 were granted, a “change in control” generally means (i) a change in our ownership which occurs upon any one person (or persons acting as a group) (“Person”), acquiring ownership of our shares that causes such Person to own more than 50% of the total voting power of our shares (other than acquisition by a Person already owning more than 50% of such total voting power), subject to certain exceptions, (ii) a change in our effective control which occurs upon a majority of members of the Board being replaced during any 12 month period by directors whose appointment or election is not endorsed by a majority of the Board members prior to appointment or election, or</w:t>
      </w:r>
    </w:p>
    <w:p>
      <w:pPr>
        <w:spacing w:after="0" w:line="1" w:lineRule="exact"/>
        <w:rPr>
          <w:sz w:val="20"/>
          <w:szCs w:val="20"/>
          <w:color w:val="auto"/>
        </w:rPr>
      </w:pPr>
    </w:p>
    <w:p>
      <w:pPr>
        <w:jc w:val="both"/>
        <w:ind w:firstLine="6"/>
        <w:spacing w:after="0" w:line="236"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change in ownership of a substantial portion of our assets which occurs upon any Person acquiring our assets with a total gross fair market value equal to or more than 50% of the total gross fair market value of all of our assets immediately prior to such acquisition or acquisitions, subject to certain exceptions. To qualify as a change in control, the transaction or transactions also must qualify as a change in control within the meaning of Section 409A of the Code. A transaction for which its sole purpose is to change the jurisdiction of our incorporation or to create a holding company that will be owned in substantially the same proportions by our stockholders will not constitute a change in control.</w:t>
      </w:r>
    </w:p>
    <w:p>
      <w:pPr>
        <w:spacing w:after="0" w:line="929" w:lineRule="exact"/>
        <w:rPr>
          <w:sz w:val="20"/>
          <w:szCs w:val="20"/>
          <w:color w:val="auto"/>
        </w:rPr>
      </w:pPr>
    </w:p>
    <w:p>
      <w:pPr>
        <w:sectPr>
          <w:pgSz w:w="11900" w:h="16838" w:orient="portrait"/>
          <w:cols w:equalWidth="0" w:num="2">
            <w:col w:w="4480" w:space="320"/>
            <w:col w:w="4440"/>
          </w:cols>
          <w:pgMar w:left="1300" w:top="114" w:right="1359" w:bottom="1440" w:gutter="0" w:footer="0" w:header="0"/>
          <w:type w:val="continuous"/>
        </w:sectPr>
      </w:pPr>
    </w:p>
    <w:p>
      <w:pPr>
        <w:spacing w:after="0" w:line="93"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2"/>
          <w:szCs w:val="12"/>
          <w:color w:val="auto"/>
        </w:rPr>
        <w:t>56</w:t>
      </w:r>
      <w:r>
        <w:rPr>
          <w:sz w:val="20"/>
          <w:szCs w:val="20"/>
          <w:color w:val="auto"/>
        </w:rPr>
        <w:tab/>
      </w:r>
      <w:r>
        <w:rPr>
          <w:sz w:val="1"/>
          <w:szCs w:val="1"/>
          <w:color w:val="auto"/>
        </w:rPr>
        <w:drawing>
          <wp:inline distT="0" distB="0" distL="0" distR="0">
            <wp:extent cx="342900" cy="774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0" cy="77470"/>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149860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62" w:name="page63"/>
    <w:bookmarkEnd w:id="62"/>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Estimated Payments and Benefits</w:t>
      </w:r>
    </w:p>
    <w:p>
      <w:pPr>
        <w:spacing w:after="0" w:line="108" w:lineRule="exact"/>
        <w:rPr>
          <w:sz w:val="20"/>
          <w:szCs w:val="20"/>
          <w:color w:val="auto"/>
        </w:rPr>
      </w:pPr>
    </w:p>
    <w:p>
      <w:pPr>
        <w:jc w:val="both"/>
        <w:ind w:left="920" w:right="920"/>
        <w:spacing w:after="0" w:line="253" w:lineRule="auto"/>
        <w:rPr>
          <w:sz w:val="20"/>
          <w:szCs w:val="20"/>
          <w:color w:val="auto"/>
        </w:rPr>
      </w:pPr>
      <w:r>
        <w:rPr>
          <w:rFonts w:ascii="Arial" w:cs="Arial" w:eastAsia="Arial" w:hAnsi="Arial"/>
          <w:sz w:val="18"/>
          <w:szCs w:val="18"/>
          <w:color w:val="auto"/>
        </w:rPr>
        <w:t>The following tables provide information concerning the estimated payments and benefits that would be provided to our Named Officers in the circumstances described above. Payments and benefits are estimated assuming the triggering event took place on the last business day of fiscal 2024 (June 28, 2024).</w:t>
      </w:r>
    </w:p>
    <w:p>
      <w:pPr>
        <w:spacing w:after="0" w:line="61" w:lineRule="exact"/>
        <w:rPr>
          <w:sz w:val="20"/>
          <w:szCs w:val="20"/>
          <w:color w:val="auto"/>
        </w:rPr>
      </w:pPr>
    </w:p>
    <w:p>
      <w:pPr>
        <w:jc w:val="both"/>
        <w:ind w:left="920" w:right="940"/>
        <w:spacing w:after="0" w:line="247" w:lineRule="auto"/>
        <w:rPr>
          <w:sz w:val="20"/>
          <w:szCs w:val="20"/>
          <w:color w:val="auto"/>
        </w:rPr>
      </w:pPr>
      <w:r>
        <w:rPr>
          <w:rFonts w:ascii="Arial" w:cs="Arial" w:eastAsia="Arial" w:hAnsi="Arial"/>
          <w:sz w:val="18"/>
          <w:szCs w:val="18"/>
          <w:color w:val="auto"/>
        </w:rPr>
        <w:t>There can be no assurance a triggering event would produce the same or similar results as those estimated below if such event occurs on any other date, of if any other assumption used to estimate potential payments and benefits is not correct. Due to the number of factors affecting the nature and amount of any potential payments or benefits, any actual payments and benefits may be different.</w:t>
      </w:r>
    </w:p>
    <w:p>
      <w:pPr>
        <w:spacing w:after="0" w:line="32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Termination of Employment Unrelated to a Change in Control</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61"/>
        </w:trPr>
        <w:tc>
          <w:tcPr>
            <w:tcW w:w="1180" w:type="dxa"/>
            <w:vAlign w:val="bottom"/>
            <w:shd w:val="clear" w:color="auto" w:fill="819F7C"/>
          </w:tcPr>
          <w:p>
            <w:pPr>
              <w:spacing w:after="0"/>
              <w:rPr>
                <w:sz w:val="22"/>
                <w:szCs w:val="22"/>
                <w:color w:val="auto"/>
              </w:rPr>
            </w:pPr>
          </w:p>
        </w:tc>
        <w:tc>
          <w:tcPr>
            <w:tcW w:w="2900" w:type="dxa"/>
            <w:vAlign w:val="bottom"/>
            <w:shd w:val="clear" w:color="auto" w:fill="819F7C"/>
          </w:tcPr>
          <w:p>
            <w:pPr>
              <w:spacing w:after="0"/>
              <w:rPr>
                <w:sz w:val="22"/>
                <w:szCs w:val="22"/>
                <w:color w:val="auto"/>
              </w:rPr>
            </w:pPr>
          </w:p>
        </w:tc>
        <w:tc>
          <w:tcPr>
            <w:tcW w:w="280" w:type="dxa"/>
            <w:vAlign w:val="bottom"/>
            <w:shd w:val="clear" w:color="auto" w:fill="819F7C"/>
          </w:tcPr>
          <w:p>
            <w:pPr>
              <w:spacing w:after="0"/>
              <w:rPr>
                <w:sz w:val="22"/>
                <w:szCs w:val="22"/>
                <w:color w:val="auto"/>
              </w:rPr>
            </w:pPr>
          </w:p>
        </w:tc>
        <w:tc>
          <w:tcPr>
            <w:tcW w:w="620" w:type="dxa"/>
            <w:vAlign w:val="bottom"/>
            <w:shd w:val="clear" w:color="auto" w:fill="819F7C"/>
          </w:tcPr>
          <w:p>
            <w:pPr>
              <w:spacing w:after="0"/>
              <w:rPr>
                <w:sz w:val="22"/>
                <w:szCs w:val="22"/>
                <w:color w:val="auto"/>
              </w:rPr>
            </w:pPr>
          </w:p>
        </w:tc>
        <w:tc>
          <w:tcPr>
            <w:tcW w:w="160" w:type="dxa"/>
            <w:vAlign w:val="bottom"/>
            <w:tcBorders>
              <w:left w:val="single" w:sz="8" w:color="819F7C"/>
            </w:tcBorders>
            <w:shd w:val="clear" w:color="auto" w:fill="819F7C"/>
          </w:tcPr>
          <w:p>
            <w:pPr>
              <w:spacing w:after="0"/>
              <w:rPr>
                <w:sz w:val="22"/>
                <w:szCs w:val="22"/>
                <w:color w:val="auto"/>
              </w:rPr>
            </w:pPr>
          </w:p>
        </w:tc>
        <w:tc>
          <w:tcPr>
            <w:tcW w:w="140" w:type="dxa"/>
            <w:vAlign w:val="bottom"/>
            <w:shd w:val="clear" w:color="auto" w:fill="819F7C"/>
          </w:tcPr>
          <w:p>
            <w:pPr>
              <w:spacing w:after="0"/>
              <w:rPr>
                <w:sz w:val="22"/>
                <w:szCs w:val="22"/>
                <w:color w:val="auto"/>
              </w:rPr>
            </w:pPr>
          </w:p>
        </w:tc>
        <w:tc>
          <w:tcPr>
            <w:tcW w:w="620" w:type="dxa"/>
            <w:vAlign w:val="bottom"/>
            <w:shd w:val="clear" w:color="auto" w:fill="819F7C"/>
          </w:tcPr>
          <w:p>
            <w:pPr>
              <w:spacing w:after="0"/>
              <w:rPr>
                <w:sz w:val="22"/>
                <w:szCs w:val="22"/>
                <w:color w:val="auto"/>
              </w:rPr>
            </w:pPr>
          </w:p>
        </w:tc>
        <w:tc>
          <w:tcPr>
            <w:tcW w:w="160" w:type="dxa"/>
            <w:vAlign w:val="bottom"/>
            <w:shd w:val="clear" w:color="auto" w:fill="819F7C"/>
          </w:tcPr>
          <w:p>
            <w:pPr>
              <w:spacing w:after="0"/>
              <w:rPr>
                <w:sz w:val="22"/>
                <w:szCs w:val="22"/>
                <w:color w:val="auto"/>
              </w:rPr>
            </w:pPr>
          </w:p>
        </w:tc>
        <w:tc>
          <w:tcPr>
            <w:tcW w:w="140" w:type="dxa"/>
            <w:vAlign w:val="bottom"/>
            <w:shd w:val="clear" w:color="auto" w:fill="819F7C"/>
          </w:tcPr>
          <w:p>
            <w:pPr>
              <w:spacing w:after="0"/>
              <w:rPr>
                <w:sz w:val="22"/>
                <w:szCs w:val="22"/>
                <w:color w:val="auto"/>
              </w:rPr>
            </w:pPr>
          </w:p>
        </w:tc>
        <w:tc>
          <w:tcPr>
            <w:tcW w:w="620" w:type="dxa"/>
            <w:vAlign w:val="bottom"/>
            <w:shd w:val="clear" w:color="auto" w:fill="819F7C"/>
          </w:tcPr>
          <w:p>
            <w:pPr>
              <w:spacing w:after="0"/>
              <w:rPr>
                <w:sz w:val="22"/>
                <w:szCs w:val="22"/>
                <w:color w:val="auto"/>
              </w:rPr>
            </w:pPr>
          </w:p>
        </w:tc>
        <w:tc>
          <w:tcPr>
            <w:tcW w:w="160" w:type="dxa"/>
            <w:vAlign w:val="bottom"/>
            <w:shd w:val="clear" w:color="auto" w:fill="819F7C"/>
          </w:tcPr>
          <w:p>
            <w:pPr>
              <w:spacing w:after="0"/>
              <w:rPr>
                <w:sz w:val="22"/>
                <w:szCs w:val="22"/>
                <w:color w:val="auto"/>
              </w:rPr>
            </w:pPr>
          </w:p>
        </w:tc>
        <w:tc>
          <w:tcPr>
            <w:tcW w:w="320" w:type="dxa"/>
            <w:vAlign w:val="bottom"/>
            <w:shd w:val="clear" w:color="auto" w:fill="819F7C"/>
          </w:tcPr>
          <w:p>
            <w:pPr>
              <w:spacing w:after="0"/>
              <w:rPr>
                <w:sz w:val="22"/>
                <w:szCs w:val="22"/>
                <w:color w:val="auto"/>
              </w:rPr>
            </w:pPr>
          </w:p>
        </w:tc>
        <w:tc>
          <w:tcPr>
            <w:tcW w:w="60" w:type="dxa"/>
            <w:vAlign w:val="bottom"/>
            <w:shd w:val="clear" w:color="auto" w:fill="819F7C"/>
          </w:tcPr>
          <w:p>
            <w:pPr>
              <w:spacing w:after="0"/>
              <w:rPr>
                <w:sz w:val="22"/>
                <w:szCs w:val="22"/>
                <w:color w:val="auto"/>
              </w:rPr>
            </w:pPr>
          </w:p>
        </w:tc>
        <w:tc>
          <w:tcPr>
            <w:tcW w:w="72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Due to</w:t>
            </w:r>
          </w:p>
        </w:tc>
        <w:tc>
          <w:tcPr>
            <w:tcW w:w="320" w:type="dxa"/>
            <w:vAlign w:val="bottom"/>
            <w:shd w:val="clear" w:color="auto" w:fill="819F7C"/>
          </w:tcPr>
          <w:p>
            <w:pPr>
              <w:spacing w:after="0"/>
              <w:rPr>
                <w:sz w:val="22"/>
                <w:szCs w:val="22"/>
                <w:color w:val="auto"/>
              </w:rPr>
            </w:pPr>
          </w:p>
        </w:tc>
        <w:tc>
          <w:tcPr>
            <w:tcW w:w="780" w:type="dxa"/>
            <w:vAlign w:val="bottom"/>
            <w:gridSpan w:val="2"/>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Due to</w:t>
            </w:r>
          </w:p>
        </w:tc>
        <w:tc>
          <w:tcPr>
            <w:tcW w:w="0" w:type="dxa"/>
            <w:vAlign w:val="bottom"/>
          </w:tcPr>
          <w:p>
            <w:pPr>
              <w:spacing w:after="0"/>
              <w:rPr>
                <w:sz w:val="1"/>
                <w:szCs w:val="1"/>
                <w:color w:val="auto"/>
              </w:rPr>
            </w:pPr>
          </w:p>
        </w:tc>
      </w:tr>
      <w:tr>
        <w:trPr>
          <w:trHeight w:val="162"/>
        </w:trPr>
        <w:tc>
          <w:tcPr>
            <w:tcW w:w="1180" w:type="dxa"/>
            <w:vAlign w:val="bottom"/>
            <w:shd w:val="clear" w:color="auto" w:fill="819F7C"/>
          </w:tcPr>
          <w:p>
            <w:pPr>
              <w:spacing w:after="0"/>
              <w:rPr>
                <w:sz w:val="14"/>
                <w:szCs w:val="14"/>
                <w:color w:val="auto"/>
              </w:rPr>
            </w:pPr>
          </w:p>
        </w:tc>
        <w:tc>
          <w:tcPr>
            <w:tcW w:w="2900" w:type="dxa"/>
            <w:vAlign w:val="bottom"/>
            <w:shd w:val="clear" w:color="auto" w:fill="819F7C"/>
          </w:tcPr>
          <w:p>
            <w:pPr>
              <w:spacing w:after="0"/>
              <w:rPr>
                <w:sz w:val="14"/>
                <w:szCs w:val="14"/>
                <w:color w:val="auto"/>
              </w:rPr>
            </w:pPr>
          </w:p>
        </w:tc>
        <w:tc>
          <w:tcPr>
            <w:tcW w:w="280" w:type="dxa"/>
            <w:vAlign w:val="bottom"/>
            <w:shd w:val="clear" w:color="auto" w:fill="819F7C"/>
          </w:tcPr>
          <w:p>
            <w:pPr>
              <w:spacing w:after="0"/>
              <w:rPr>
                <w:sz w:val="14"/>
                <w:szCs w:val="14"/>
                <w:color w:val="auto"/>
              </w:rPr>
            </w:pPr>
          </w:p>
        </w:tc>
        <w:tc>
          <w:tcPr>
            <w:tcW w:w="620" w:type="dxa"/>
            <w:vAlign w:val="bottom"/>
            <w:shd w:val="clear" w:color="auto" w:fill="819F7C"/>
          </w:tcPr>
          <w:p>
            <w:pPr>
              <w:spacing w:after="0"/>
              <w:rPr>
                <w:sz w:val="14"/>
                <w:szCs w:val="14"/>
                <w:color w:val="auto"/>
              </w:rPr>
            </w:pPr>
          </w:p>
        </w:tc>
        <w:tc>
          <w:tcPr>
            <w:tcW w:w="160" w:type="dxa"/>
            <w:vAlign w:val="bottom"/>
            <w:tcBorders>
              <w:left w:val="single" w:sz="8" w:color="819F7C"/>
            </w:tcBorders>
            <w:shd w:val="clear" w:color="auto" w:fill="819F7C"/>
          </w:tcPr>
          <w:p>
            <w:pPr>
              <w:spacing w:after="0"/>
              <w:rPr>
                <w:sz w:val="14"/>
                <w:szCs w:val="14"/>
                <w:color w:val="auto"/>
              </w:rPr>
            </w:pPr>
          </w:p>
        </w:tc>
        <w:tc>
          <w:tcPr>
            <w:tcW w:w="140" w:type="dxa"/>
            <w:vAlign w:val="bottom"/>
            <w:shd w:val="clear" w:color="auto" w:fill="819F7C"/>
          </w:tcPr>
          <w:p>
            <w:pPr>
              <w:spacing w:after="0"/>
              <w:rPr>
                <w:sz w:val="14"/>
                <w:szCs w:val="14"/>
                <w:color w:val="auto"/>
              </w:rPr>
            </w:pPr>
          </w:p>
        </w:tc>
        <w:tc>
          <w:tcPr>
            <w:tcW w:w="620" w:type="dxa"/>
            <w:vAlign w:val="bottom"/>
            <w:shd w:val="clear" w:color="auto" w:fill="819F7C"/>
          </w:tcPr>
          <w:p>
            <w:pPr>
              <w:spacing w:after="0"/>
              <w:rPr>
                <w:sz w:val="14"/>
                <w:szCs w:val="14"/>
                <w:color w:val="auto"/>
              </w:rPr>
            </w:pPr>
          </w:p>
        </w:tc>
        <w:tc>
          <w:tcPr>
            <w:tcW w:w="160" w:type="dxa"/>
            <w:vAlign w:val="bottom"/>
            <w:shd w:val="clear" w:color="auto" w:fill="819F7C"/>
          </w:tcPr>
          <w:p>
            <w:pPr>
              <w:spacing w:after="0"/>
              <w:rPr>
                <w:sz w:val="14"/>
                <w:szCs w:val="14"/>
                <w:color w:val="auto"/>
              </w:rPr>
            </w:pPr>
          </w:p>
        </w:tc>
        <w:tc>
          <w:tcPr>
            <w:tcW w:w="140" w:type="dxa"/>
            <w:vAlign w:val="bottom"/>
            <w:shd w:val="clear" w:color="auto" w:fill="819F7C"/>
          </w:tcPr>
          <w:p>
            <w:pPr>
              <w:spacing w:after="0"/>
              <w:rPr>
                <w:sz w:val="14"/>
                <w:szCs w:val="14"/>
                <w:color w:val="auto"/>
              </w:rPr>
            </w:pPr>
          </w:p>
        </w:tc>
        <w:tc>
          <w:tcPr>
            <w:tcW w:w="620" w:type="dxa"/>
            <w:vAlign w:val="bottom"/>
            <w:shd w:val="clear" w:color="auto" w:fill="819F7C"/>
          </w:tcPr>
          <w:p>
            <w:pPr>
              <w:spacing w:after="0"/>
              <w:rPr>
                <w:sz w:val="14"/>
                <w:szCs w:val="14"/>
                <w:color w:val="auto"/>
              </w:rPr>
            </w:pPr>
          </w:p>
        </w:tc>
        <w:tc>
          <w:tcPr>
            <w:tcW w:w="160" w:type="dxa"/>
            <w:vAlign w:val="bottom"/>
            <w:shd w:val="clear" w:color="auto" w:fill="819F7C"/>
          </w:tcPr>
          <w:p>
            <w:pPr>
              <w:spacing w:after="0"/>
              <w:rPr>
                <w:sz w:val="14"/>
                <w:szCs w:val="14"/>
                <w:color w:val="auto"/>
              </w:rPr>
            </w:pPr>
          </w:p>
        </w:tc>
        <w:tc>
          <w:tcPr>
            <w:tcW w:w="1100" w:type="dxa"/>
            <w:vAlign w:val="bottom"/>
            <w:gridSpan w:val="4"/>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Resignation</w:t>
            </w:r>
          </w:p>
        </w:tc>
        <w:tc>
          <w:tcPr>
            <w:tcW w:w="1100" w:type="dxa"/>
            <w:vAlign w:val="bottom"/>
            <w:gridSpan w:val="3"/>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Resignation</w:t>
            </w:r>
          </w:p>
        </w:tc>
        <w:tc>
          <w:tcPr>
            <w:tcW w:w="0" w:type="dxa"/>
            <w:vAlign w:val="bottom"/>
          </w:tcPr>
          <w:p>
            <w:pPr>
              <w:spacing w:after="0"/>
              <w:rPr>
                <w:sz w:val="1"/>
                <w:szCs w:val="1"/>
                <w:color w:val="auto"/>
              </w:rPr>
            </w:pPr>
          </w:p>
        </w:tc>
      </w:tr>
      <w:tr>
        <w:trPr>
          <w:trHeight w:val="162"/>
        </w:trPr>
        <w:tc>
          <w:tcPr>
            <w:tcW w:w="1180" w:type="dxa"/>
            <w:vAlign w:val="bottom"/>
            <w:shd w:val="clear" w:color="auto" w:fill="819F7C"/>
          </w:tcPr>
          <w:p>
            <w:pPr>
              <w:spacing w:after="0"/>
              <w:rPr>
                <w:sz w:val="14"/>
                <w:szCs w:val="14"/>
                <w:color w:val="auto"/>
              </w:rPr>
            </w:pPr>
          </w:p>
        </w:tc>
        <w:tc>
          <w:tcPr>
            <w:tcW w:w="2900" w:type="dxa"/>
            <w:vAlign w:val="bottom"/>
            <w:shd w:val="clear" w:color="auto" w:fill="819F7C"/>
          </w:tcPr>
          <w:p>
            <w:pPr>
              <w:spacing w:after="0"/>
              <w:rPr>
                <w:sz w:val="14"/>
                <w:szCs w:val="14"/>
                <w:color w:val="auto"/>
              </w:rPr>
            </w:pPr>
          </w:p>
        </w:tc>
        <w:tc>
          <w:tcPr>
            <w:tcW w:w="28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Due to</w:t>
            </w:r>
          </w:p>
        </w:tc>
        <w:tc>
          <w:tcPr>
            <w:tcW w:w="14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Due to</w:t>
            </w:r>
          </w:p>
        </w:tc>
        <w:tc>
          <w:tcPr>
            <w:tcW w:w="14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Without</w:t>
            </w:r>
          </w:p>
        </w:tc>
        <w:tc>
          <w:tcPr>
            <w:tcW w:w="320" w:type="dxa"/>
            <w:vAlign w:val="bottom"/>
            <w:shd w:val="clear" w:color="auto" w:fill="819F7C"/>
          </w:tcPr>
          <w:p>
            <w:pPr>
              <w:spacing w:after="0"/>
              <w:rPr>
                <w:sz w:val="14"/>
                <w:szCs w:val="14"/>
                <w:color w:val="auto"/>
              </w:rPr>
            </w:pPr>
          </w:p>
        </w:tc>
        <w:tc>
          <w:tcPr>
            <w:tcW w:w="780" w:type="dxa"/>
            <w:vAlign w:val="bottom"/>
            <w:gridSpan w:val="3"/>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w w:val="98"/>
              </w:rPr>
              <w:t>for Good</w:t>
            </w:r>
          </w:p>
        </w:tc>
        <w:tc>
          <w:tcPr>
            <w:tcW w:w="32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for Any</w:t>
            </w:r>
          </w:p>
        </w:tc>
        <w:tc>
          <w:tcPr>
            <w:tcW w:w="0" w:type="dxa"/>
            <w:vAlign w:val="bottom"/>
          </w:tcPr>
          <w:p>
            <w:pPr>
              <w:spacing w:after="0"/>
              <w:rPr>
                <w:sz w:val="1"/>
                <w:szCs w:val="1"/>
                <w:color w:val="auto"/>
              </w:rPr>
            </w:pPr>
          </w:p>
        </w:tc>
      </w:tr>
      <w:tr>
        <w:trPr>
          <w:trHeight w:val="162"/>
        </w:trPr>
        <w:tc>
          <w:tcPr>
            <w:tcW w:w="1180" w:type="dxa"/>
            <w:vAlign w:val="bottom"/>
            <w:shd w:val="clear" w:color="auto" w:fill="819F7C"/>
          </w:tcPr>
          <w:p>
            <w:pPr>
              <w:spacing w:after="0"/>
              <w:rPr>
                <w:sz w:val="14"/>
                <w:szCs w:val="14"/>
                <w:color w:val="auto"/>
              </w:rPr>
            </w:pPr>
          </w:p>
        </w:tc>
        <w:tc>
          <w:tcPr>
            <w:tcW w:w="2900" w:type="dxa"/>
            <w:vAlign w:val="bottom"/>
            <w:shd w:val="clear" w:color="auto" w:fill="819F7C"/>
          </w:tcPr>
          <w:p>
            <w:pPr>
              <w:spacing w:after="0"/>
              <w:rPr>
                <w:sz w:val="14"/>
                <w:szCs w:val="14"/>
                <w:color w:val="auto"/>
              </w:rPr>
            </w:pPr>
          </w:p>
        </w:tc>
        <w:tc>
          <w:tcPr>
            <w:tcW w:w="28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Death</w:t>
            </w:r>
          </w:p>
        </w:tc>
        <w:tc>
          <w:tcPr>
            <w:tcW w:w="14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w w:val="99"/>
              </w:rPr>
              <w:t>Disability</w:t>
            </w:r>
          </w:p>
        </w:tc>
        <w:tc>
          <w:tcPr>
            <w:tcW w:w="14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Cause</w:t>
            </w:r>
          </w:p>
        </w:tc>
        <w:tc>
          <w:tcPr>
            <w:tcW w:w="320" w:type="dxa"/>
            <w:vAlign w:val="bottom"/>
            <w:shd w:val="clear" w:color="auto" w:fill="819F7C"/>
          </w:tcPr>
          <w:p>
            <w:pPr>
              <w:spacing w:after="0"/>
              <w:rPr>
                <w:sz w:val="14"/>
                <w:szCs w:val="14"/>
                <w:color w:val="auto"/>
              </w:rPr>
            </w:pPr>
          </w:p>
        </w:tc>
        <w:tc>
          <w:tcPr>
            <w:tcW w:w="60" w:type="dxa"/>
            <w:vAlign w:val="bottom"/>
            <w:shd w:val="clear" w:color="auto" w:fill="819F7C"/>
          </w:tcPr>
          <w:p>
            <w:pPr>
              <w:spacing w:after="0"/>
              <w:rPr>
                <w:sz w:val="14"/>
                <w:szCs w:val="14"/>
                <w:color w:val="auto"/>
              </w:rPr>
            </w:pPr>
          </w:p>
        </w:tc>
        <w:tc>
          <w:tcPr>
            <w:tcW w:w="720" w:type="dxa"/>
            <w:vAlign w:val="bottom"/>
            <w:gridSpan w:val="2"/>
            <w:shd w:val="clear" w:color="auto" w:fill="819F7C"/>
          </w:tcPr>
          <w:p>
            <w:pPr>
              <w:jc w:val="right"/>
              <w:ind w:right="180"/>
              <w:spacing w:after="0"/>
              <w:rPr>
                <w:sz w:val="20"/>
                <w:szCs w:val="20"/>
                <w:color w:val="auto"/>
              </w:rPr>
            </w:pPr>
            <w:r>
              <w:rPr>
                <w:rFonts w:ascii="Arial" w:cs="Arial" w:eastAsia="Arial" w:hAnsi="Arial"/>
                <w:sz w:val="14"/>
                <w:szCs w:val="14"/>
                <w:b w:val="1"/>
                <w:bCs w:val="1"/>
                <w:color w:val="FFFFFF"/>
              </w:rPr>
              <w:t>Reason</w:t>
            </w:r>
          </w:p>
        </w:tc>
        <w:tc>
          <w:tcPr>
            <w:tcW w:w="320" w:type="dxa"/>
            <w:vAlign w:val="bottom"/>
            <w:shd w:val="clear" w:color="auto" w:fill="819F7C"/>
          </w:tcPr>
          <w:p>
            <w:pPr>
              <w:spacing w:after="0"/>
              <w:rPr>
                <w:sz w:val="14"/>
                <w:szCs w:val="14"/>
                <w:color w:val="auto"/>
              </w:rPr>
            </w:pPr>
          </w:p>
        </w:tc>
        <w:tc>
          <w:tcPr>
            <w:tcW w:w="780" w:type="dxa"/>
            <w:vAlign w:val="bottom"/>
            <w:gridSpan w:val="2"/>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12"/>
        </w:trPr>
        <w:tc>
          <w:tcPr>
            <w:tcW w:w="118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2900" w:type="dxa"/>
            <w:vAlign w:val="bottom"/>
            <w:shd w:val="clear" w:color="auto" w:fill="819F7C"/>
          </w:tcPr>
          <w:p>
            <w:pPr>
              <w:spacing w:after="0"/>
              <w:rPr>
                <w:sz w:val="20"/>
                <w:szCs w:val="20"/>
                <w:color w:val="auto"/>
              </w:rPr>
            </w:pPr>
            <w:r>
              <w:rPr>
                <w:rFonts w:ascii="Arial" w:cs="Arial" w:eastAsia="Arial" w:hAnsi="Arial"/>
                <w:sz w:val="14"/>
                <w:szCs w:val="14"/>
                <w:b w:val="1"/>
                <w:bCs w:val="1"/>
                <w:color w:val="FFFFFF"/>
              </w:rPr>
              <w:t>Type of Benefit</w:t>
            </w:r>
          </w:p>
        </w:tc>
        <w:tc>
          <w:tcPr>
            <w:tcW w:w="1060" w:type="dxa"/>
            <w:vAlign w:val="bottom"/>
            <w:gridSpan w:val="3"/>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w:t>
            </w:r>
          </w:p>
        </w:tc>
        <w:tc>
          <w:tcPr>
            <w:tcW w:w="920" w:type="dxa"/>
            <w:vAlign w:val="bottom"/>
            <w:gridSpan w:val="3"/>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w:t>
            </w:r>
          </w:p>
        </w:tc>
        <w:tc>
          <w:tcPr>
            <w:tcW w:w="920" w:type="dxa"/>
            <w:vAlign w:val="bottom"/>
            <w:gridSpan w:val="3"/>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w:t>
            </w:r>
          </w:p>
        </w:tc>
        <w:tc>
          <w:tcPr>
            <w:tcW w:w="320" w:type="dxa"/>
            <w:vAlign w:val="bottom"/>
            <w:shd w:val="clear" w:color="auto" w:fill="819F7C"/>
          </w:tcPr>
          <w:p>
            <w:pPr>
              <w:spacing w:after="0"/>
              <w:rPr>
                <w:sz w:val="18"/>
                <w:szCs w:val="18"/>
                <w:color w:val="auto"/>
              </w:rPr>
            </w:pPr>
          </w:p>
        </w:tc>
        <w:tc>
          <w:tcPr>
            <w:tcW w:w="60" w:type="dxa"/>
            <w:vAlign w:val="bottom"/>
            <w:shd w:val="clear" w:color="auto" w:fill="819F7C"/>
          </w:tcPr>
          <w:p>
            <w:pPr>
              <w:spacing w:after="0"/>
              <w:rPr>
                <w:sz w:val="18"/>
                <w:szCs w:val="18"/>
                <w:color w:val="auto"/>
              </w:rPr>
            </w:pPr>
          </w:p>
        </w:tc>
        <w:tc>
          <w:tcPr>
            <w:tcW w:w="720" w:type="dxa"/>
            <w:vAlign w:val="bottom"/>
            <w:gridSpan w:val="2"/>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w:t>
            </w:r>
          </w:p>
        </w:tc>
        <w:tc>
          <w:tcPr>
            <w:tcW w:w="1100" w:type="dxa"/>
            <w:vAlign w:val="bottom"/>
            <w:gridSpan w:val="3"/>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0"/>
        </w:trPr>
        <w:tc>
          <w:tcPr>
            <w:tcW w:w="1180" w:type="dxa"/>
            <w:vAlign w:val="bottom"/>
            <w:shd w:val="clear" w:color="auto" w:fill="E5E9E3"/>
          </w:tcPr>
          <w:p>
            <w:pPr>
              <w:ind w:left="80"/>
              <w:spacing w:after="0"/>
              <w:rPr>
                <w:sz w:val="20"/>
                <w:szCs w:val="20"/>
                <w:color w:val="auto"/>
              </w:rPr>
            </w:pPr>
            <w:r>
              <w:rPr>
                <w:rFonts w:ascii="Arial" w:cs="Arial" w:eastAsia="Arial" w:hAnsi="Arial"/>
                <w:sz w:val="14"/>
                <w:szCs w:val="14"/>
                <w:color w:val="auto"/>
              </w:rPr>
              <w:t>Mr. Grady</w:t>
            </w:r>
          </w:p>
        </w:tc>
        <w:tc>
          <w:tcPr>
            <w:tcW w:w="290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100% Annual</w:t>
            </w:r>
          </w:p>
        </w:tc>
        <w:tc>
          <w:tcPr>
            <w:tcW w:w="28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0" w:type="dxa"/>
            <w:vAlign w:val="bottom"/>
            <w:shd w:val="clear" w:color="auto" w:fill="E5E9E3"/>
          </w:tcPr>
          <w:p>
            <w:pPr>
              <w:spacing w:after="0"/>
              <w:rPr>
                <w:sz w:val="16"/>
                <w:szCs w:val="16"/>
                <w:color w:val="auto"/>
              </w:rPr>
            </w:pPr>
          </w:p>
        </w:tc>
        <w:tc>
          <w:tcPr>
            <w:tcW w:w="56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80" w:type="dxa"/>
            <w:vAlign w:val="bottom"/>
            <w:shd w:val="clear" w:color="auto" w:fill="E5E9E3"/>
          </w:tcPr>
          <w:p>
            <w:pPr>
              <w:spacing w:after="0"/>
              <w:rPr>
                <w:sz w:val="21"/>
                <w:szCs w:val="21"/>
                <w:color w:val="auto"/>
              </w:rPr>
            </w:pPr>
          </w:p>
        </w:tc>
        <w:tc>
          <w:tcPr>
            <w:tcW w:w="2900" w:type="dxa"/>
            <w:vAlign w:val="bottom"/>
            <w:shd w:val="clear" w:color="auto" w:fill="E5E9E3"/>
          </w:tcPr>
          <w:p>
            <w:pPr>
              <w:ind w:left="140"/>
              <w:spacing w:after="0" w:line="242" w:lineRule="exact"/>
              <w:rPr>
                <w:sz w:val="20"/>
                <w:szCs w:val="20"/>
                <w:color w:val="auto"/>
              </w:rPr>
            </w:pPr>
            <w:r>
              <w:rPr>
                <w:rFonts w:ascii="Arial" w:cs="Arial" w:eastAsia="Arial" w:hAnsi="Arial"/>
                <w:sz w:val="14"/>
                <w:szCs w:val="14"/>
                <w:color w:val="auto"/>
              </w:rPr>
              <w:t>Base Salary</w:t>
            </w:r>
            <w:r>
              <w:rPr>
                <w:rFonts w:ascii="Arial" w:cs="Arial" w:eastAsia="Arial" w:hAnsi="Arial"/>
                <w:sz w:val="23"/>
                <w:szCs w:val="23"/>
                <w:color w:val="auto"/>
                <w:vertAlign w:val="superscript"/>
              </w:rPr>
              <w:t>(1)</w:t>
            </w:r>
          </w:p>
        </w:tc>
        <w:tc>
          <w:tcPr>
            <w:tcW w:w="28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E5E9E3"/>
          </w:tcPr>
          <w:p>
            <w:pPr>
              <w:jc w:val="right"/>
              <w:ind w:right="140"/>
              <w:spacing w:after="0"/>
              <w:rPr>
                <w:sz w:val="20"/>
                <w:szCs w:val="20"/>
                <w:color w:val="auto"/>
              </w:rPr>
            </w:pPr>
            <w:r>
              <w:rPr>
                <w:rFonts w:ascii="Arial" w:cs="Arial" w:eastAsia="Arial" w:hAnsi="Arial"/>
                <w:sz w:val="14"/>
                <w:szCs w:val="14"/>
                <w:color w:val="auto"/>
              </w:rPr>
              <w:t>1,250,000</w:t>
            </w:r>
          </w:p>
        </w:tc>
        <w:tc>
          <w:tcPr>
            <w:tcW w:w="1100" w:type="dxa"/>
            <w:vAlign w:val="bottom"/>
            <w:gridSpan w:val="4"/>
            <w:shd w:val="clear" w:color="auto" w:fill="E5E9E3"/>
          </w:tcPr>
          <w:p>
            <w:pPr>
              <w:ind w:left="320"/>
              <w:spacing w:after="0"/>
              <w:rPr>
                <w:sz w:val="20"/>
                <w:szCs w:val="20"/>
                <w:color w:val="auto"/>
              </w:rPr>
            </w:pPr>
            <w:r>
              <w:rPr>
                <w:rFonts w:ascii="Arial" w:cs="Arial" w:eastAsia="Arial" w:hAnsi="Arial"/>
                <w:sz w:val="14"/>
                <w:szCs w:val="14"/>
                <w:color w:val="auto"/>
              </w:rPr>
              <w:t>1,250,000</w:t>
            </w:r>
          </w:p>
        </w:tc>
        <w:tc>
          <w:tcPr>
            <w:tcW w:w="32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180" w:type="dxa"/>
            <w:vAlign w:val="bottom"/>
            <w:shd w:val="clear" w:color="auto" w:fill="E5E9E3"/>
          </w:tcPr>
          <w:p>
            <w:pPr>
              <w:spacing w:after="0"/>
              <w:rPr>
                <w:sz w:val="16"/>
                <w:szCs w:val="16"/>
                <w:color w:val="auto"/>
              </w:rPr>
            </w:pPr>
          </w:p>
        </w:tc>
        <w:tc>
          <w:tcPr>
            <w:tcW w:w="290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Cash Incentive</w:t>
            </w:r>
          </w:p>
        </w:tc>
        <w:tc>
          <w:tcPr>
            <w:tcW w:w="28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0" w:type="dxa"/>
            <w:vAlign w:val="bottom"/>
            <w:shd w:val="clear" w:color="auto" w:fill="E5E9E3"/>
          </w:tcPr>
          <w:p>
            <w:pPr>
              <w:spacing w:after="0"/>
              <w:rPr>
                <w:sz w:val="16"/>
                <w:szCs w:val="16"/>
                <w:color w:val="auto"/>
              </w:rPr>
            </w:pPr>
          </w:p>
        </w:tc>
        <w:tc>
          <w:tcPr>
            <w:tcW w:w="56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80" w:type="dxa"/>
            <w:vAlign w:val="bottom"/>
            <w:shd w:val="clear" w:color="auto" w:fill="E5E9E3"/>
          </w:tcPr>
          <w:p>
            <w:pPr>
              <w:spacing w:after="0"/>
              <w:rPr>
                <w:sz w:val="21"/>
                <w:szCs w:val="21"/>
                <w:color w:val="auto"/>
              </w:rPr>
            </w:pPr>
          </w:p>
        </w:tc>
        <w:tc>
          <w:tcPr>
            <w:tcW w:w="2900" w:type="dxa"/>
            <w:vAlign w:val="bottom"/>
            <w:shd w:val="clear" w:color="auto" w:fill="E5E9E3"/>
          </w:tcPr>
          <w:p>
            <w:pPr>
              <w:ind w:left="140"/>
              <w:spacing w:after="0" w:line="242" w:lineRule="exact"/>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28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E5E9E3"/>
          </w:tcPr>
          <w:p>
            <w:pPr>
              <w:jc w:val="right"/>
              <w:ind w:right="140"/>
              <w:spacing w:after="0"/>
              <w:rPr>
                <w:sz w:val="20"/>
                <w:szCs w:val="20"/>
                <w:color w:val="auto"/>
              </w:rPr>
            </w:pPr>
            <w:r>
              <w:rPr>
                <w:rFonts w:ascii="Arial" w:cs="Arial" w:eastAsia="Arial" w:hAnsi="Arial"/>
                <w:sz w:val="14"/>
                <w:szCs w:val="14"/>
                <w:color w:val="auto"/>
              </w:rPr>
              <w:t>1,944,313</w:t>
            </w:r>
          </w:p>
        </w:tc>
        <w:tc>
          <w:tcPr>
            <w:tcW w:w="1100" w:type="dxa"/>
            <w:vAlign w:val="bottom"/>
            <w:gridSpan w:val="4"/>
            <w:shd w:val="clear" w:color="auto" w:fill="E5E9E3"/>
          </w:tcPr>
          <w:p>
            <w:pPr>
              <w:ind w:left="320"/>
              <w:spacing w:after="0"/>
              <w:rPr>
                <w:sz w:val="20"/>
                <w:szCs w:val="20"/>
                <w:color w:val="auto"/>
              </w:rPr>
            </w:pPr>
            <w:r>
              <w:rPr>
                <w:rFonts w:ascii="Arial" w:cs="Arial" w:eastAsia="Arial" w:hAnsi="Arial"/>
                <w:sz w:val="14"/>
                <w:szCs w:val="14"/>
                <w:color w:val="auto"/>
              </w:rPr>
              <w:t>1,944,313</w:t>
            </w:r>
          </w:p>
        </w:tc>
        <w:tc>
          <w:tcPr>
            <w:tcW w:w="32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1180" w:type="dxa"/>
            <w:vAlign w:val="bottom"/>
            <w:shd w:val="clear" w:color="auto" w:fill="E5E9E3"/>
          </w:tcPr>
          <w:p>
            <w:pPr>
              <w:spacing w:after="0"/>
              <w:rPr>
                <w:sz w:val="24"/>
                <w:szCs w:val="24"/>
                <w:color w:val="auto"/>
              </w:rPr>
            </w:pPr>
          </w:p>
        </w:tc>
        <w:tc>
          <w:tcPr>
            <w:tcW w:w="2900" w:type="dxa"/>
            <w:vAlign w:val="bottom"/>
            <w:shd w:val="clear" w:color="auto" w:fill="E5E9E3"/>
          </w:tcPr>
          <w:p>
            <w:pPr>
              <w:spacing w:after="0"/>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(3)</w:t>
            </w:r>
          </w:p>
        </w:tc>
        <w:tc>
          <w:tcPr>
            <w:tcW w:w="280" w:type="dxa"/>
            <w:vAlign w:val="bottom"/>
            <w:shd w:val="clear" w:color="auto" w:fill="E5E9E3"/>
          </w:tcPr>
          <w:p>
            <w:pPr>
              <w:spacing w:after="0"/>
              <w:rPr>
                <w:sz w:val="24"/>
                <w:szCs w:val="24"/>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9E3"/>
          </w:tcPr>
          <w:p>
            <w:pPr>
              <w:spacing w:after="0"/>
              <w:rPr>
                <w:sz w:val="24"/>
                <w:szCs w:val="24"/>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122,328</w:t>
            </w:r>
          </w:p>
        </w:tc>
        <w:tc>
          <w:tcPr>
            <w:tcW w:w="160" w:type="dxa"/>
            <w:vAlign w:val="bottom"/>
            <w:shd w:val="clear" w:color="auto" w:fill="E5E9E3"/>
          </w:tcPr>
          <w:p>
            <w:pPr>
              <w:spacing w:after="0"/>
              <w:rPr>
                <w:sz w:val="24"/>
                <w:szCs w:val="24"/>
                <w:color w:val="auto"/>
              </w:rPr>
            </w:pPr>
          </w:p>
        </w:tc>
        <w:tc>
          <w:tcPr>
            <w:tcW w:w="1100" w:type="dxa"/>
            <w:vAlign w:val="bottom"/>
            <w:gridSpan w:val="4"/>
            <w:shd w:val="clear" w:color="auto" w:fill="E5E9E3"/>
          </w:tcPr>
          <w:p>
            <w:pPr>
              <w:ind w:left="320"/>
              <w:spacing w:after="0"/>
              <w:rPr>
                <w:sz w:val="20"/>
                <w:szCs w:val="20"/>
                <w:color w:val="auto"/>
              </w:rPr>
            </w:pPr>
            <w:r>
              <w:rPr>
                <w:rFonts w:ascii="Arial" w:cs="Arial" w:eastAsia="Arial" w:hAnsi="Arial"/>
                <w:sz w:val="14"/>
                <w:szCs w:val="14"/>
                <w:color w:val="auto"/>
              </w:rPr>
              <w:t>​ 122,328</w:t>
            </w:r>
          </w:p>
        </w:tc>
        <w:tc>
          <w:tcPr>
            <w:tcW w:w="320" w:type="dxa"/>
            <w:vAlign w:val="bottom"/>
            <w:shd w:val="clear" w:color="auto" w:fill="E5E9E3"/>
          </w:tcPr>
          <w:p>
            <w:pPr>
              <w:spacing w:after="0"/>
              <w:rPr>
                <w:sz w:val="24"/>
                <w:szCs w:val="24"/>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80" w:type="dxa"/>
            <w:vAlign w:val="bottom"/>
            <w:shd w:val="clear" w:color="auto" w:fill="E5E9E3"/>
          </w:tcPr>
          <w:p>
            <w:pPr>
              <w:spacing w:after="0" w:line="20" w:lineRule="exact"/>
              <w:rPr>
                <w:sz w:val="1"/>
                <w:szCs w:val="1"/>
                <w:color w:val="auto"/>
              </w:rPr>
            </w:pPr>
          </w:p>
        </w:tc>
        <w:tc>
          <w:tcPr>
            <w:tcW w:w="2900" w:type="dxa"/>
            <w:vAlign w:val="bottom"/>
            <w:shd w:val="clear" w:color="auto" w:fill="E5E9E3"/>
          </w:tcPr>
          <w:p>
            <w:pPr>
              <w:spacing w:after="0" w:line="20" w:lineRule="exact"/>
              <w:rPr>
                <w:sz w:val="1"/>
                <w:szCs w:val="1"/>
                <w:color w:val="auto"/>
              </w:rPr>
            </w:pPr>
          </w:p>
        </w:tc>
        <w:tc>
          <w:tcPr>
            <w:tcW w:w="28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E5E9E3"/>
            </w:tcBorders>
            <w:shd w:val="clear" w:color="auto" w:fill="E5E9E3"/>
          </w:tcPr>
          <w:p>
            <w:pPr>
              <w:spacing w:after="0" w:line="20" w:lineRule="exact"/>
              <w:rPr>
                <w:sz w:val="1"/>
                <w:szCs w:val="1"/>
                <w:color w:val="auto"/>
              </w:rPr>
            </w:pPr>
          </w:p>
        </w:tc>
        <w:tc>
          <w:tcPr>
            <w:tcW w:w="14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5E9E3"/>
          </w:tcPr>
          <w:p>
            <w:pPr>
              <w:spacing w:after="0" w:line="20" w:lineRule="exact"/>
              <w:rPr>
                <w:sz w:val="1"/>
                <w:szCs w:val="1"/>
                <w:color w:val="auto"/>
              </w:rPr>
            </w:pPr>
          </w:p>
        </w:tc>
        <w:tc>
          <w:tcPr>
            <w:tcW w:w="14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5E9E3"/>
          </w:tcPr>
          <w:p>
            <w:pPr>
              <w:spacing w:after="0" w:line="20" w:lineRule="exact"/>
              <w:rPr>
                <w:sz w:val="1"/>
                <w:szCs w:val="1"/>
                <w:color w:val="auto"/>
              </w:rPr>
            </w:pPr>
          </w:p>
        </w:tc>
        <w:tc>
          <w:tcPr>
            <w:tcW w:w="320" w:type="dxa"/>
            <w:vAlign w:val="bottom"/>
            <w:shd w:val="clear" w:color="auto" w:fill="E5E9E3"/>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E5E9E3"/>
            </w:tcBorders>
            <w:shd w:val="clear" w:color="auto" w:fill="E5E9E3"/>
          </w:tcPr>
          <w:p>
            <w:pPr>
              <w:spacing w:after="0" w:line="20" w:lineRule="exact"/>
              <w:rPr>
                <w:sz w:val="1"/>
                <w:szCs w:val="1"/>
                <w:color w:val="auto"/>
              </w:rPr>
            </w:pPr>
          </w:p>
        </w:tc>
        <w:tc>
          <w:tcPr>
            <w:tcW w:w="32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E5E9E3"/>
            </w:tcBorders>
            <w:shd w:val="clear" w:color="auto" w:fill="E5E9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shd w:val="clear" w:color="auto" w:fill="E5E9E3"/>
          </w:tcPr>
          <w:p>
            <w:pPr>
              <w:spacing w:after="0"/>
              <w:rPr>
                <w:sz w:val="19"/>
                <w:szCs w:val="19"/>
                <w:color w:val="auto"/>
              </w:rPr>
            </w:pPr>
          </w:p>
        </w:tc>
        <w:tc>
          <w:tcPr>
            <w:tcW w:w="2900" w:type="dxa"/>
            <w:vAlign w:val="bottom"/>
            <w:shd w:val="clear" w:color="auto" w:fill="E5E9E3"/>
          </w:tcPr>
          <w:p>
            <w:pPr>
              <w:ind w:left="140"/>
              <w:spacing w:after="0"/>
              <w:rPr>
                <w:sz w:val="20"/>
                <w:szCs w:val="20"/>
                <w:color w:val="auto"/>
              </w:rPr>
            </w:pPr>
            <w:r>
              <w:rPr>
                <w:rFonts w:ascii="Arial" w:cs="Arial" w:eastAsia="Arial" w:hAnsi="Arial"/>
                <w:sz w:val="14"/>
                <w:szCs w:val="14"/>
                <w:b w:val="1"/>
                <w:bCs w:val="1"/>
                <w:color w:val="auto"/>
              </w:rPr>
              <w:t>Total Value of Termination Benefits</w:t>
            </w:r>
          </w:p>
        </w:tc>
        <w:tc>
          <w:tcPr>
            <w:tcW w:w="280" w:type="dxa"/>
            <w:vAlign w:val="bottom"/>
            <w:shd w:val="clear" w:color="auto" w:fill="E5E9E3"/>
          </w:tcPr>
          <w:p>
            <w:pPr>
              <w:spacing w:after="0"/>
              <w:rPr>
                <w:sz w:val="19"/>
                <w:szCs w:val="19"/>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5E9E3"/>
          </w:tcPr>
          <w:p>
            <w:pPr>
              <w:spacing w:after="0"/>
              <w:rPr>
                <w:sz w:val="19"/>
                <w:szCs w:val="19"/>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3"/>
            <w:shd w:val="clear" w:color="auto" w:fill="E5E9E3"/>
          </w:tcPr>
          <w:p>
            <w:pPr>
              <w:jc w:val="right"/>
              <w:ind w:right="140"/>
              <w:spacing w:after="0"/>
              <w:rPr>
                <w:sz w:val="20"/>
                <w:szCs w:val="20"/>
                <w:color w:val="auto"/>
              </w:rPr>
            </w:pPr>
            <w:r>
              <w:rPr>
                <w:rFonts w:ascii="Arial" w:cs="Arial" w:eastAsia="Arial" w:hAnsi="Arial"/>
                <w:sz w:val="14"/>
                <w:szCs w:val="14"/>
                <w:b w:val="1"/>
                <w:bCs w:val="1"/>
                <w:color w:val="auto"/>
              </w:rPr>
              <w:t>3,316,641</w:t>
            </w:r>
          </w:p>
        </w:tc>
        <w:tc>
          <w:tcPr>
            <w:tcW w:w="1100" w:type="dxa"/>
            <w:vAlign w:val="bottom"/>
            <w:gridSpan w:val="4"/>
            <w:shd w:val="clear" w:color="auto" w:fill="E5E9E3"/>
          </w:tcPr>
          <w:p>
            <w:pPr>
              <w:ind w:left="320"/>
              <w:spacing w:after="0"/>
              <w:rPr>
                <w:sz w:val="20"/>
                <w:szCs w:val="20"/>
                <w:color w:val="auto"/>
              </w:rPr>
            </w:pPr>
            <w:r>
              <w:rPr>
                <w:rFonts w:ascii="Arial" w:cs="Arial" w:eastAsia="Arial" w:hAnsi="Arial"/>
                <w:sz w:val="14"/>
                <w:szCs w:val="14"/>
                <w:b w:val="1"/>
                <w:bCs w:val="1"/>
                <w:color w:val="auto"/>
              </w:rPr>
              <w:t>3,316,641​</w:t>
            </w:r>
          </w:p>
        </w:tc>
        <w:tc>
          <w:tcPr>
            <w:tcW w:w="320" w:type="dxa"/>
            <w:vAlign w:val="bottom"/>
            <w:shd w:val="clear" w:color="auto" w:fill="E5E9E3"/>
          </w:tcPr>
          <w:p>
            <w:pPr>
              <w:spacing w:after="0"/>
              <w:rPr>
                <w:sz w:val="19"/>
                <w:szCs w:val="19"/>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1180" w:type="dxa"/>
            <w:vAlign w:val="bottom"/>
          </w:tcPr>
          <w:p>
            <w:pPr>
              <w:ind w:left="80"/>
              <w:spacing w:after="0"/>
              <w:rPr>
                <w:sz w:val="20"/>
                <w:szCs w:val="20"/>
                <w:color w:val="auto"/>
              </w:rPr>
            </w:pPr>
            <w:r>
              <w:rPr>
                <w:rFonts w:ascii="Arial" w:cs="Arial" w:eastAsia="Arial" w:hAnsi="Arial"/>
                <w:sz w:val="14"/>
                <w:szCs w:val="14"/>
                <w:color w:val="auto"/>
              </w:rPr>
              <w:t>Dr. Gill</w:t>
            </w:r>
          </w:p>
        </w:tc>
        <w:tc>
          <w:tcPr>
            <w:tcW w:w="2900" w:type="dxa"/>
            <w:vAlign w:val="bottom"/>
          </w:tcPr>
          <w:p>
            <w:pPr>
              <w:spacing w:after="0"/>
              <w:rPr>
                <w:sz w:val="20"/>
                <w:szCs w:val="20"/>
                <w:color w:val="auto"/>
              </w:rPr>
            </w:pPr>
            <w:r>
              <w:rPr>
                <w:rFonts w:ascii="Arial" w:cs="Arial" w:eastAsia="Arial" w:hAnsi="Arial"/>
                <w:sz w:val="14"/>
                <w:szCs w:val="14"/>
                <w:color w:val="auto"/>
              </w:rPr>
              <w:t>Cash Severance Payment – Monthly Base</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180" w:type="dxa"/>
            <w:vAlign w:val="bottom"/>
          </w:tcPr>
          <w:p>
            <w:pPr>
              <w:spacing w:after="0"/>
              <w:rPr>
                <w:sz w:val="23"/>
                <w:szCs w:val="23"/>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auto"/>
              </w:rPr>
              <w:t>Salary x 19 Years of Employment</w:t>
            </w:r>
            <w:r>
              <w:rPr>
                <w:rFonts w:ascii="Arial" w:cs="Arial" w:eastAsia="Arial" w:hAnsi="Arial"/>
                <w:sz w:val="23"/>
                <w:szCs w:val="23"/>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1,678,333</w:t>
            </w:r>
          </w:p>
        </w:tc>
        <w:tc>
          <w:tcPr>
            <w:tcW w:w="16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1,678,333</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1,678,333</w:t>
            </w:r>
          </w:p>
        </w:tc>
        <w:tc>
          <w:tcPr>
            <w:tcW w:w="1100" w:type="dxa"/>
            <w:vAlign w:val="bottom"/>
            <w:gridSpan w:val="4"/>
          </w:tcPr>
          <w:p>
            <w:pPr>
              <w:ind w:left="320"/>
              <w:spacing w:after="0"/>
              <w:rPr>
                <w:sz w:val="20"/>
                <w:szCs w:val="20"/>
                <w:color w:val="auto"/>
              </w:rPr>
            </w:pPr>
            <w:r>
              <w:rPr>
                <w:rFonts w:ascii="Arial" w:cs="Arial" w:eastAsia="Arial" w:hAnsi="Arial"/>
                <w:sz w:val="14"/>
                <w:szCs w:val="14"/>
                <w:color w:val="auto"/>
              </w:rPr>
              <w:t>1,678,333</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1,678,333</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2900" w:type="dxa"/>
            <w:vAlign w:val="bottom"/>
          </w:tcPr>
          <w:p>
            <w:pPr>
              <w:spacing w:after="0" w:line="159" w:lineRule="exact"/>
              <w:rPr>
                <w:sz w:val="20"/>
                <w:szCs w:val="20"/>
                <w:color w:val="auto"/>
              </w:rPr>
            </w:pPr>
            <w:r>
              <w:rPr>
                <w:rFonts w:ascii="Arial" w:cs="Arial" w:eastAsia="Arial" w:hAnsi="Arial"/>
                <w:sz w:val="14"/>
                <w:szCs w:val="14"/>
                <w:color w:val="auto"/>
              </w:rPr>
              <w:t>Cash Severance Payment – Cash Incentive</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1,648,777</w:t>
            </w:r>
          </w:p>
        </w:tc>
        <w:tc>
          <w:tcPr>
            <w:tcW w:w="16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1,648,777</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1,648,777</w:t>
            </w:r>
          </w:p>
        </w:tc>
        <w:tc>
          <w:tcPr>
            <w:tcW w:w="1100" w:type="dxa"/>
            <w:vAlign w:val="bottom"/>
            <w:gridSpan w:val="4"/>
          </w:tcPr>
          <w:p>
            <w:pPr>
              <w:ind w:left="320"/>
              <w:spacing w:after="0"/>
              <w:rPr>
                <w:sz w:val="20"/>
                <w:szCs w:val="20"/>
                <w:color w:val="auto"/>
              </w:rPr>
            </w:pPr>
            <w:r>
              <w:rPr>
                <w:rFonts w:ascii="Arial" w:cs="Arial" w:eastAsia="Arial" w:hAnsi="Arial"/>
                <w:sz w:val="14"/>
                <w:szCs w:val="14"/>
                <w:color w:val="auto"/>
              </w:rPr>
              <w:t>1,648,777</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1,648,777</w:t>
            </w: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67,536</w:t>
            </w:r>
          </w:p>
        </w:tc>
        <w:tc>
          <w:tcPr>
            <w:tcW w:w="1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67,536</w:t>
            </w:r>
          </w:p>
        </w:tc>
        <w:tc>
          <w:tcPr>
            <w:tcW w:w="16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67,536</w:t>
            </w:r>
          </w:p>
        </w:tc>
        <w:tc>
          <w:tcPr>
            <w:tcW w:w="160" w:type="dxa"/>
            <w:vAlign w:val="bottom"/>
          </w:tcPr>
          <w:p>
            <w:pPr>
              <w:spacing w:after="0"/>
              <w:rPr>
                <w:sz w:val="23"/>
                <w:szCs w:val="23"/>
                <w:color w:val="auto"/>
              </w:rPr>
            </w:pPr>
          </w:p>
        </w:tc>
        <w:tc>
          <w:tcPr>
            <w:tcW w:w="3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67,536</w:t>
            </w:r>
          </w:p>
        </w:tc>
        <w:tc>
          <w:tcPr>
            <w:tcW w:w="160" w:type="dxa"/>
            <w:vAlign w:val="bottom"/>
          </w:tcPr>
          <w:p>
            <w:pPr>
              <w:spacing w:after="0"/>
              <w:rPr>
                <w:sz w:val="23"/>
                <w:szCs w:val="23"/>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  67,536</w:t>
            </w:r>
          </w:p>
        </w:tc>
        <w:tc>
          <w:tcPr>
            <w:tcW w:w="0" w:type="dxa"/>
            <w:vAlign w:val="bottom"/>
          </w:tcPr>
          <w:p>
            <w:pPr>
              <w:spacing w:after="0"/>
              <w:rPr>
                <w:sz w:val="1"/>
                <w:szCs w:val="1"/>
                <w:color w:val="auto"/>
              </w:rPr>
            </w:pPr>
          </w:p>
        </w:tc>
      </w:tr>
      <w:tr>
        <w:trPr>
          <w:trHeight w:val="269"/>
        </w:trPr>
        <w:tc>
          <w:tcPr>
            <w:tcW w:w="118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Equity Award Acceleration</w:t>
            </w:r>
            <w:r>
              <w:rPr>
                <w:rFonts w:ascii="Arial" w:cs="Arial" w:eastAsia="Arial" w:hAnsi="Arial"/>
                <w:sz w:val="23"/>
                <w:szCs w:val="23"/>
                <w:color w:val="auto"/>
                <w:vertAlign w:val="superscript"/>
              </w:rPr>
              <w:t>(4)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6,043,620</w:t>
            </w:r>
          </w:p>
        </w:tc>
        <w:tc>
          <w:tcPr>
            <w:tcW w:w="16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6,043,620</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6,043,620</w:t>
            </w:r>
          </w:p>
        </w:tc>
        <w:tc>
          <w:tcPr>
            <w:tcW w:w="1100" w:type="dxa"/>
            <w:vAlign w:val="bottom"/>
            <w:gridSpan w:val="4"/>
          </w:tcPr>
          <w:p>
            <w:pPr>
              <w:ind w:left="320"/>
              <w:spacing w:after="0"/>
              <w:rPr>
                <w:sz w:val="20"/>
                <w:szCs w:val="20"/>
                <w:color w:val="auto"/>
              </w:rPr>
            </w:pPr>
            <w:r>
              <w:rPr>
                <w:rFonts w:ascii="Arial" w:cs="Arial" w:eastAsia="Arial" w:hAnsi="Arial"/>
                <w:sz w:val="14"/>
                <w:szCs w:val="14"/>
                <w:color w:val="auto"/>
              </w:rPr>
              <w:t>6,043,620</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6,043,620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9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Value of Termination Benefits</w:t>
            </w:r>
            <w:r>
              <w:rPr>
                <w:rFonts w:ascii="Arial" w:cs="Arial" w:eastAsia="Arial" w:hAnsi="Arial"/>
                <w:sz w:val="23"/>
                <w:szCs w:val="23"/>
                <w:color w:val="auto"/>
                <w:vertAlign w:val="superscript"/>
              </w:rPr>
              <w:t>(5)</w:t>
            </w: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900" w:type="dxa"/>
            <w:vAlign w:val="bottom"/>
            <w:vMerge w:val="continue"/>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9,438,266</w:t>
            </w:r>
          </w:p>
        </w:tc>
        <w:tc>
          <w:tcPr>
            <w:tcW w:w="160" w:type="dxa"/>
            <w:vAlign w:val="bottom"/>
          </w:tcPr>
          <w:p>
            <w:pPr>
              <w:spacing w:after="0"/>
              <w:rPr>
                <w:sz w:val="21"/>
                <w:szCs w:val="21"/>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9,438,266​</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9,438,266​</w:t>
            </w: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9,438,266​</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9,438,266​</w:t>
            </w:r>
          </w:p>
        </w:tc>
        <w:tc>
          <w:tcPr>
            <w:tcW w:w="0" w:type="dxa"/>
            <w:vAlign w:val="bottom"/>
          </w:tcPr>
          <w:p>
            <w:pPr>
              <w:spacing w:after="0"/>
              <w:rPr>
                <w:sz w:val="1"/>
                <w:szCs w:val="1"/>
                <w:color w:val="auto"/>
              </w:rPr>
            </w:pPr>
          </w:p>
        </w:tc>
      </w:tr>
      <w:tr>
        <w:trPr>
          <w:trHeight w:val="190"/>
        </w:trPr>
        <w:tc>
          <w:tcPr>
            <w:tcW w:w="1180" w:type="dxa"/>
            <w:vAlign w:val="bottom"/>
            <w:shd w:val="clear" w:color="auto" w:fill="E5E9E3"/>
          </w:tcPr>
          <w:p>
            <w:pPr>
              <w:ind w:left="80"/>
              <w:spacing w:after="0"/>
              <w:rPr>
                <w:sz w:val="20"/>
                <w:szCs w:val="20"/>
                <w:color w:val="auto"/>
              </w:rPr>
            </w:pPr>
            <w:r>
              <w:rPr>
                <w:rFonts w:ascii="Arial" w:cs="Arial" w:eastAsia="Arial" w:hAnsi="Arial"/>
                <w:sz w:val="14"/>
                <w:szCs w:val="14"/>
                <w:color w:val="auto"/>
              </w:rPr>
              <w:t>Mr. Sverha</w:t>
            </w:r>
          </w:p>
        </w:tc>
        <w:tc>
          <w:tcPr>
            <w:tcW w:w="290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50% Annual</w:t>
            </w:r>
          </w:p>
        </w:tc>
        <w:tc>
          <w:tcPr>
            <w:tcW w:w="28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0" w:type="dxa"/>
            <w:vAlign w:val="bottom"/>
            <w:shd w:val="clear" w:color="auto" w:fill="E5E9E3"/>
          </w:tcPr>
          <w:p>
            <w:pPr>
              <w:spacing w:after="0"/>
              <w:rPr>
                <w:sz w:val="16"/>
                <w:szCs w:val="16"/>
                <w:color w:val="auto"/>
              </w:rPr>
            </w:pPr>
          </w:p>
        </w:tc>
        <w:tc>
          <w:tcPr>
            <w:tcW w:w="56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80" w:type="dxa"/>
            <w:vAlign w:val="bottom"/>
            <w:shd w:val="clear" w:color="auto" w:fill="E5E9E3"/>
          </w:tcPr>
          <w:p>
            <w:pPr>
              <w:spacing w:after="0"/>
              <w:rPr>
                <w:sz w:val="21"/>
                <w:szCs w:val="21"/>
                <w:color w:val="auto"/>
              </w:rPr>
            </w:pPr>
          </w:p>
        </w:tc>
        <w:tc>
          <w:tcPr>
            <w:tcW w:w="2900" w:type="dxa"/>
            <w:vAlign w:val="bottom"/>
            <w:shd w:val="clear" w:color="auto" w:fill="E5E9E3"/>
          </w:tcPr>
          <w:p>
            <w:pPr>
              <w:ind w:left="140"/>
              <w:spacing w:after="0" w:line="242" w:lineRule="exact"/>
              <w:rPr>
                <w:sz w:val="20"/>
                <w:szCs w:val="20"/>
                <w:color w:val="auto"/>
              </w:rPr>
            </w:pPr>
            <w:r>
              <w:rPr>
                <w:rFonts w:ascii="Arial" w:cs="Arial" w:eastAsia="Arial" w:hAnsi="Arial"/>
                <w:sz w:val="14"/>
                <w:szCs w:val="14"/>
                <w:color w:val="auto"/>
              </w:rPr>
              <w:t>Base Salary</w:t>
            </w:r>
            <w:r>
              <w:rPr>
                <w:rFonts w:ascii="Arial" w:cs="Arial" w:eastAsia="Arial" w:hAnsi="Arial"/>
                <w:sz w:val="23"/>
                <w:szCs w:val="23"/>
                <w:color w:val="auto"/>
                <w:vertAlign w:val="superscript"/>
              </w:rPr>
              <w:t>(1)</w:t>
            </w:r>
          </w:p>
        </w:tc>
        <w:tc>
          <w:tcPr>
            <w:tcW w:w="28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295,000</w:t>
            </w:r>
          </w:p>
        </w:tc>
        <w:tc>
          <w:tcPr>
            <w:tcW w:w="160" w:type="dxa"/>
            <w:vAlign w:val="bottom"/>
            <w:shd w:val="clear" w:color="auto" w:fill="E5E9E3"/>
          </w:tcPr>
          <w:p>
            <w:pPr>
              <w:spacing w:after="0"/>
              <w:rPr>
                <w:sz w:val="21"/>
                <w:szCs w:val="21"/>
                <w:color w:val="auto"/>
              </w:rPr>
            </w:pPr>
          </w:p>
        </w:tc>
        <w:tc>
          <w:tcPr>
            <w:tcW w:w="320" w:type="dxa"/>
            <w:vAlign w:val="bottom"/>
            <w:shd w:val="clear" w:color="auto" w:fill="E5E9E3"/>
          </w:tcPr>
          <w:p>
            <w:pPr>
              <w:spacing w:after="0"/>
              <w:rPr>
                <w:sz w:val="21"/>
                <w:szCs w:val="21"/>
                <w:color w:val="auto"/>
              </w:rPr>
            </w:pPr>
          </w:p>
        </w:tc>
        <w:tc>
          <w:tcPr>
            <w:tcW w:w="60" w:type="dxa"/>
            <w:vAlign w:val="bottom"/>
            <w:shd w:val="clear" w:color="auto" w:fill="E5E9E3"/>
          </w:tcPr>
          <w:p>
            <w:pPr>
              <w:spacing w:after="0"/>
              <w:rPr>
                <w:sz w:val="21"/>
                <w:szCs w:val="21"/>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4"/>
                <w:szCs w:val="14"/>
                <w:color w:val="auto"/>
              </w:rPr>
              <w:t>295,000</w:t>
            </w:r>
          </w:p>
        </w:tc>
        <w:tc>
          <w:tcPr>
            <w:tcW w:w="160" w:type="dxa"/>
            <w:vAlign w:val="bottom"/>
            <w:tcBorders>
              <w:left w:val="single" w:sz="8" w:color="E5E9E3"/>
            </w:tcBorders>
            <w:shd w:val="clear" w:color="auto" w:fill="E5E9E3"/>
          </w:tcPr>
          <w:p>
            <w:pPr>
              <w:spacing w:after="0"/>
              <w:rPr>
                <w:sz w:val="21"/>
                <w:szCs w:val="21"/>
                <w:color w:val="auto"/>
              </w:rPr>
            </w:pPr>
          </w:p>
        </w:tc>
        <w:tc>
          <w:tcPr>
            <w:tcW w:w="32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180" w:type="dxa"/>
            <w:vAlign w:val="bottom"/>
            <w:shd w:val="clear" w:color="auto" w:fill="E5E9E3"/>
          </w:tcPr>
          <w:p>
            <w:pPr>
              <w:spacing w:after="0"/>
              <w:rPr>
                <w:sz w:val="16"/>
                <w:szCs w:val="16"/>
                <w:color w:val="auto"/>
              </w:rPr>
            </w:pPr>
          </w:p>
        </w:tc>
        <w:tc>
          <w:tcPr>
            <w:tcW w:w="290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Cash Incentive</w:t>
            </w:r>
          </w:p>
        </w:tc>
        <w:tc>
          <w:tcPr>
            <w:tcW w:w="28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14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0" w:type="dxa"/>
            <w:vAlign w:val="bottom"/>
            <w:shd w:val="clear" w:color="auto" w:fill="E5E9E3"/>
          </w:tcPr>
          <w:p>
            <w:pPr>
              <w:spacing w:after="0"/>
              <w:rPr>
                <w:sz w:val="16"/>
                <w:szCs w:val="16"/>
                <w:color w:val="auto"/>
              </w:rPr>
            </w:pPr>
          </w:p>
        </w:tc>
        <w:tc>
          <w:tcPr>
            <w:tcW w:w="56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320" w:type="dxa"/>
            <w:vAlign w:val="bottom"/>
            <w:shd w:val="clear" w:color="auto" w:fill="E5E9E3"/>
          </w:tcPr>
          <w:p>
            <w:pPr>
              <w:spacing w:after="0"/>
              <w:rPr>
                <w:sz w:val="16"/>
                <w:szCs w:val="16"/>
                <w:color w:val="auto"/>
              </w:rPr>
            </w:pPr>
          </w:p>
        </w:tc>
        <w:tc>
          <w:tcPr>
            <w:tcW w:w="620" w:type="dxa"/>
            <w:vAlign w:val="bottom"/>
            <w:shd w:val="clear" w:color="auto" w:fill="E5E9E3"/>
          </w:tcPr>
          <w:p>
            <w:pPr>
              <w:spacing w:after="0"/>
              <w:rPr>
                <w:sz w:val="16"/>
                <w:szCs w:val="16"/>
                <w:color w:val="auto"/>
              </w:rPr>
            </w:pPr>
          </w:p>
        </w:tc>
        <w:tc>
          <w:tcPr>
            <w:tcW w:w="160" w:type="dxa"/>
            <w:vAlign w:val="bottom"/>
            <w:tcBorders>
              <w:left w:val="single" w:sz="8" w:color="E5E9E3"/>
            </w:tcBorders>
            <w:shd w:val="clear" w:color="auto" w:fill="E5E9E3"/>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80" w:type="dxa"/>
            <w:vAlign w:val="bottom"/>
            <w:shd w:val="clear" w:color="auto" w:fill="E5E9E3"/>
          </w:tcPr>
          <w:p>
            <w:pPr>
              <w:spacing w:after="0"/>
              <w:rPr>
                <w:sz w:val="21"/>
                <w:szCs w:val="21"/>
                <w:color w:val="auto"/>
              </w:rPr>
            </w:pPr>
          </w:p>
        </w:tc>
        <w:tc>
          <w:tcPr>
            <w:tcW w:w="2900" w:type="dxa"/>
            <w:vAlign w:val="bottom"/>
            <w:shd w:val="clear" w:color="auto" w:fill="E5E9E3"/>
          </w:tcPr>
          <w:p>
            <w:pPr>
              <w:ind w:left="140"/>
              <w:spacing w:after="0" w:line="242" w:lineRule="exact"/>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28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600,045</w:t>
            </w:r>
          </w:p>
        </w:tc>
        <w:tc>
          <w:tcPr>
            <w:tcW w:w="160" w:type="dxa"/>
            <w:vAlign w:val="bottom"/>
            <w:shd w:val="clear" w:color="auto" w:fill="E5E9E3"/>
          </w:tcPr>
          <w:p>
            <w:pPr>
              <w:spacing w:after="0"/>
              <w:rPr>
                <w:sz w:val="21"/>
                <w:szCs w:val="21"/>
                <w:color w:val="auto"/>
              </w:rPr>
            </w:pPr>
          </w:p>
        </w:tc>
        <w:tc>
          <w:tcPr>
            <w:tcW w:w="320" w:type="dxa"/>
            <w:vAlign w:val="bottom"/>
            <w:shd w:val="clear" w:color="auto" w:fill="E5E9E3"/>
          </w:tcPr>
          <w:p>
            <w:pPr>
              <w:spacing w:after="0"/>
              <w:rPr>
                <w:sz w:val="21"/>
                <w:szCs w:val="21"/>
                <w:color w:val="auto"/>
              </w:rPr>
            </w:pPr>
          </w:p>
        </w:tc>
        <w:tc>
          <w:tcPr>
            <w:tcW w:w="60" w:type="dxa"/>
            <w:vAlign w:val="bottom"/>
            <w:shd w:val="clear" w:color="auto" w:fill="E5E9E3"/>
          </w:tcPr>
          <w:p>
            <w:pPr>
              <w:spacing w:after="0"/>
              <w:rPr>
                <w:sz w:val="21"/>
                <w:szCs w:val="21"/>
                <w:color w:val="auto"/>
              </w:rPr>
            </w:pPr>
          </w:p>
        </w:tc>
        <w:tc>
          <w:tcPr>
            <w:tcW w:w="560" w:type="dxa"/>
            <w:vAlign w:val="bottom"/>
            <w:shd w:val="clear" w:color="auto" w:fill="E5E9E3"/>
          </w:tcPr>
          <w:p>
            <w:pPr>
              <w:jc w:val="right"/>
              <w:spacing w:after="0"/>
              <w:rPr>
                <w:sz w:val="20"/>
                <w:szCs w:val="20"/>
                <w:color w:val="auto"/>
              </w:rPr>
            </w:pPr>
            <w:r>
              <w:rPr>
                <w:rFonts w:ascii="Arial" w:cs="Arial" w:eastAsia="Arial" w:hAnsi="Arial"/>
                <w:sz w:val="14"/>
                <w:szCs w:val="14"/>
                <w:color w:val="auto"/>
              </w:rPr>
              <w:t>600,045</w:t>
            </w:r>
          </w:p>
        </w:tc>
        <w:tc>
          <w:tcPr>
            <w:tcW w:w="160" w:type="dxa"/>
            <w:vAlign w:val="bottom"/>
            <w:tcBorders>
              <w:left w:val="single" w:sz="8" w:color="E5E9E3"/>
            </w:tcBorders>
            <w:shd w:val="clear" w:color="auto" w:fill="E5E9E3"/>
          </w:tcPr>
          <w:p>
            <w:pPr>
              <w:spacing w:after="0"/>
              <w:rPr>
                <w:sz w:val="21"/>
                <w:szCs w:val="21"/>
                <w:color w:val="auto"/>
              </w:rPr>
            </w:pPr>
          </w:p>
        </w:tc>
        <w:tc>
          <w:tcPr>
            <w:tcW w:w="320" w:type="dxa"/>
            <w:vAlign w:val="bottom"/>
            <w:shd w:val="clear" w:color="auto" w:fill="E5E9E3"/>
          </w:tcPr>
          <w:p>
            <w:pPr>
              <w:spacing w:after="0"/>
              <w:rPr>
                <w:sz w:val="21"/>
                <w:szCs w:val="21"/>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1180" w:type="dxa"/>
            <w:vAlign w:val="bottom"/>
            <w:shd w:val="clear" w:color="auto" w:fill="E5E9E3"/>
          </w:tcPr>
          <w:p>
            <w:pPr>
              <w:spacing w:after="0"/>
              <w:rPr>
                <w:sz w:val="24"/>
                <w:szCs w:val="24"/>
                <w:color w:val="auto"/>
              </w:rPr>
            </w:pPr>
          </w:p>
        </w:tc>
        <w:tc>
          <w:tcPr>
            <w:tcW w:w="2900" w:type="dxa"/>
            <w:vAlign w:val="bottom"/>
            <w:shd w:val="clear" w:color="auto" w:fill="E5E9E3"/>
          </w:tcPr>
          <w:p>
            <w:pPr>
              <w:spacing w:after="0"/>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(6)</w:t>
            </w:r>
          </w:p>
        </w:tc>
        <w:tc>
          <w:tcPr>
            <w:tcW w:w="280" w:type="dxa"/>
            <w:vAlign w:val="bottom"/>
            <w:shd w:val="clear" w:color="auto" w:fill="E5E9E3"/>
          </w:tcPr>
          <w:p>
            <w:pPr>
              <w:spacing w:after="0"/>
              <w:rPr>
                <w:sz w:val="24"/>
                <w:szCs w:val="24"/>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9E3"/>
          </w:tcPr>
          <w:p>
            <w:pPr>
              <w:spacing w:after="0"/>
              <w:rPr>
                <w:sz w:val="24"/>
                <w:szCs w:val="24"/>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74,826</w:t>
            </w:r>
          </w:p>
        </w:tc>
        <w:tc>
          <w:tcPr>
            <w:tcW w:w="160" w:type="dxa"/>
            <w:vAlign w:val="bottom"/>
            <w:shd w:val="clear" w:color="auto" w:fill="E5E9E3"/>
          </w:tcPr>
          <w:p>
            <w:pPr>
              <w:spacing w:after="0"/>
              <w:rPr>
                <w:sz w:val="24"/>
                <w:szCs w:val="24"/>
                <w:color w:val="auto"/>
              </w:rPr>
            </w:pPr>
          </w:p>
        </w:tc>
        <w:tc>
          <w:tcPr>
            <w:tcW w:w="380" w:type="dxa"/>
            <w:vAlign w:val="bottom"/>
            <w:gridSpan w:val="2"/>
            <w:shd w:val="clear" w:color="auto" w:fill="E5E9E3"/>
          </w:tcPr>
          <w:p>
            <w:pPr>
              <w:ind w:left="320"/>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9E3"/>
          </w:tcPr>
          <w:p>
            <w:pPr>
              <w:jc w:val="right"/>
              <w:spacing w:after="0"/>
              <w:rPr>
                <w:sz w:val="20"/>
                <w:szCs w:val="20"/>
                <w:color w:val="auto"/>
              </w:rPr>
            </w:pPr>
            <w:r>
              <w:rPr>
                <w:rFonts w:ascii="Arial" w:cs="Arial" w:eastAsia="Arial" w:hAnsi="Arial"/>
                <w:sz w:val="14"/>
                <w:szCs w:val="14"/>
                <w:color w:val="auto"/>
              </w:rPr>
              <w:t>74,826</w:t>
            </w:r>
          </w:p>
        </w:tc>
        <w:tc>
          <w:tcPr>
            <w:tcW w:w="160" w:type="dxa"/>
            <w:vAlign w:val="bottom"/>
            <w:tcBorders>
              <w:left w:val="single" w:sz="8" w:color="E5E9E3"/>
            </w:tcBorders>
            <w:shd w:val="clear" w:color="auto" w:fill="E5E9E3"/>
          </w:tcPr>
          <w:p>
            <w:pPr>
              <w:spacing w:after="0"/>
              <w:rPr>
                <w:sz w:val="24"/>
                <w:szCs w:val="24"/>
                <w:color w:val="auto"/>
              </w:rPr>
            </w:pPr>
          </w:p>
        </w:tc>
        <w:tc>
          <w:tcPr>
            <w:tcW w:w="320" w:type="dxa"/>
            <w:vAlign w:val="bottom"/>
            <w:shd w:val="clear" w:color="auto" w:fill="E5E9E3"/>
          </w:tcPr>
          <w:p>
            <w:pPr>
              <w:spacing w:after="0"/>
              <w:rPr>
                <w:sz w:val="24"/>
                <w:szCs w:val="24"/>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80" w:type="dxa"/>
            <w:vAlign w:val="bottom"/>
            <w:shd w:val="clear" w:color="auto" w:fill="E5E9E3"/>
          </w:tcPr>
          <w:p>
            <w:pPr>
              <w:spacing w:after="0" w:line="20" w:lineRule="exact"/>
              <w:rPr>
                <w:sz w:val="1"/>
                <w:szCs w:val="1"/>
                <w:color w:val="auto"/>
              </w:rPr>
            </w:pPr>
          </w:p>
        </w:tc>
        <w:tc>
          <w:tcPr>
            <w:tcW w:w="2900" w:type="dxa"/>
            <w:vAlign w:val="bottom"/>
            <w:shd w:val="clear" w:color="auto" w:fill="E5E9E3"/>
          </w:tcPr>
          <w:p>
            <w:pPr>
              <w:spacing w:after="0" w:line="20" w:lineRule="exact"/>
              <w:rPr>
                <w:sz w:val="1"/>
                <w:szCs w:val="1"/>
                <w:color w:val="auto"/>
              </w:rPr>
            </w:pPr>
          </w:p>
        </w:tc>
        <w:tc>
          <w:tcPr>
            <w:tcW w:w="28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E5E9E3"/>
            </w:tcBorders>
            <w:shd w:val="clear" w:color="auto" w:fill="E5E9E3"/>
          </w:tcPr>
          <w:p>
            <w:pPr>
              <w:spacing w:after="0" w:line="20" w:lineRule="exact"/>
              <w:rPr>
                <w:sz w:val="1"/>
                <w:szCs w:val="1"/>
                <w:color w:val="auto"/>
              </w:rPr>
            </w:pPr>
          </w:p>
        </w:tc>
        <w:tc>
          <w:tcPr>
            <w:tcW w:w="14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5E9E3"/>
          </w:tcPr>
          <w:p>
            <w:pPr>
              <w:spacing w:after="0" w:line="20" w:lineRule="exact"/>
              <w:rPr>
                <w:sz w:val="1"/>
                <w:szCs w:val="1"/>
                <w:color w:val="auto"/>
              </w:rPr>
            </w:pPr>
          </w:p>
        </w:tc>
        <w:tc>
          <w:tcPr>
            <w:tcW w:w="14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E5E9E3"/>
          </w:tcPr>
          <w:p>
            <w:pPr>
              <w:spacing w:after="0" w:line="20" w:lineRule="exact"/>
              <w:rPr>
                <w:sz w:val="1"/>
                <w:szCs w:val="1"/>
                <w:color w:val="auto"/>
              </w:rPr>
            </w:pPr>
          </w:p>
        </w:tc>
        <w:tc>
          <w:tcPr>
            <w:tcW w:w="320" w:type="dxa"/>
            <w:vAlign w:val="bottom"/>
            <w:shd w:val="clear" w:color="auto" w:fill="E5E9E3"/>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E5E9E3"/>
            </w:tcBorders>
            <w:shd w:val="clear" w:color="auto" w:fill="E5E9E3"/>
          </w:tcPr>
          <w:p>
            <w:pPr>
              <w:spacing w:after="0" w:line="20" w:lineRule="exact"/>
              <w:rPr>
                <w:sz w:val="1"/>
                <w:szCs w:val="1"/>
                <w:color w:val="auto"/>
              </w:rPr>
            </w:pPr>
          </w:p>
        </w:tc>
        <w:tc>
          <w:tcPr>
            <w:tcW w:w="320" w:type="dxa"/>
            <w:vAlign w:val="bottom"/>
            <w:shd w:val="clear" w:color="auto" w:fill="E5E9E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E5E9E3"/>
            </w:tcBorders>
            <w:shd w:val="clear" w:color="auto" w:fill="E5E9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shd w:val="clear" w:color="auto" w:fill="E5E9E3"/>
          </w:tcPr>
          <w:p>
            <w:pPr>
              <w:spacing w:after="0"/>
              <w:rPr>
                <w:sz w:val="19"/>
                <w:szCs w:val="19"/>
                <w:color w:val="auto"/>
              </w:rPr>
            </w:pPr>
          </w:p>
        </w:tc>
        <w:tc>
          <w:tcPr>
            <w:tcW w:w="2900" w:type="dxa"/>
            <w:vAlign w:val="bottom"/>
            <w:shd w:val="clear" w:color="auto" w:fill="E5E9E3"/>
          </w:tcPr>
          <w:p>
            <w:pPr>
              <w:ind w:left="140"/>
              <w:spacing w:after="0"/>
              <w:rPr>
                <w:sz w:val="20"/>
                <w:szCs w:val="20"/>
                <w:color w:val="auto"/>
              </w:rPr>
            </w:pPr>
            <w:r>
              <w:rPr>
                <w:rFonts w:ascii="Arial" w:cs="Arial" w:eastAsia="Arial" w:hAnsi="Arial"/>
                <w:sz w:val="14"/>
                <w:szCs w:val="14"/>
                <w:b w:val="1"/>
                <w:bCs w:val="1"/>
                <w:color w:val="auto"/>
              </w:rPr>
              <w:t>Total Value of Termination Benefits</w:t>
            </w:r>
          </w:p>
        </w:tc>
        <w:tc>
          <w:tcPr>
            <w:tcW w:w="280" w:type="dxa"/>
            <w:vAlign w:val="bottom"/>
            <w:shd w:val="clear" w:color="auto" w:fill="E5E9E3"/>
          </w:tcPr>
          <w:p>
            <w:pPr>
              <w:spacing w:after="0"/>
              <w:rPr>
                <w:sz w:val="19"/>
                <w:szCs w:val="19"/>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5E9E3"/>
          </w:tcPr>
          <w:p>
            <w:pPr>
              <w:spacing w:after="0"/>
              <w:rPr>
                <w:sz w:val="19"/>
                <w:szCs w:val="19"/>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E5E9E3"/>
          </w:tcPr>
          <w:p>
            <w:pPr>
              <w:jc w:val="right"/>
              <w:spacing w:after="0"/>
              <w:rPr>
                <w:sz w:val="20"/>
                <w:szCs w:val="20"/>
                <w:color w:val="auto"/>
              </w:rPr>
            </w:pPr>
            <w:r>
              <w:rPr>
                <w:rFonts w:ascii="Arial" w:cs="Arial" w:eastAsia="Arial" w:hAnsi="Arial"/>
                <w:sz w:val="14"/>
                <w:szCs w:val="14"/>
                <w:b w:val="1"/>
                <w:bCs w:val="1"/>
                <w:color w:val="auto"/>
              </w:rPr>
              <w:t>969,871</w:t>
            </w:r>
          </w:p>
        </w:tc>
        <w:tc>
          <w:tcPr>
            <w:tcW w:w="160" w:type="dxa"/>
            <w:vAlign w:val="bottom"/>
            <w:shd w:val="clear" w:color="auto" w:fill="E5E9E3"/>
          </w:tcPr>
          <w:p>
            <w:pPr>
              <w:spacing w:after="0"/>
              <w:rPr>
                <w:sz w:val="19"/>
                <w:szCs w:val="19"/>
                <w:color w:val="auto"/>
              </w:rPr>
            </w:pPr>
          </w:p>
        </w:tc>
        <w:tc>
          <w:tcPr>
            <w:tcW w:w="1100" w:type="dxa"/>
            <w:vAlign w:val="bottom"/>
            <w:gridSpan w:val="4"/>
            <w:shd w:val="clear" w:color="auto" w:fill="E5E9E3"/>
          </w:tcPr>
          <w:p>
            <w:pPr>
              <w:ind w:left="320"/>
              <w:spacing w:after="0"/>
              <w:rPr>
                <w:sz w:val="20"/>
                <w:szCs w:val="20"/>
                <w:color w:val="auto"/>
              </w:rPr>
            </w:pPr>
            <w:r>
              <w:rPr>
                <w:rFonts w:ascii="Arial" w:cs="Arial" w:eastAsia="Arial" w:hAnsi="Arial"/>
                <w:sz w:val="14"/>
                <w:szCs w:val="14"/>
                <w:b w:val="1"/>
                <w:bCs w:val="1"/>
                <w:color w:val="auto"/>
              </w:rPr>
              <w:t>​ 969,871</w:t>
            </w:r>
          </w:p>
        </w:tc>
        <w:tc>
          <w:tcPr>
            <w:tcW w:w="320" w:type="dxa"/>
            <w:vAlign w:val="bottom"/>
            <w:shd w:val="clear" w:color="auto" w:fill="E5E9E3"/>
          </w:tcPr>
          <w:p>
            <w:pPr>
              <w:spacing w:after="0"/>
              <w:rPr>
                <w:sz w:val="19"/>
                <w:szCs w:val="19"/>
                <w:color w:val="auto"/>
              </w:rPr>
            </w:pPr>
          </w:p>
        </w:tc>
        <w:tc>
          <w:tcPr>
            <w:tcW w:w="780" w:type="dxa"/>
            <w:vAlign w:val="bottom"/>
            <w:gridSpan w:val="2"/>
            <w:shd w:val="clear" w:color="auto" w:fill="E5E9E3"/>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1180" w:type="dxa"/>
            <w:vAlign w:val="bottom"/>
          </w:tcPr>
          <w:p>
            <w:pPr>
              <w:ind w:left="80"/>
              <w:spacing w:after="0"/>
              <w:rPr>
                <w:sz w:val="20"/>
                <w:szCs w:val="20"/>
                <w:color w:val="auto"/>
              </w:rPr>
            </w:pPr>
            <w:r>
              <w:rPr>
                <w:rFonts w:ascii="Arial" w:cs="Arial" w:eastAsia="Arial" w:hAnsi="Arial"/>
                <w:sz w:val="14"/>
                <w:szCs w:val="14"/>
                <w:color w:val="auto"/>
              </w:rPr>
              <w:t>Mr. Archer</w:t>
            </w:r>
          </w:p>
        </w:tc>
        <w:tc>
          <w:tcPr>
            <w:tcW w:w="2900" w:type="dxa"/>
            <w:vAlign w:val="bottom"/>
          </w:tcPr>
          <w:p>
            <w:pPr>
              <w:spacing w:after="0"/>
              <w:rPr>
                <w:sz w:val="20"/>
                <w:szCs w:val="20"/>
                <w:color w:val="auto"/>
              </w:rPr>
            </w:pPr>
            <w:r>
              <w:rPr>
                <w:rFonts w:ascii="Arial" w:cs="Arial" w:eastAsia="Arial" w:hAnsi="Arial"/>
                <w:sz w:val="14"/>
                <w:szCs w:val="14"/>
                <w:color w:val="auto"/>
              </w:rPr>
              <w:t>Cash Severance Payment – 50% Annual</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180" w:type="dxa"/>
            <w:vAlign w:val="bottom"/>
          </w:tcPr>
          <w:p>
            <w:pPr>
              <w:spacing w:after="0"/>
              <w:rPr>
                <w:sz w:val="23"/>
                <w:szCs w:val="23"/>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auto"/>
              </w:rPr>
              <w:t>Base Salary</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255,000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255,000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2900" w:type="dxa"/>
            <w:vAlign w:val="bottom"/>
          </w:tcPr>
          <w:p>
            <w:pPr>
              <w:spacing w:after="0" w:line="159" w:lineRule="exact"/>
              <w:rPr>
                <w:sz w:val="20"/>
                <w:szCs w:val="20"/>
                <w:color w:val="auto"/>
              </w:rPr>
            </w:pPr>
            <w:r>
              <w:rPr>
                <w:rFonts w:ascii="Arial" w:cs="Arial" w:eastAsia="Arial" w:hAnsi="Arial"/>
                <w:sz w:val="14"/>
                <w:szCs w:val="14"/>
                <w:color w:val="auto"/>
              </w:rPr>
              <w:t>Cash Severance Payment – Cash Incentive</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80" w:type="dxa"/>
            <w:vAlign w:val="bottom"/>
          </w:tcPr>
          <w:p>
            <w:pPr>
              <w:spacing w:after="0"/>
              <w:rPr>
                <w:sz w:val="23"/>
                <w:szCs w:val="23"/>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488,172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488,172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180" w:type="dxa"/>
            <w:vAlign w:val="bottom"/>
          </w:tcPr>
          <w:p>
            <w:pPr>
              <w:spacing w:after="0"/>
              <w:rPr>
                <w:sz w:val="23"/>
                <w:szCs w:val="23"/>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(6)</w:t>
            </w:r>
          </w:p>
        </w:tc>
        <w:tc>
          <w:tcPr>
            <w:tcW w:w="28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91,746</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91,746</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900" w:type="dxa"/>
            <w:vAlign w:val="bottom"/>
          </w:tcPr>
          <w:p>
            <w:pPr>
              <w:ind w:left="140"/>
              <w:spacing w:after="0"/>
              <w:rPr>
                <w:sz w:val="20"/>
                <w:szCs w:val="20"/>
                <w:color w:val="auto"/>
              </w:rPr>
            </w:pPr>
            <w:r>
              <w:rPr>
                <w:rFonts w:ascii="Arial" w:cs="Arial" w:eastAsia="Arial" w:hAnsi="Arial"/>
                <w:sz w:val="14"/>
                <w:szCs w:val="14"/>
                <w:b w:val="1"/>
                <w:bCs w:val="1"/>
                <w:color w:val="auto"/>
              </w:rPr>
              <w:t>Total Value of Termination Benefits</w:t>
            </w:r>
          </w:p>
        </w:tc>
        <w:tc>
          <w:tcPr>
            <w:tcW w:w="2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834,918</w:t>
            </w:r>
          </w:p>
        </w:tc>
        <w:tc>
          <w:tcPr>
            <w:tcW w:w="160" w:type="dxa"/>
            <w:vAlign w:val="bottom"/>
          </w:tcPr>
          <w:p>
            <w:pPr>
              <w:spacing w:after="0"/>
              <w:rPr>
                <w:sz w:val="17"/>
                <w:szCs w:val="17"/>
                <w:color w:val="auto"/>
              </w:rPr>
            </w:pP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 834,918</w:t>
            </w:r>
          </w:p>
        </w:tc>
        <w:tc>
          <w:tcPr>
            <w:tcW w:w="3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1180" w:type="dxa"/>
            <w:vAlign w:val="bottom"/>
            <w:shd w:val="clear" w:color="auto" w:fill="819F7C"/>
          </w:tcPr>
          <w:p>
            <w:pPr>
              <w:spacing w:after="0"/>
              <w:rPr>
                <w:sz w:val="8"/>
                <w:szCs w:val="8"/>
                <w:color w:val="auto"/>
              </w:rPr>
            </w:pPr>
          </w:p>
        </w:tc>
        <w:tc>
          <w:tcPr>
            <w:tcW w:w="2900" w:type="dxa"/>
            <w:vAlign w:val="bottom"/>
            <w:shd w:val="clear" w:color="auto" w:fill="819F7C"/>
          </w:tcPr>
          <w:p>
            <w:pPr>
              <w:spacing w:after="0"/>
              <w:rPr>
                <w:sz w:val="8"/>
                <w:szCs w:val="8"/>
                <w:color w:val="auto"/>
              </w:rPr>
            </w:pPr>
          </w:p>
        </w:tc>
        <w:tc>
          <w:tcPr>
            <w:tcW w:w="280" w:type="dxa"/>
            <w:vAlign w:val="bottom"/>
            <w:shd w:val="clear" w:color="auto" w:fill="819F7C"/>
          </w:tcPr>
          <w:p>
            <w:pPr>
              <w:spacing w:after="0"/>
              <w:rPr>
                <w:sz w:val="8"/>
                <w:szCs w:val="8"/>
                <w:color w:val="auto"/>
              </w:rPr>
            </w:pPr>
          </w:p>
        </w:tc>
        <w:tc>
          <w:tcPr>
            <w:tcW w:w="620" w:type="dxa"/>
            <w:vAlign w:val="bottom"/>
            <w:shd w:val="clear" w:color="auto" w:fill="819F7C"/>
          </w:tcPr>
          <w:p>
            <w:pPr>
              <w:spacing w:after="0"/>
              <w:rPr>
                <w:sz w:val="8"/>
                <w:szCs w:val="8"/>
                <w:color w:val="auto"/>
              </w:rPr>
            </w:pPr>
          </w:p>
        </w:tc>
        <w:tc>
          <w:tcPr>
            <w:tcW w:w="160" w:type="dxa"/>
            <w:vAlign w:val="bottom"/>
            <w:tcBorders>
              <w:left w:val="single" w:sz="8" w:color="819F7C"/>
            </w:tcBorders>
            <w:shd w:val="clear" w:color="auto" w:fill="819F7C"/>
          </w:tcPr>
          <w:p>
            <w:pPr>
              <w:spacing w:after="0"/>
              <w:rPr>
                <w:sz w:val="8"/>
                <w:szCs w:val="8"/>
                <w:color w:val="auto"/>
              </w:rPr>
            </w:pPr>
          </w:p>
        </w:tc>
        <w:tc>
          <w:tcPr>
            <w:tcW w:w="140" w:type="dxa"/>
            <w:vAlign w:val="bottom"/>
            <w:shd w:val="clear" w:color="auto" w:fill="819F7C"/>
          </w:tcPr>
          <w:p>
            <w:pPr>
              <w:spacing w:after="0"/>
              <w:rPr>
                <w:sz w:val="8"/>
                <w:szCs w:val="8"/>
                <w:color w:val="auto"/>
              </w:rPr>
            </w:pPr>
          </w:p>
        </w:tc>
        <w:tc>
          <w:tcPr>
            <w:tcW w:w="620" w:type="dxa"/>
            <w:vAlign w:val="bottom"/>
            <w:shd w:val="clear" w:color="auto" w:fill="819F7C"/>
          </w:tcPr>
          <w:p>
            <w:pPr>
              <w:spacing w:after="0"/>
              <w:rPr>
                <w:sz w:val="8"/>
                <w:szCs w:val="8"/>
                <w:color w:val="auto"/>
              </w:rPr>
            </w:pPr>
          </w:p>
        </w:tc>
        <w:tc>
          <w:tcPr>
            <w:tcW w:w="160" w:type="dxa"/>
            <w:vAlign w:val="bottom"/>
            <w:shd w:val="clear" w:color="auto" w:fill="819F7C"/>
          </w:tcPr>
          <w:p>
            <w:pPr>
              <w:spacing w:after="0"/>
              <w:rPr>
                <w:sz w:val="8"/>
                <w:szCs w:val="8"/>
                <w:color w:val="auto"/>
              </w:rPr>
            </w:pPr>
          </w:p>
        </w:tc>
        <w:tc>
          <w:tcPr>
            <w:tcW w:w="140" w:type="dxa"/>
            <w:vAlign w:val="bottom"/>
            <w:shd w:val="clear" w:color="auto" w:fill="819F7C"/>
          </w:tcPr>
          <w:p>
            <w:pPr>
              <w:spacing w:after="0"/>
              <w:rPr>
                <w:sz w:val="8"/>
                <w:szCs w:val="8"/>
                <w:color w:val="auto"/>
              </w:rPr>
            </w:pPr>
          </w:p>
        </w:tc>
        <w:tc>
          <w:tcPr>
            <w:tcW w:w="620" w:type="dxa"/>
            <w:vAlign w:val="bottom"/>
            <w:shd w:val="clear" w:color="auto" w:fill="819F7C"/>
          </w:tcPr>
          <w:p>
            <w:pPr>
              <w:spacing w:after="0"/>
              <w:rPr>
                <w:sz w:val="8"/>
                <w:szCs w:val="8"/>
                <w:color w:val="auto"/>
              </w:rPr>
            </w:pPr>
          </w:p>
        </w:tc>
        <w:tc>
          <w:tcPr>
            <w:tcW w:w="160" w:type="dxa"/>
            <w:vAlign w:val="bottom"/>
            <w:shd w:val="clear" w:color="auto" w:fill="819F7C"/>
          </w:tcPr>
          <w:p>
            <w:pPr>
              <w:spacing w:after="0"/>
              <w:rPr>
                <w:sz w:val="8"/>
                <w:szCs w:val="8"/>
                <w:color w:val="auto"/>
              </w:rPr>
            </w:pPr>
          </w:p>
        </w:tc>
        <w:tc>
          <w:tcPr>
            <w:tcW w:w="320" w:type="dxa"/>
            <w:vAlign w:val="bottom"/>
            <w:shd w:val="clear" w:color="auto" w:fill="819F7C"/>
          </w:tcPr>
          <w:p>
            <w:pPr>
              <w:spacing w:after="0"/>
              <w:rPr>
                <w:sz w:val="8"/>
                <w:szCs w:val="8"/>
                <w:color w:val="auto"/>
              </w:rPr>
            </w:pPr>
          </w:p>
        </w:tc>
        <w:tc>
          <w:tcPr>
            <w:tcW w:w="60" w:type="dxa"/>
            <w:vAlign w:val="bottom"/>
            <w:shd w:val="clear" w:color="auto" w:fill="819F7C"/>
          </w:tcPr>
          <w:p>
            <w:pPr>
              <w:spacing w:after="0"/>
              <w:rPr>
                <w:sz w:val="8"/>
                <w:szCs w:val="8"/>
                <w:color w:val="auto"/>
              </w:rPr>
            </w:pPr>
          </w:p>
        </w:tc>
        <w:tc>
          <w:tcPr>
            <w:tcW w:w="560" w:type="dxa"/>
            <w:vAlign w:val="bottom"/>
            <w:shd w:val="clear" w:color="auto" w:fill="819F7C"/>
          </w:tcPr>
          <w:p>
            <w:pPr>
              <w:spacing w:after="0"/>
              <w:rPr>
                <w:sz w:val="8"/>
                <w:szCs w:val="8"/>
                <w:color w:val="auto"/>
              </w:rPr>
            </w:pPr>
          </w:p>
        </w:tc>
        <w:tc>
          <w:tcPr>
            <w:tcW w:w="160" w:type="dxa"/>
            <w:vAlign w:val="bottom"/>
            <w:tcBorders>
              <w:left w:val="single" w:sz="8" w:color="819F7C"/>
            </w:tcBorders>
            <w:shd w:val="clear" w:color="auto" w:fill="819F7C"/>
          </w:tcPr>
          <w:p>
            <w:pPr>
              <w:spacing w:after="0"/>
              <w:rPr>
                <w:sz w:val="8"/>
                <w:szCs w:val="8"/>
                <w:color w:val="auto"/>
              </w:rPr>
            </w:pPr>
          </w:p>
        </w:tc>
        <w:tc>
          <w:tcPr>
            <w:tcW w:w="320" w:type="dxa"/>
            <w:vAlign w:val="bottom"/>
            <w:shd w:val="clear" w:color="auto" w:fill="819F7C"/>
          </w:tcPr>
          <w:p>
            <w:pPr>
              <w:spacing w:after="0"/>
              <w:rPr>
                <w:sz w:val="8"/>
                <w:szCs w:val="8"/>
                <w:color w:val="auto"/>
              </w:rPr>
            </w:pPr>
          </w:p>
        </w:tc>
        <w:tc>
          <w:tcPr>
            <w:tcW w:w="620" w:type="dxa"/>
            <w:vAlign w:val="bottom"/>
            <w:shd w:val="clear" w:color="auto" w:fill="819F7C"/>
          </w:tcPr>
          <w:p>
            <w:pPr>
              <w:spacing w:after="0"/>
              <w:rPr>
                <w:sz w:val="8"/>
                <w:szCs w:val="8"/>
                <w:color w:val="auto"/>
              </w:rPr>
            </w:pPr>
          </w:p>
        </w:tc>
        <w:tc>
          <w:tcPr>
            <w:tcW w:w="160" w:type="dxa"/>
            <w:vAlign w:val="bottom"/>
            <w:tcBorders>
              <w:left w:val="single" w:sz="8" w:color="819F7C"/>
            </w:tcBorders>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200" w:right="920" w:hanging="286"/>
        <w:spacing w:after="0" w:line="281" w:lineRule="auto"/>
        <w:tabs>
          <w:tab w:leader="none" w:pos="1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Assumes an annual base salary of $1,250,000 for Mr. Grady, $1,060,000 for Dr. Gill, $590,000 for Mr. Sverha, and $510,000 for Mr. Archer (salaries in effect on June 28, 2024).</w:t>
      </w:r>
    </w:p>
    <w:p>
      <w:pPr>
        <w:ind w:left="1200" w:hanging="286"/>
        <w:spacing w:after="0"/>
        <w:tabs>
          <w:tab w:leader="none" w:pos="1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Reflects the amount of bonus earned under the Fiscal 2024 Bonus Plan but unpaid as of June 28, 2024.</w:t>
      </w:r>
    </w:p>
    <w:p>
      <w:pPr>
        <w:spacing w:after="0" w:line="53" w:lineRule="exact"/>
        <w:rPr>
          <w:rFonts w:ascii="Arial" w:cs="Arial" w:eastAsia="Arial" w:hAnsi="Arial"/>
          <w:sz w:val="13"/>
          <w:szCs w:val="13"/>
          <w:color w:val="auto"/>
        </w:rPr>
      </w:pPr>
    </w:p>
    <w:p>
      <w:pPr>
        <w:ind w:left="1200" w:hanging="286"/>
        <w:spacing w:after="0"/>
        <w:tabs>
          <w:tab w:leader="none" w:pos="1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Reflects two times the annual cost of COBRA coverage to maintain the benefits provided as of June 28, 2024.</w:t>
      </w:r>
    </w:p>
    <w:p>
      <w:pPr>
        <w:spacing w:after="0" w:line="53" w:lineRule="exact"/>
        <w:rPr>
          <w:rFonts w:ascii="Arial" w:cs="Arial" w:eastAsia="Arial" w:hAnsi="Arial"/>
          <w:sz w:val="13"/>
          <w:szCs w:val="13"/>
          <w:color w:val="auto"/>
        </w:rPr>
      </w:pPr>
    </w:p>
    <w:p>
      <w:pPr>
        <w:ind w:left="1200" w:right="920" w:hanging="286"/>
        <w:spacing w:after="0" w:line="281" w:lineRule="auto"/>
        <w:tabs>
          <w:tab w:leader="none" w:pos="1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Potential value if vesting of eligible RSUs held by Dr. Gill had been accelerated on June 28, 2024, assuming a share price of $244.79, the closing price on the NYSE of our ordinary shares on June 28, 2024.</w:t>
      </w:r>
    </w:p>
    <w:p>
      <w:pPr>
        <w:jc w:val="both"/>
        <w:ind w:left="1200" w:right="940" w:hanging="286"/>
        <w:spacing w:after="0" w:line="249" w:lineRule="auto"/>
        <w:tabs>
          <w:tab w:leader="none" w:pos="1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Does not include the future tax equalization benefits that such Named Officer may be entitled to under our expatriate policy, as described above in “</w:t>
      </w:r>
      <w:r>
        <w:rPr>
          <w:rFonts w:ascii="Arial" w:cs="Arial" w:eastAsia="Arial" w:hAnsi="Arial"/>
          <w:sz w:val="13"/>
          <w:szCs w:val="13"/>
          <w:i w:val="1"/>
          <w:iCs w:val="1"/>
          <w:color w:val="auto"/>
        </w:rPr>
        <w:t>Executive Compensation—Compensation Discussion and Analysis</w:t>
      </w:r>
      <w:r>
        <w:rPr>
          <w:rFonts w:ascii="Arial" w:cs="Arial" w:eastAsia="Arial" w:hAnsi="Arial"/>
          <w:sz w:val="13"/>
          <w:szCs w:val="13"/>
          <w:color w:val="auto"/>
        </w:rPr>
        <w:t>.” As of June 28, 2024, Dr. Gill was our only Named Officer that was entitled to these benefits. The amount of any future tax equalization benefit can vary significantly depending, among other factors, on the individual’s personal tax circumstances with respect to the year for which the benefit is provided. The amount of tax equalization benefit paid in fiscal 2024 was $898,863 for Dr. Gill. Tax equalization benefits for any future years may differ substantially from such amount.</w:t>
      </w:r>
    </w:p>
    <w:p>
      <w:pPr>
        <w:spacing w:after="0" w:line="20" w:lineRule="exact"/>
        <w:rPr>
          <w:rFonts w:ascii="Arial" w:cs="Arial" w:eastAsia="Arial" w:hAnsi="Arial"/>
          <w:sz w:val="13"/>
          <w:szCs w:val="13"/>
          <w:color w:val="auto"/>
        </w:rPr>
      </w:pPr>
    </w:p>
    <w:p>
      <w:pPr>
        <w:ind w:left="1200" w:hanging="286"/>
        <w:spacing w:after="0"/>
        <w:tabs>
          <w:tab w:leader="none" w:pos="1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Reflects 18 times the monthly premium for continued health coverage under COBRA to maintain the benefits provided as of June 28, 2024.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57</w:t>
            </w:r>
          </w:p>
        </w:tc>
      </w:tr>
      <w:tr>
        <w:trPr>
          <w:trHeight w:val="237"/>
        </w:trPr>
        <w:tc>
          <w:tcPr>
            <w:tcW w:w="66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342900" cy="768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of Employment in Connection with a Change in Control</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120" w:type="dxa"/>
            <w:vAlign w:val="bottom"/>
            <w:shd w:val="clear" w:color="auto" w:fill="819F7C"/>
          </w:tcPr>
          <w:p>
            <w:pPr>
              <w:spacing w:after="0"/>
              <w:rPr>
                <w:sz w:val="22"/>
                <w:szCs w:val="22"/>
                <w:color w:val="auto"/>
              </w:rPr>
            </w:pPr>
          </w:p>
        </w:tc>
        <w:tc>
          <w:tcPr>
            <w:tcW w:w="2940" w:type="dxa"/>
            <w:vAlign w:val="bottom"/>
            <w:shd w:val="clear" w:color="auto" w:fill="819F7C"/>
          </w:tcPr>
          <w:p>
            <w:pPr>
              <w:spacing w:after="0"/>
              <w:rPr>
                <w:sz w:val="22"/>
                <w:szCs w:val="22"/>
                <w:color w:val="auto"/>
              </w:rPr>
            </w:pPr>
          </w:p>
        </w:tc>
        <w:tc>
          <w:tcPr>
            <w:tcW w:w="220" w:type="dxa"/>
            <w:vAlign w:val="bottom"/>
            <w:shd w:val="clear" w:color="auto" w:fill="819F7C"/>
          </w:tcPr>
          <w:p>
            <w:pPr>
              <w:spacing w:after="0"/>
              <w:rPr>
                <w:sz w:val="22"/>
                <w:szCs w:val="22"/>
                <w:color w:val="auto"/>
              </w:rPr>
            </w:pPr>
          </w:p>
        </w:tc>
        <w:tc>
          <w:tcPr>
            <w:tcW w:w="700" w:type="dxa"/>
            <w:vAlign w:val="bottom"/>
            <w:shd w:val="clear" w:color="auto" w:fill="819F7C"/>
          </w:tcPr>
          <w:p>
            <w:pPr>
              <w:spacing w:after="0"/>
              <w:rPr>
                <w:sz w:val="22"/>
                <w:szCs w:val="22"/>
                <w:color w:val="auto"/>
              </w:rPr>
            </w:pPr>
          </w:p>
        </w:tc>
        <w:tc>
          <w:tcPr>
            <w:tcW w:w="40" w:type="dxa"/>
            <w:vAlign w:val="bottom"/>
            <w:shd w:val="clear" w:color="auto" w:fill="819F7C"/>
          </w:tcPr>
          <w:p>
            <w:pPr>
              <w:spacing w:after="0"/>
              <w:rPr>
                <w:sz w:val="22"/>
                <w:szCs w:val="22"/>
                <w:color w:val="auto"/>
              </w:rPr>
            </w:pPr>
          </w:p>
        </w:tc>
        <w:tc>
          <w:tcPr>
            <w:tcW w:w="220" w:type="dxa"/>
            <w:vAlign w:val="bottom"/>
            <w:shd w:val="clear" w:color="auto" w:fill="819F7C"/>
          </w:tcPr>
          <w:p>
            <w:pPr>
              <w:spacing w:after="0"/>
              <w:rPr>
                <w:sz w:val="22"/>
                <w:szCs w:val="22"/>
                <w:color w:val="auto"/>
              </w:rPr>
            </w:pPr>
          </w:p>
        </w:tc>
        <w:tc>
          <w:tcPr>
            <w:tcW w:w="700" w:type="dxa"/>
            <w:vAlign w:val="bottom"/>
            <w:shd w:val="clear" w:color="auto" w:fill="819F7C"/>
          </w:tcPr>
          <w:p>
            <w:pPr>
              <w:spacing w:after="0"/>
              <w:rPr>
                <w:sz w:val="22"/>
                <w:szCs w:val="22"/>
                <w:color w:val="auto"/>
              </w:rPr>
            </w:pPr>
          </w:p>
        </w:tc>
        <w:tc>
          <w:tcPr>
            <w:tcW w:w="140" w:type="dxa"/>
            <w:vAlign w:val="bottom"/>
            <w:shd w:val="clear" w:color="auto" w:fill="819F7C"/>
          </w:tcPr>
          <w:p>
            <w:pPr>
              <w:spacing w:after="0"/>
              <w:rPr>
                <w:sz w:val="22"/>
                <w:szCs w:val="22"/>
                <w:color w:val="auto"/>
              </w:rPr>
            </w:pPr>
          </w:p>
        </w:tc>
        <w:tc>
          <w:tcPr>
            <w:tcW w:w="120" w:type="dxa"/>
            <w:vAlign w:val="bottom"/>
            <w:shd w:val="clear" w:color="auto" w:fill="819F7C"/>
          </w:tcPr>
          <w:p>
            <w:pPr>
              <w:spacing w:after="0"/>
              <w:rPr>
                <w:sz w:val="22"/>
                <w:szCs w:val="22"/>
                <w:color w:val="auto"/>
              </w:rPr>
            </w:pPr>
          </w:p>
        </w:tc>
        <w:tc>
          <w:tcPr>
            <w:tcW w:w="720" w:type="dxa"/>
            <w:vAlign w:val="bottom"/>
            <w:tcBorders>
              <w:right w:val="single" w:sz="8" w:color="819F7C"/>
            </w:tcBorders>
            <w:shd w:val="clear" w:color="auto" w:fill="819F7C"/>
          </w:tcPr>
          <w:p>
            <w:pPr>
              <w:spacing w:after="0"/>
              <w:rPr>
                <w:sz w:val="22"/>
                <w:szCs w:val="22"/>
                <w:color w:val="auto"/>
              </w:rPr>
            </w:pPr>
          </w:p>
        </w:tc>
        <w:tc>
          <w:tcPr>
            <w:tcW w:w="120" w:type="dxa"/>
            <w:vAlign w:val="bottom"/>
            <w:shd w:val="clear" w:color="auto" w:fill="819F7C"/>
          </w:tcPr>
          <w:p>
            <w:pPr>
              <w:spacing w:after="0"/>
              <w:rPr>
                <w:sz w:val="22"/>
                <w:szCs w:val="22"/>
                <w:color w:val="auto"/>
              </w:rPr>
            </w:pPr>
          </w:p>
        </w:tc>
        <w:tc>
          <w:tcPr>
            <w:tcW w:w="220" w:type="dxa"/>
            <w:vAlign w:val="bottom"/>
            <w:shd w:val="clear" w:color="auto" w:fill="819F7C"/>
          </w:tcPr>
          <w:p>
            <w:pPr>
              <w:spacing w:after="0"/>
              <w:rPr>
                <w:sz w:val="22"/>
                <w:szCs w:val="22"/>
                <w:color w:val="auto"/>
              </w:rPr>
            </w:pPr>
          </w:p>
        </w:tc>
        <w:tc>
          <w:tcPr>
            <w:tcW w:w="40" w:type="dxa"/>
            <w:vAlign w:val="bottom"/>
            <w:shd w:val="clear" w:color="auto" w:fill="819F7C"/>
          </w:tcPr>
          <w:p>
            <w:pPr>
              <w:spacing w:after="0"/>
              <w:rPr>
                <w:sz w:val="22"/>
                <w:szCs w:val="22"/>
                <w:color w:val="auto"/>
              </w:rPr>
            </w:pPr>
          </w:p>
        </w:tc>
        <w:tc>
          <w:tcPr>
            <w:tcW w:w="800" w:type="dxa"/>
            <w:vAlign w:val="bottom"/>
            <w:gridSpan w:val="2"/>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Due to</w:t>
            </w:r>
          </w:p>
        </w:tc>
        <w:tc>
          <w:tcPr>
            <w:tcW w:w="200" w:type="dxa"/>
            <w:vAlign w:val="bottom"/>
            <w:shd w:val="clear" w:color="auto" w:fill="819F7C"/>
          </w:tcPr>
          <w:p>
            <w:pPr>
              <w:spacing w:after="0"/>
              <w:rPr>
                <w:sz w:val="22"/>
                <w:szCs w:val="22"/>
                <w:color w:val="auto"/>
              </w:rPr>
            </w:pPr>
          </w:p>
        </w:tc>
        <w:tc>
          <w:tcPr>
            <w:tcW w:w="88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Due to</w:t>
            </w:r>
          </w:p>
        </w:tc>
        <w:tc>
          <w:tcPr>
            <w:tcW w:w="0" w:type="dxa"/>
            <w:vAlign w:val="bottom"/>
          </w:tcPr>
          <w:p>
            <w:pPr>
              <w:spacing w:after="0"/>
              <w:rPr>
                <w:sz w:val="1"/>
                <w:szCs w:val="1"/>
                <w:color w:val="auto"/>
              </w:rPr>
            </w:pPr>
          </w:p>
        </w:tc>
      </w:tr>
      <w:tr>
        <w:trPr>
          <w:trHeight w:val="162"/>
        </w:trPr>
        <w:tc>
          <w:tcPr>
            <w:tcW w:w="1120" w:type="dxa"/>
            <w:vAlign w:val="bottom"/>
            <w:shd w:val="clear" w:color="auto" w:fill="819F7C"/>
          </w:tcPr>
          <w:p>
            <w:pPr>
              <w:spacing w:after="0"/>
              <w:rPr>
                <w:sz w:val="14"/>
                <w:szCs w:val="14"/>
                <w:color w:val="auto"/>
              </w:rPr>
            </w:pPr>
          </w:p>
        </w:tc>
        <w:tc>
          <w:tcPr>
            <w:tcW w:w="2940" w:type="dxa"/>
            <w:vAlign w:val="bottom"/>
            <w:shd w:val="clear" w:color="auto" w:fill="819F7C"/>
          </w:tcPr>
          <w:p>
            <w:pPr>
              <w:spacing w:after="0"/>
              <w:rPr>
                <w:sz w:val="14"/>
                <w:szCs w:val="14"/>
                <w:color w:val="auto"/>
              </w:rPr>
            </w:pPr>
          </w:p>
        </w:tc>
        <w:tc>
          <w:tcPr>
            <w:tcW w:w="220" w:type="dxa"/>
            <w:vAlign w:val="bottom"/>
            <w:shd w:val="clear" w:color="auto" w:fill="819F7C"/>
          </w:tcPr>
          <w:p>
            <w:pPr>
              <w:spacing w:after="0"/>
              <w:rPr>
                <w:sz w:val="14"/>
                <w:szCs w:val="14"/>
                <w:color w:val="auto"/>
              </w:rPr>
            </w:pPr>
          </w:p>
        </w:tc>
        <w:tc>
          <w:tcPr>
            <w:tcW w:w="700" w:type="dxa"/>
            <w:vAlign w:val="bottom"/>
            <w:shd w:val="clear" w:color="auto" w:fill="819F7C"/>
          </w:tcPr>
          <w:p>
            <w:pPr>
              <w:spacing w:after="0"/>
              <w:rPr>
                <w:sz w:val="14"/>
                <w:szCs w:val="14"/>
                <w:color w:val="auto"/>
              </w:rPr>
            </w:pPr>
          </w:p>
        </w:tc>
        <w:tc>
          <w:tcPr>
            <w:tcW w:w="40" w:type="dxa"/>
            <w:vAlign w:val="bottom"/>
            <w:shd w:val="clear" w:color="auto" w:fill="819F7C"/>
          </w:tcPr>
          <w:p>
            <w:pPr>
              <w:spacing w:after="0"/>
              <w:rPr>
                <w:sz w:val="14"/>
                <w:szCs w:val="14"/>
                <w:color w:val="auto"/>
              </w:rPr>
            </w:pPr>
          </w:p>
        </w:tc>
        <w:tc>
          <w:tcPr>
            <w:tcW w:w="220" w:type="dxa"/>
            <w:vAlign w:val="bottom"/>
            <w:shd w:val="clear" w:color="auto" w:fill="819F7C"/>
          </w:tcPr>
          <w:p>
            <w:pPr>
              <w:spacing w:after="0"/>
              <w:rPr>
                <w:sz w:val="14"/>
                <w:szCs w:val="14"/>
                <w:color w:val="auto"/>
              </w:rPr>
            </w:pPr>
          </w:p>
        </w:tc>
        <w:tc>
          <w:tcPr>
            <w:tcW w:w="700" w:type="dxa"/>
            <w:vAlign w:val="bottom"/>
            <w:shd w:val="clear" w:color="auto" w:fill="819F7C"/>
          </w:tcPr>
          <w:p>
            <w:pPr>
              <w:spacing w:after="0"/>
              <w:rPr>
                <w:sz w:val="14"/>
                <w:szCs w:val="14"/>
                <w:color w:val="auto"/>
              </w:rPr>
            </w:pPr>
          </w:p>
        </w:tc>
        <w:tc>
          <w:tcPr>
            <w:tcW w:w="140" w:type="dxa"/>
            <w:vAlign w:val="bottom"/>
            <w:shd w:val="clear" w:color="auto" w:fill="819F7C"/>
          </w:tcPr>
          <w:p>
            <w:pPr>
              <w:spacing w:after="0"/>
              <w:rPr>
                <w:sz w:val="14"/>
                <w:szCs w:val="14"/>
                <w:color w:val="auto"/>
              </w:rPr>
            </w:pPr>
          </w:p>
        </w:tc>
        <w:tc>
          <w:tcPr>
            <w:tcW w:w="120" w:type="dxa"/>
            <w:vAlign w:val="bottom"/>
            <w:shd w:val="clear" w:color="auto" w:fill="819F7C"/>
          </w:tcPr>
          <w:p>
            <w:pPr>
              <w:spacing w:after="0"/>
              <w:rPr>
                <w:sz w:val="14"/>
                <w:szCs w:val="14"/>
                <w:color w:val="auto"/>
              </w:rPr>
            </w:pPr>
          </w:p>
        </w:tc>
        <w:tc>
          <w:tcPr>
            <w:tcW w:w="720" w:type="dxa"/>
            <w:vAlign w:val="bottom"/>
            <w:tcBorders>
              <w:right w:val="single" w:sz="8" w:color="819F7C"/>
            </w:tcBorders>
            <w:shd w:val="clear" w:color="auto" w:fill="819F7C"/>
          </w:tcPr>
          <w:p>
            <w:pPr>
              <w:spacing w:after="0"/>
              <w:rPr>
                <w:sz w:val="14"/>
                <w:szCs w:val="14"/>
                <w:color w:val="auto"/>
              </w:rPr>
            </w:pPr>
          </w:p>
        </w:tc>
        <w:tc>
          <w:tcPr>
            <w:tcW w:w="120" w:type="dxa"/>
            <w:vAlign w:val="bottom"/>
            <w:shd w:val="clear" w:color="auto" w:fill="819F7C"/>
          </w:tcPr>
          <w:p>
            <w:pPr>
              <w:spacing w:after="0"/>
              <w:rPr>
                <w:sz w:val="14"/>
                <w:szCs w:val="14"/>
                <w:color w:val="auto"/>
              </w:rPr>
            </w:pPr>
          </w:p>
        </w:tc>
        <w:tc>
          <w:tcPr>
            <w:tcW w:w="1060" w:type="dxa"/>
            <w:vAlign w:val="bottom"/>
            <w:gridSpan w:val="4"/>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Resignation</w:t>
            </w:r>
          </w:p>
        </w:tc>
        <w:tc>
          <w:tcPr>
            <w:tcW w:w="1080" w:type="dxa"/>
            <w:vAlign w:val="bottom"/>
            <w:gridSpan w:val="4"/>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Resignation</w:t>
            </w:r>
          </w:p>
        </w:tc>
        <w:tc>
          <w:tcPr>
            <w:tcW w:w="0" w:type="dxa"/>
            <w:vAlign w:val="bottom"/>
          </w:tcPr>
          <w:p>
            <w:pPr>
              <w:spacing w:after="0"/>
              <w:rPr>
                <w:sz w:val="1"/>
                <w:szCs w:val="1"/>
                <w:color w:val="auto"/>
              </w:rPr>
            </w:pPr>
          </w:p>
        </w:tc>
      </w:tr>
      <w:tr>
        <w:trPr>
          <w:trHeight w:val="162"/>
        </w:trPr>
        <w:tc>
          <w:tcPr>
            <w:tcW w:w="1120" w:type="dxa"/>
            <w:vAlign w:val="bottom"/>
            <w:shd w:val="clear" w:color="auto" w:fill="819F7C"/>
          </w:tcPr>
          <w:p>
            <w:pPr>
              <w:spacing w:after="0"/>
              <w:rPr>
                <w:sz w:val="14"/>
                <w:szCs w:val="14"/>
                <w:color w:val="auto"/>
              </w:rPr>
            </w:pPr>
          </w:p>
        </w:tc>
        <w:tc>
          <w:tcPr>
            <w:tcW w:w="2940" w:type="dxa"/>
            <w:vAlign w:val="bottom"/>
            <w:shd w:val="clear" w:color="auto" w:fill="819F7C"/>
          </w:tcPr>
          <w:p>
            <w:pPr>
              <w:spacing w:after="0"/>
              <w:rPr>
                <w:sz w:val="14"/>
                <w:szCs w:val="14"/>
                <w:color w:val="auto"/>
              </w:rPr>
            </w:pPr>
          </w:p>
        </w:tc>
        <w:tc>
          <w:tcPr>
            <w:tcW w:w="220" w:type="dxa"/>
            <w:vAlign w:val="bottom"/>
            <w:shd w:val="clear" w:color="auto" w:fill="819F7C"/>
          </w:tcPr>
          <w:p>
            <w:pPr>
              <w:spacing w:after="0"/>
              <w:rPr>
                <w:sz w:val="14"/>
                <w:szCs w:val="14"/>
                <w:color w:val="auto"/>
              </w:rPr>
            </w:pPr>
          </w:p>
        </w:tc>
        <w:tc>
          <w:tcPr>
            <w:tcW w:w="960" w:type="dxa"/>
            <w:vAlign w:val="bottom"/>
            <w:gridSpan w:val="3"/>
            <w:shd w:val="clear" w:color="auto" w:fill="819F7C"/>
          </w:tcPr>
          <w:p>
            <w:pPr>
              <w:jc w:val="right"/>
              <w:ind w:right="260"/>
              <w:spacing w:after="0"/>
              <w:rPr>
                <w:sz w:val="20"/>
                <w:szCs w:val="20"/>
                <w:color w:val="auto"/>
              </w:rPr>
            </w:pPr>
            <w:r>
              <w:rPr>
                <w:rFonts w:ascii="Arial" w:cs="Arial" w:eastAsia="Arial" w:hAnsi="Arial"/>
                <w:sz w:val="14"/>
                <w:szCs w:val="14"/>
                <w:b w:val="1"/>
                <w:bCs w:val="1"/>
                <w:color w:val="FFFFFF"/>
              </w:rPr>
              <w:t>Due to</w:t>
            </w:r>
          </w:p>
        </w:tc>
        <w:tc>
          <w:tcPr>
            <w:tcW w:w="840" w:type="dxa"/>
            <w:vAlign w:val="bottom"/>
            <w:gridSpan w:val="2"/>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Due to</w:t>
            </w:r>
          </w:p>
        </w:tc>
        <w:tc>
          <w:tcPr>
            <w:tcW w:w="120" w:type="dxa"/>
            <w:vAlign w:val="bottom"/>
            <w:shd w:val="clear" w:color="auto" w:fill="819F7C"/>
          </w:tcPr>
          <w:p>
            <w:pPr>
              <w:spacing w:after="0"/>
              <w:rPr>
                <w:sz w:val="14"/>
                <w:szCs w:val="14"/>
                <w:color w:val="auto"/>
              </w:rPr>
            </w:pPr>
          </w:p>
        </w:tc>
        <w:tc>
          <w:tcPr>
            <w:tcW w:w="840" w:type="dxa"/>
            <w:vAlign w:val="bottom"/>
            <w:gridSpan w:val="2"/>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Without</w:t>
            </w:r>
          </w:p>
        </w:tc>
        <w:tc>
          <w:tcPr>
            <w:tcW w:w="220" w:type="dxa"/>
            <w:vAlign w:val="bottom"/>
            <w:shd w:val="clear" w:color="auto" w:fill="819F7C"/>
          </w:tcPr>
          <w:p>
            <w:pPr>
              <w:spacing w:after="0"/>
              <w:rPr>
                <w:sz w:val="14"/>
                <w:szCs w:val="14"/>
                <w:color w:val="auto"/>
              </w:rPr>
            </w:pPr>
          </w:p>
        </w:tc>
        <w:tc>
          <w:tcPr>
            <w:tcW w:w="40" w:type="dxa"/>
            <w:vAlign w:val="bottom"/>
            <w:shd w:val="clear" w:color="auto" w:fill="819F7C"/>
          </w:tcPr>
          <w:p>
            <w:pPr>
              <w:spacing w:after="0"/>
              <w:rPr>
                <w:sz w:val="14"/>
                <w:szCs w:val="14"/>
                <w:color w:val="auto"/>
              </w:rPr>
            </w:pPr>
          </w:p>
        </w:tc>
        <w:tc>
          <w:tcPr>
            <w:tcW w:w="800" w:type="dxa"/>
            <w:vAlign w:val="bottom"/>
            <w:gridSpan w:val="2"/>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for Good</w:t>
            </w:r>
          </w:p>
        </w:tc>
        <w:tc>
          <w:tcPr>
            <w:tcW w:w="200" w:type="dxa"/>
            <w:vAlign w:val="bottom"/>
            <w:shd w:val="clear" w:color="auto" w:fill="819F7C"/>
          </w:tcPr>
          <w:p>
            <w:pPr>
              <w:spacing w:after="0"/>
              <w:rPr>
                <w:sz w:val="14"/>
                <w:szCs w:val="14"/>
                <w:color w:val="auto"/>
              </w:rPr>
            </w:pPr>
          </w:p>
        </w:tc>
        <w:tc>
          <w:tcPr>
            <w:tcW w:w="88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for Any</w:t>
            </w:r>
          </w:p>
        </w:tc>
        <w:tc>
          <w:tcPr>
            <w:tcW w:w="0" w:type="dxa"/>
            <w:vAlign w:val="bottom"/>
          </w:tcPr>
          <w:p>
            <w:pPr>
              <w:spacing w:after="0"/>
              <w:rPr>
                <w:sz w:val="1"/>
                <w:szCs w:val="1"/>
                <w:color w:val="auto"/>
              </w:rPr>
            </w:pPr>
          </w:p>
        </w:tc>
      </w:tr>
      <w:tr>
        <w:trPr>
          <w:trHeight w:val="162"/>
        </w:trPr>
        <w:tc>
          <w:tcPr>
            <w:tcW w:w="1120" w:type="dxa"/>
            <w:vAlign w:val="bottom"/>
            <w:shd w:val="clear" w:color="auto" w:fill="819F7C"/>
          </w:tcPr>
          <w:p>
            <w:pPr>
              <w:spacing w:after="0"/>
              <w:rPr>
                <w:sz w:val="14"/>
                <w:szCs w:val="14"/>
                <w:color w:val="auto"/>
              </w:rPr>
            </w:pPr>
          </w:p>
        </w:tc>
        <w:tc>
          <w:tcPr>
            <w:tcW w:w="2940" w:type="dxa"/>
            <w:vAlign w:val="bottom"/>
            <w:shd w:val="clear" w:color="auto" w:fill="819F7C"/>
          </w:tcPr>
          <w:p>
            <w:pPr>
              <w:spacing w:after="0"/>
              <w:rPr>
                <w:sz w:val="14"/>
                <w:szCs w:val="14"/>
                <w:color w:val="auto"/>
              </w:rPr>
            </w:pPr>
          </w:p>
        </w:tc>
        <w:tc>
          <w:tcPr>
            <w:tcW w:w="220" w:type="dxa"/>
            <w:vAlign w:val="bottom"/>
            <w:shd w:val="clear" w:color="auto" w:fill="819F7C"/>
          </w:tcPr>
          <w:p>
            <w:pPr>
              <w:spacing w:after="0"/>
              <w:rPr>
                <w:sz w:val="14"/>
                <w:szCs w:val="14"/>
                <w:color w:val="auto"/>
              </w:rPr>
            </w:pPr>
          </w:p>
        </w:tc>
        <w:tc>
          <w:tcPr>
            <w:tcW w:w="960" w:type="dxa"/>
            <w:vAlign w:val="bottom"/>
            <w:gridSpan w:val="3"/>
            <w:shd w:val="clear" w:color="auto" w:fill="819F7C"/>
          </w:tcPr>
          <w:p>
            <w:pPr>
              <w:jc w:val="right"/>
              <w:ind w:right="260"/>
              <w:spacing w:after="0"/>
              <w:rPr>
                <w:sz w:val="20"/>
                <w:szCs w:val="20"/>
                <w:color w:val="auto"/>
              </w:rPr>
            </w:pPr>
            <w:r>
              <w:rPr>
                <w:rFonts w:ascii="Arial" w:cs="Arial" w:eastAsia="Arial" w:hAnsi="Arial"/>
                <w:sz w:val="14"/>
                <w:szCs w:val="14"/>
                <w:b w:val="1"/>
                <w:bCs w:val="1"/>
                <w:color w:val="FFFFFF"/>
              </w:rPr>
              <w:t>Death</w:t>
            </w:r>
          </w:p>
        </w:tc>
        <w:tc>
          <w:tcPr>
            <w:tcW w:w="840" w:type="dxa"/>
            <w:vAlign w:val="bottom"/>
            <w:gridSpan w:val="2"/>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Disability</w:t>
            </w:r>
          </w:p>
        </w:tc>
        <w:tc>
          <w:tcPr>
            <w:tcW w:w="120" w:type="dxa"/>
            <w:vAlign w:val="bottom"/>
            <w:shd w:val="clear" w:color="auto" w:fill="819F7C"/>
          </w:tcPr>
          <w:p>
            <w:pPr>
              <w:spacing w:after="0"/>
              <w:rPr>
                <w:sz w:val="14"/>
                <w:szCs w:val="14"/>
                <w:color w:val="auto"/>
              </w:rPr>
            </w:pPr>
          </w:p>
        </w:tc>
        <w:tc>
          <w:tcPr>
            <w:tcW w:w="840" w:type="dxa"/>
            <w:vAlign w:val="bottom"/>
            <w:gridSpan w:val="2"/>
            <w:shd w:val="clear" w:color="auto" w:fill="819F7C"/>
          </w:tcPr>
          <w:p>
            <w:pPr>
              <w:jc w:val="right"/>
              <w:ind w:right="140"/>
              <w:spacing w:after="0"/>
              <w:rPr>
                <w:sz w:val="20"/>
                <w:szCs w:val="20"/>
                <w:color w:val="auto"/>
              </w:rPr>
            </w:pPr>
            <w:r>
              <w:rPr>
                <w:rFonts w:ascii="Arial" w:cs="Arial" w:eastAsia="Arial" w:hAnsi="Arial"/>
                <w:sz w:val="14"/>
                <w:szCs w:val="14"/>
                <w:b w:val="1"/>
                <w:bCs w:val="1"/>
                <w:color w:val="FFFFFF"/>
              </w:rPr>
              <w:t>Cause</w:t>
            </w:r>
          </w:p>
        </w:tc>
        <w:tc>
          <w:tcPr>
            <w:tcW w:w="220" w:type="dxa"/>
            <w:vAlign w:val="bottom"/>
            <w:shd w:val="clear" w:color="auto" w:fill="819F7C"/>
          </w:tcPr>
          <w:p>
            <w:pPr>
              <w:spacing w:after="0"/>
              <w:rPr>
                <w:sz w:val="14"/>
                <w:szCs w:val="14"/>
                <w:color w:val="auto"/>
              </w:rPr>
            </w:pPr>
          </w:p>
        </w:tc>
        <w:tc>
          <w:tcPr>
            <w:tcW w:w="40" w:type="dxa"/>
            <w:vAlign w:val="bottom"/>
            <w:shd w:val="clear" w:color="auto" w:fill="819F7C"/>
          </w:tcPr>
          <w:p>
            <w:pPr>
              <w:spacing w:after="0"/>
              <w:rPr>
                <w:sz w:val="14"/>
                <w:szCs w:val="14"/>
                <w:color w:val="auto"/>
              </w:rPr>
            </w:pPr>
          </w:p>
        </w:tc>
        <w:tc>
          <w:tcPr>
            <w:tcW w:w="800" w:type="dxa"/>
            <w:vAlign w:val="bottom"/>
            <w:gridSpan w:val="2"/>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Reason</w:t>
            </w:r>
          </w:p>
        </w:tc>
        <w:tc>
          <w:tcPr>
            <w:tcW w:w="200" w:type="dxa"/>
            <w:vAlign w:val="bottom"/>
            <w:shd w:val="clear" w:color="auto" w:fill="819F7C"/>
          </w:tcPr>
          <w:p>
            <w:pPr>
              <w:spacing w:after="0"/>
              <w:rPr>
                <w:sz w:val="14"/>
                <w:szCs w:val="14"/>
                <w:color w:val="auto"/>
              </w:rPr>
            </w:pPr>
          </w:p>
        </w:tc>
        <w:tc>
          <w:tcPr>
            <w:tcW w:w="88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12"/>
        </w:trPr>
        <w:tc>
          <w:tcPr>
            <w:tcW w:w="112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w:t>
            </w:r>
          </w:p>
        </w:tc>
        <w:tc>
          <w:tcPr>
            <w:tcW w:w="2940" w:type="dxa"/>
            <w:vAlign w:val="bottom"/>
            <w:shd w:val="clear" w:color="auto" w:fill="819F7C"/>
          </w:tcPr>
          <w:p>
            <w:pPr>
              <w:spacing w:after="0"/>
              <w:rPr>
                <w:sz w:val="20"/>
                <w:szCs w:val="20"/>
                <w:color w:val="auto"/>
              </w:rPr>
            </w:pPr>
            <w:r>
              <w:rPr>
                <w:rFonts w:ascii="Arial" w:cs="Arial" w:eastAsia="Arial" w:hAnsi="Arial"/>
                <w:sz w:val="14"/>
                <w:szCs w:val="14"/>
                <w:b w:val="1"/>
                <w:bCs w:val="1"/>
                <w:color w:val="FFFFFF"/>
              </w:rPr>
              <w:t>Type of Benefit</w:t>
            </w:r>
          </w:p>
        </w:tc>
        <w:tc>
          <w:tcPr>
            <w:tcW w:w="1180" w:type="dxa"/>
            <w:vAlign w:val="bottom"/>
            <w:gridSpan w:val="4"/>
            <w:shd w:val="clear" w:color="auto" w:fill="819F7C"/>
          </w:tcPr>
          <w:p>
            <w:pPr>
              <w:jc w:val="right"/>
              <w:ind w:right="220"/>
              <w:spacing w:after="0"/>
              <w:rPr>
                <w:sz w:val="20"/>
                <w:szCs w:val="20"/>
                <w:color w:val="auto"/>
              </w:rPr>
            </w:pPr>
            <w:r>
              <w:rPr>
                <w:rFonts w:ascii="Arial" w:cs="Arial" w:eastAsia="Arial" w:hAnsi="Arial"/>
                <w:sz w:val="14"/>
                <w:szCs w:val="14"/>
                <w:b w:val="1"/>
                <w:bCs w:val="1"/>
                <w:color w:val="FFFFFF"/>
              </w:rPr>
              <w:t>($)</w:t>
            </w:r>
          </w:p>
        </w:tc>
        <w:tc>
          <w:tcPr>
            <w:tcW w:w="840" w:type="dxa"/>
            <w:vAlign w:val="bottom"/>
            <w:gridSpan w:val="2"/>
            <w:shd w:val="clear" w:color="auto" w:fill="819F7C"/>
          </w:tcPr>
          <w:p>
            <w:pPr>
              <w:jc w:val="right"/>
              <w:ind w:right="100"/>
              <w:spacing w:after="0"/>
              <w:rPr>
                <w:sz w:val="20"/>
                <w:szCs w:val="20"/>
                <w:color w:val="auto"/>
              </w:rPr>
            </w:pPr>
            <w:r>
              <w:rPr>
                <w:rFonts w:ascii="Arial" w:cs="Arial" w:eastAsia="Arial" w:hAnsi="Arial"/>
                <w:sz w:val="14"/>
                <w:szCs w:val="14"/>
                <w:b w:val="1"/>
                <w:bCs w:val="1"/>
                <w:color w:val="FFFFFF"/>
              </w:rPr>
              <w:t>($)</w:t>
            </w:r>
          </w:p>
        </w:tc>
        <w:tc>
          <w:tcPr>
            <w:tcW w:w="960" w:type="dxa"/>
            <w:vAlign w:val="bottom"/>
            <w:gridSpan w:val="3"/>
            <w:shd w:val="clear" w:color="auto" w:fill="819F7C"/>
          </w:tcPr>
          <w:p>
            <w:pPr>
              <w:jc w:val="right"/>
              <w:ind w:right="100"/>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819F7C"/>
          </w:tcPr>
          <w:p>
            <w:pPr>
              <w:spacing w:after="0"/>
              <w:rPr>
                <w:sz w:val="18"/>
                <w:szCs w:val="18"/>
                <w:color w:val="auto"/>
              </w:rPr>
            </w:pPr>
          </w:p>
        </w:tc>
        <w:tc>
          <w:tcPr>
            <w:tcW w:w="40" w:type="dxa"/>
            <w:vAlign w:val="bottom"/>
            <w:shd w:val="clear" w:color="auto" w:fill="819F7C"/>
          </w:tcPr>
          <w:p>
            <w:pPr>
              <w:spacing w:after="0"/>
              <w:rPr>
                <w:sz w:val="18"/>
                <w:szCs w:val="18"/>
                <w:color w:val="auto"/>
              </w:rPr>
            </w:pPr>
          </w:p>
        </w:tc>
        <w:tc>
          <w:tcPr>
            <w:tcW w:w="800" w:type="dxa"/>
            <w:vAlign w:val="bottom"/>
            <w:gridSpan w:val="2"/>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w:t>
            </w:r>
          </w:p>
        </w:tc>
        <w:tc>
          <w:tcPr>
            <w:tcW w:w="1080" w:type="dxa"/>
            <w:vAlign w:val="bottom"/>
            <w:gridSpan w:val="4"/>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7"/>
        </w:trPr>
        <w:tc>
          <w:tcPr>
            <w:tcW w:w="1120" w:type="dxa"/>
            <w:vAlign w:val="bottom"/>
            <w:shd w:val="clear" w:color="auto" w:fill="E5E9E3"/>
          </w:tcPr>
          <w:p>
            <w:pPr>
              <w:ind w:left="80"/>
              <w:spacing w:after="0"/>
              <w:rPr>
                <w:sz w:val="20"/>
                <w:szCs w:val="20"/>
                <w:color w:val="auto"/>
              </w:rPr>
            </w:pPr>
            <w:r>
              <w:rPr>
                <w:rFonts w:ascii="Arial" w:cs="Arial" w:eastAsia="Arial" w:hAnsi="Arial"/>
                <w:sz w:val="14"/>
                <w:szCs w:val="14"/>
                <w:color w:val="auto"/>
              </w:rPr>
              <w:t>Mr. Grady</w:t>
            </w:r>
          </w:p>
        </w:tc>
        <w:tc>
          <w:tcPr>
            <w:tcW w:w="294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200% Annual</w:t>
            </w: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72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68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00" w:type="dxa"/>
            <w:vAlign w:val="bottom"/>
            <w:shd w:val="clear" w:color="auto" w:fill="E5E9E3"/>
          </w:tcPr>
          <w:p>
            <w:pPr>
              <w:spacing w:after="0"/>
              <w:rPr>
                <w:sz w:val="15"/>
                <w:szCs w:val="15"/>
                <w:color w:val="auto"/>
              </w:rPr>
            </w:pPr>
          </w:p>
        </w:tc>
        <w:tc>
          <w:tcPr>
            <w:tcW w:w="720" w:type="dxa"/>
            <w:vAlign w:val="bottom"/>
            <w:shd w:val="clear" w:color="auto" w:fill="E5E9E3"/>
          </w:tcPr>
          <w:p>
            <w:pPr>
              <w:spacing w:after="0"/>
              <w:rPr>
                <w:sz w:val="15"/>
                <w:szCs w:val="15"/>
                <w:color w:val="auto"/>
              </w:rPr>
            </w:pPr>
          </w:p>
        </w:tc>
        <w:tc>
          <w:tcPr>
            <w:tcW w:w="2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20" w:type="dxa"/>
            <w:vAlign w:val="bottom"/>
            <w:shd w:val="clear" w:color="auto" w:fill="E5E9E3"/>
          </w:tcPr>
          <w:p>
            <w:pPr>
              <w:spacing w:after="0"/>
              <w:rPr>
                <w:sz w:val="21"/>
                <w:szCs w:val="21"/>
                <w:color w:val="auto"/>
              </w:rPr>
            </w:pPr>
          </w:p>
        </w:tc>
        <w:tc>
          <w:tcPr>
            <w:tcW w:w="2940" w:type="dxa"/>
            <w:vAlign w:val="bottom"/>
            <w:shd w:val="clear" w:color="auto" w:fill="E5E9E3"/>
          </w:tcPr>
          <w:p>
            <w:pPr>
              <w:ind w:left="160"/>
              <w:spacing w:after="0" w:line="242" w:lineRule="exact"/>
              <w:rPr>
                <w:sz w:val="20"/>
                <w:szCs w:val="20"/>
                <w:color w:val="auto"/>
              </w:rPr>
            </w:pPr>
            <w:r>
              <w:rPr>
                <w:rFonts w:ascii="Arial" w:cs="Arial" w:eastAsia="Arial" w:hAnsi="Arial"/>
                <w:sz w:val="14"/>
                <w:szCs w:val="14"/>
                <w:color w:val="auto"/>
              </w:rPr>
              <w:t>Base Salary</w:t>
            </w:r>
            <w:r>
              <w:rPr>
                <w:rFonts w:ascii="Arial" w:cs="Arial" w:eastAsia="Arial" w:hAnsi="Arial"/>
                <w:sz w:val="23"/>
                <w:szCs w:val="23"/>
                <w:color w:val="auto"/>
                <w:vertAlign w:val="superscript"/>
              </w:rPr>
              <w:t>(1)</w:t>
            </w:r>
          </w:p>
        </w:tc>
        <w:tc>
          <w:tcPr>
            <w:tcW w:w="220" w:type="dxa"/>
            <w:vAlign w:val="bottom"/>
            <w:shd w:val="clear" w:color="auto" w:fill="E5E9E3"/>
          </w:tcPr>
          <w:p>
            <w:pPr>
              <w:spacing w:after="0"/>
              <w:rPr>
                <w:sz w:val="21"/>
                <w:szCs w:val="21"/>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shd w:val="clear" w:color="auto" w:fill="E5E9E3"/>
          </w:tcPr>
          <w:p>
            <w:pPr>
              <w:spacing w:after="0"/>
              <w:rPr>
                <w:sz w:val="21"/>
                <w:szCs w:val="21"/>
                <w:color w:val="auto"/>
              </w:rPr>
            </w:pPr>
          </w:p>
        </w:tc>
        <w:tc>
          <w:tcPr>
            <w:tcW w:w="220" w:type="dxa"/>
            <w:vAlign w:val="bottom"/>
            <w:shd w:val="clear" w:color="auto" w:fill="E5E9E3"/>
          </w:tcPr>
          <w:p>
            <w:pPr>
              <w:spacing w:after="0"/>
              <w:rPr>
                <w:sz w:val="21"/>
                <w:szCs w:val="21"/>
                <w:color w:val="auto"/>
              </w:rPr>
            </w:pPr>
          </w:p>
        </w:tc>
        <w:tc>
          <w:tcPr>
            <w:tcW w:w="40" w:type="dxa"/>
            <w:vAlign w:val="bottom"/>
            <w:shd w:val="clear" w:color="auto" w:fill="E5E9E3"/>
          </w:tcPr>
          <w:p>
            <w:pPr>
              <w:spacing w:after="0"/>
              <w:rPr>
                <w:sz w:val="21"/>
                <w:szCs w:val="21"/>
                <w:color w:val="auto"/>
              </w:rPr>
            </w:pP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shd w:val="clear" w:color="auto" w:fill="E5E9E3"/>
          </w:tcPr>
          <w:p>
            <w:pPr>
              <w:spacing w:after="0"/>
              <w:rPr>
                <w:sz w:val="21"/>
                <w:szCs w:val="21"/>
                <w:color w:val="auto"/>
              </w:rPr>
            </w:pPr>
          </w:p>
        </w:tc>
        <w:tc>
          <w:tcPr>
            <w:tcW w:w="200" w:type="dxa"/>
            <w:vAlign w:val="bottom"/>
            <w:shd w:val="clear" w:color="auto" w:fill="E5E9E3"/>
          </w:tcPr>
          <w:p>
            <w:pPr>
              <w:spacing w:after="0"/>
              <w:rPr>
                <w:sz w:val="21"/>
                <w:szCs w:val="21"/>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E5E9E3"/>
          </w:tcPr>
          <w:p>
            <w:pPr>
              <w:spacing w:after="0"/>
              <w:rPr>
                <w:sz w:val="15"/>
                <w:szCs w:val="15"/>
                <w:color w:val="auto"/>
              </w:rPr>
            </w:pPr>
          </w:p>
        </w:tc>
        <w:tc>
          <w:tcPr>
            <w:tcW w:w="294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Cash Incentive</w:t>
            </w: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72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68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00" w:type="dxa"/>
            <w:vAlign w:val="bottom"/>
            <w:shd w:val="clear" w:color="auto" w:fill="E5E9E3"/>
          </w:tcPr>
          <w:p>
            <w:pPr>
              <w:spacing w:after="0"/>
              <w:rPr>
                <w:sz w:val="15"/>
                <w:szCs w:val="15"/>
                <w:color w:val="auto"/>
              </w:rPr>
            </w:pPr>
          </w:p>
        </w:tc>
        <w:tc>
          <w:tcPr>
            <w:tcW w:w="720" w:type="dxa"/>
            <w:vAlign w:val="bottom"/>
            <w:shd w:val="clear" w:color="auto" w:fill="E5E9E3"/>
          </w:tcPr>
          <w:p>
            <w:pPr>
              <w:spacing w:after="0"/>
              <w:rPr>
                <w:sz w:val="15"/>
                <w:szCs w:val="15"/>
                <w:color w:val="auto"/>
              </w:rPr>
            </w:pPr>
          </w:p>
        </w:tc>
        <w:tc>
          <w:tcPr>
            <w:tcW w:w="2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20" w:type="dxa"/>
            <w:vAlign w:val="bottom"/>
            <w:shd w:val="clear" w:color="auto" w:fill="E5E9E3"/>
          </w:tcPr>
          <w:p>
            <w:pPr>
              <w:spacing w:after="0"/>
              <w:rPr>
                <w:sz w:val="21"/>
                <w:szCs w:val="21"/>
                <w:color w:val="auto"/>
              </w:rPr>
            </w:pPr>
          </w:p>
        </w:tc>
        <w:tc>
          <w:tcPr>
            <w:tcW w:w="2940" w:type="dxa"/>
            <w:vAlign w:val="bottom"/>
            <w:shd w:val="clear" w:color="auto" w:fill="E5E9E3"/>
          </w:tcPr>
          <w:p>
            <w:pPr>
              <w:ind w:left="160"/>
              <w:spacing w:after="0" w:line="242" w:lineRule="exact"/>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220" w:type="dxa"/>
            <w:vAlign w:val="bottom"/>
            <w:shd w:val="clear" w:color="auto" w:fill="E5E9E3"/>
          </w:tcPr>
          <w:p>
            <w:pPr>
              <w:spacing w:after="0"/>
              <w:rPr>
                <w:sz w:val="21"/>
                <w:szCs w:val="21"/>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1,944,313</w:t>
            </w:r>
          </w:p>
        </w:tc>
        <w:tc>
          <w:tcPr>
            <w:tcW w:w="120" w:type="dxa"/>
            <w:vAlign w:val="bottom"/>
            <w:shd w:val="clear" w:color="auto" w:fill="E5E9E3"/>
          </w:tcPr>
          <w:p>
            <w:pPr>
              <w:spacing w:after="0"/>
              <w:rPr>
                <w:sz w:val="21"/>
                <w:szCs w:val="21"/>
                <w:color w:val="auto"/>
              </w:rPr>
            </w:pPr>
          </w:p>
        </w:tc>
        <w:tc>
          <w:tcPr>
            <w:tcW w:w="220" w:type="dxa"/>
            <w:vAlign w:val="bottom"/>
            <w:shd w:val="clear" w:color="auto" w:fill="E5E9E3"/>
          </w:tcPr>
          <w:p>
            <w:pPr>
              <w:spacing w:after="0"/>
              <w:rPr>
                <w:sz w:val="21"/>
                <w:szCs w:val="21"/>
                <w:color w:val="auto"/>
              </w:rPr>
            </w:pPr>
          </w:p>
        </w:tc>
        <w:tc>
          <w:tcPr>
            <w:tcW w:w="40" w:type="dxa"/>
            <w:vAlign w:val="bottom"/>
            <w:shd w:val="clear" w:color="auto" w:fill="E5E9E3"/>
          </w:tcPr>
          <w:p>
            <w:pPr>
              <w:spacing w:after="0"/>
              <w:rPr>
                <w:sz w:val="21"/>
                <w:szCs w:val="21"/>
                <w:color w:val="auto"/>
              </w:rPr>
            </w:pP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1,944,313</w:t>
            </w:r>
          </w:p>
        </w:tc>
        <w:tc>
          <w:tcPr>
            <w:tcW w:w="120" w:type="dxa"/>
            <w:vAlign w:val="bottom"/>
            <w:shd w:val="clear" w:color="auto" w:fill="E5E9E3"/>
          </w:tcPr>
          <w:p>
            <w:pPr>
              <w:spacing w:after="0"/>
              <w:rPr>
                <w:sz w:val="21"/>
                <w:szCs w:val="21"/>
                <w:color w:val="auto"/>
              </w:rPr>
            </w:pPr>
          </w:p>
        </w:tc>
        <w:tc>
          <w:tcPr>
            <w:tcW w:w="200" w:type="dxa"/>
            <w:vAlign w:val="bottom"/>
            <w:shd w:val="clear" w:color="auto" w:fill="E5E9E3"/>
          </w:tcPr>
          <w:p>
            <w:pPr>
              <w:spacing w:after="0"/>
              <w:rPr>
                <w:sz w:val="21"/>
                <w:szCs w:val="21"/>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E5E9E3"/>
          </w:tcPr>
          <w:p>
            <w:pPr>
              <w:spacing w:after="0"/>
              <w:rPr>
                <w:sz w:val="15"/>
                <w:szCs w:val="15"/>
                <w:color w:val="auto"/>
              </w:rPr>
            </w:pPr>
          </w:p>
        </w:tc>
        <w:tc>
          <w:tcPr>
            <w:tcW w:w="294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200% Cash</w:t>
            </w: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72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68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00" w:type="dxa"/>
            <w:vAlign w:val="bottom"/>
            <w:shd w:val="clear" w:color="auto" w:fill="E5E9E3"/>
          </w:tcPr>
          <w:p>
            <w:pPr>
              <w:spacing w:after="0"/>
              <w:rPr>
                <w:sz w:val="15"/>
                <w:szCs w:val="15"/>
                <w:color w:val="auto"/>
              </w:rPr>
            </w:pPr>
          </w:p>
        </w:tc>
        <w:tc>
          <w:tcPr>
            <w:tcW w:w="720" w:type="dxa"/>
            <w:vAlign w:val="bottom"/>
            <w:shd w:val="clear" w:color="auto" w:fill="E5E9E3"/>
          </w:tcPr>
          <w:p>
            <w:pPr>
              <w:spacing w:after="0"/>
              <w:rPr>
                <w:sz w:val="15"/>
                <w:szCs w:val="15"/>
                <w:color w:val="auto"/>
              </w:rPr>
            </w:pPr>
          </w:p>
        </w:tc>
        <w:tc>
          <w:tcPr>
            <w:tcW w:w="2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20" w:type="dxa"/>
            <w:vAlign w:val="bottom"/>
            <w:shd w:val="clear" w:color="auto" w:fill="E5E9E3"/>
          </w:tcPr>
          <w:p>
            <w:pPr>
              <w:spacing w:after="0"/>
              <w:rPr>
                <w:sz w:val="21"/>
                <w:szCs w:val="21"/>
                <w:color w:val="auto"/>
              </w:rPr>
            </w:pPr>
          </w:p>
        </w:tc>
        <w:tc>
          <w:tcPr>
            <w:tcW w:w="2940" w:type="dxa"/>
            <w:vAlign w:val="bottom"/>
            <w:shd w:val="clear" w:color="auto" w:fill="E5E9E3"/>
          </w:tcPr>
          <w:p>
            <w:pPr>
              <w:ind w:left="160"/>
              <w:spacing w:after="0" w:line="242" w:lineRule="exact"/>
              <w:rPr>
                <w:sz w:val="20"/>
                <w:szCs w:val="20"/>
                <w:color w:val="auto"/>
              </w:rPr>
            </w:pPr>
            <w:r>
              <w:rPr>
                <w:rFonts w:ascii="Arial" w:cs="Arial" w:eastAsia="Arial" w:hAnsi="Arial"/>
                <w:sz w:val="14"/>
                <w:szCs w:val="14"/>
                <w:color w:val="auto"/>
              </w:rPr>
              <w:t>Incentive Target Bonus Opportunity</w:t>
            </w:r>
            <w:r>
              <w:rPr>
                <w:rFonts w:ascii="Arial" w:cs="Arial" w:eastAsia="Arial" w:hAnsi="Arial"/>
                <w:sz w:val="23"/>
                <w:szCs w:val="23"/>
                <w:color w:val="auto"/>
                <w:vertAlign w:val="superscript"/>
              </w:rPr>
              <w:t>(3)</w:t>
            </w:r>
          </w:p>
        </w:tc>
        <w:tc>
          <w:tcPr>
            <w:tcW w:w="220" w:type="dxa"/>
            <w:vAlign w:val="bottom"/>
            <w:shd w:val="clear" w:color="auto" w:fill="E5E9E3"/>
          </w:tcPr>
          <w:p>
            <w:pPr>
              <w:spacing w:after="0"/>
              <w:rPr>
                <w:sz w:val="21"/>
                <w:szCs w:val="21"/>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3,250,000</w:t>
            </w:r>
          </w:p>
        </w:tc>
        <w:tc>
          <w:tcPr>
            <w:tcW w:w="120" w:type="dxa"/>
            <w:vAlign w:val="bottom"/>
            <w:shd w:val="clear" w:color="auto" w:fill="E5E9E3"/>
          </w:tcPr>
          <w:p>
            <w:pPr>
              <w:spacing w:after="0"/>
              <w:rPr>
                <w:sz w:val="21"/>
                <w:szCs w:val="21"/>
                <w:color w:val="auto"/>
              </w:rPr>
            </w:pPr>
          </w:p>
        </w:tc>
        <w:tc>
          <w:tcPr>
            <w:tcW w:w="220" w:type="dxa"/>
            <w:vAlign w:val="bottom"/>
            <w:shd w:val="clear" w:color="auto" w:fill="E5E9E3"/>
          </w:tcPr>
          <w:p>
            <w:pPr>
              <w:spacing w:after="0"/>
              <w:rPr>
                <w:sz w:val="21"/>
                <w:szCs w:val="21"/>
                <w:color w:val="auto"/>
              </w:rPr>
            </w:pPr>
          </w:p>
        </w:tc>
        <w:tc>
          <w:tcPr>
            <w:tcW w:w="40" w:type="dxa"/>
            <w:vAlign w:val="bottom"/>
            <w:shd w:val="clear" w:color="auto" w:fill="E5E9E3"/>
          </w:tcPr>
          <w:p>
            <w:pPr>
              <w:spacing w:after="0"/>
              <w:rPr>
                <w:sz w:val="21"/>
                <w:szCs w:val="21"/>
                <w:color w:val="auto"/>
              </w:rPr>
            </w:pP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3,250,000</w:t>
            </w:r>
          </w:p>
        </w:tc>
        <w:tc>
          <w:tcPr>
            <w:tcW w:w="120" w:type="dxa"/>
            <w:vAlign w:val="bottom"/>
            <w:shd w:val="clear" w:color="auto" w:fill="E5E9E3"/>
          </w:tcPr>
          <w:p>
            <w:pPr>
              <w:spacing w:after="0"/>
              <w:rPr>
                <w:sz w:val="21"/>
                <w:szCs w:val="21"/>
                <w:color w:val="auto"/>
              </w:rPr>
            </w:pPr>
          </w:p>
        </w:tc>
        <w:tc>
          <w:tcPr>
            <w:tcW w:w="200" w:type="dxa"/>
            <w:vAlign w:val="bottom"/>
            <w:shd w:val="clear" w:color="auto" w:fill="E5E9E3"/>
          </w:tcPr>
          <w:p>
            <w:pPr>
              <w:spacing w:after="0"/>
              <w:rPr>
                <w:sz w:val="21"/>
                <w:szCs w:val="21"/>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1120" w:type="dxa"/>
            <w:vAlign w:val="bottom"/>
            <w:shd w:val="clear" w:color="auto" w:fill="E5E9E3"/>
          </w:tcPr>
          <w:p>
            <w:pPr>
              <w:spacing w:after="0"/>
              <w:rPr>
                <w:sz w:val="22"/>
                <w:szCs w:val="22"/>
                <w:color w:val="auto"/>
              </w:rPr>
            </w:pPr>
          </w:p>
        </w:tc>
        <w:tc>
          <w:tcPr>
            <w:tcW w:w="2940" w:type="dxa"/>
            <w:vAlign w:val="bottom"/>
            <w:shd w:val="clear" w:color="auto" w:fill="E5E9E3"/>
          </w:tcPr>
          <w:p>
            <w:pPr>
              <w:spacing w:after="0" w:line="256" w:lineRule="exact"/>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(4)</w:t>
            </w:r>
          </w:p>
        </w:tc>
        <w:tc>
          <w:tcPr>
            <w:tcW w:w="220" w:type="dxa"/>
            <w:vAlign w:val="bottom"/>
            <w:shd w:val="clear" w:color="auto" w:fill="E5E9E3"/>
          </w:tcPr>
          <w:p>
            <w:pPr>
              <w:spacing w:after="0"/>
              <w:rPr>
                <w:sz w:val="22"/>
                <w:szCs w:val="22"/>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122,328</w:t>
            </w:r>
          </w:p>
        </w:tc>
        <w:tc>
          <w:tcPr>
            <w:tcW w:w="120" w:type="dxa"/>
            <w:vAlign w:val="bottom"/>
            <w:shd w:val="clear" w:color="auto" w:fill="E5E9E3"/>
          </w:tcPr>
          <w:p>
            <w:pPr>
              <w:spacing w:after="0"/>
              <w:rPr>
                <w:sz w:val="22"/>
                <w:szCs w:val="22"/>
                <w:color w:val="auto"/>
              </w:rPr>
            </w:pPr>
          </w:p>
        </w:tc>
        <w:tc>
          <w:tcPr>
            <w:tcW w:w="260" w:type="dxa"/>
            <w:vAlign w:val="bottom"/>
            <w:gridSpan w:val="2"/>
            <w:shd w:val="clear" w:color="auto" w:fill="E5E9E3"/>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122,328</w:t>
            </w:r>
          </w:p>
        </w:tc>
        <w:tc>
          <w:tcPr>
            <w:tcW w:w="120" w:type="dxa"/>
            <w:vAlign w:val="bottom"/>
            <w:shd w:val="clear" w:color="auto" w:fill="E5E9E3"/>
          </w:tcPr>
          <w:p>
            <w:pPr>
              <w:spacing w:after="0"/>
              <w:rPr>
                <w:sz w:val="22"/>
                <w:szCs w:val="22"/>
                <w:color w:val="auto"/>
              </w:rPr>
            </w:pPr>
          </w:p>
        </w:tc>
        <w:tc>
          <w:tcPr>
            <w:tcW w:w="200" w:type="dxa"/>
            <w:vAlign w:val="bottom"/>
            <w:shd w:val="clear" w:color="auto" w:fill="E5E9E3"/>
          </w:tcPr>
          <w:p>
            <w:pPr>
              <w:spacing w:after="0"/>
              <w:rPr>
                <w:sz w:val="22"/>
                <w:szCs w:val="22"/>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8"/>
        </w:trPr>
        <w:tc>
          <w:tcPr>
            <w:tcW w:w="1120" w:type="dxa"/>
            <w:vAlign w:val="bottom"/>
            <w:tcBorders>
              <w:bottom w:val="single" w:sz="8" w:color="E5E9E3"/>
            </w:tcBorders>
            <w:shd w:val="clear" w:color="auto" w:fill="E5E9E3"/>
          </w:tcPr>
          <w:p>
            <w:pPr>
              <w:spacing w:after="0"/>
              <w:rPr>
                <w:sz w:val="24"/>
                <w:szCs w:val="24"/>
                <w:color w:val="auto"/>
              </w:rPr>
            </w:pPr>
          </w:p>
        </w:tc>
        <w:tc>
          <w:tcPr>
            <w:tcW w:w="2940" w:type="dxa"/>
            <w:vAlign w:val="bottom"/>
            <w:tcBorders>
              <w:bottom w:val="single" w:sz="8" w:color="E5E9E3"/>
            </w:tcBorders>
            <w:shd w:val="clear" w:color="auto" w:fill="E5E9E3"/>
          </w:tcPr>
          <w:p>
            <w:pPr>
              <w:spacing w:after="0" w:line="256" w:lineRule="exact"/>
              <w:rPr>
                <w:sz w:val="20"/>
                <w:szCs w:val="20"/>
                <w:color w:val="auto"/>
              </w:rPr>
            </w:pPr>
            <w:r>
              <w:rPr>
                <w:rFonts w:ascii="Arial" w:cs="Arial" w:eastAsia="Arial" w:hAnsi="Arial"/>
                <w:sz w:val="14"/>
                <w:szCs w:val="14"/>
                <w:color w:val="auto"/>
              </w:rPr>
              <w:t>Equity Award Vesting Acceleration</w:t>
            </w:r>
            <w:r>
              <w:rPr>
                <w:rFonts w:ascii="Arial" w:cs="Arial" w:eastAsia="Arial" w:hAnsi="Arial"/>
                <w:sz w:val="23"/>
                <w:szCs w:val="23"/>
                <w:color w:val="auto"/>
                <w:vertAlign w:val="superscript"/>
              </w:rPr>
              <w:t>(5)</w:t>
            </w:r>
          </w:p>
        </w:tc>
        <w:tc>
          <w:tcPr>
            <w:tcW w:w="220" w:type="dxa"/>
            <w:vAlign w:val="bottom"/>
            <w:tcBorders>
              <w:bottom w:val="single" w:sz="8" w:color="E5E9E3"/>
            </w:tcBorders>
            <w:shd w:val="clear" w:color="auto" w:fill="E5E9E3"/>
          </w:tcPr>
          <w:p>
            <w:pPr>
              <w:spacing w:after="0"/>
              <w:rPr>
                <w:sz w:val="24"/>
                <w:szCs w:val="24"/>
                <w:color w:val="auto"/>
              </w:rPr>
            </w:pPr>
          </w:p>
        </w:tc>
        <w:tc>
          <w:tcPr>
            <w:tcW w:w="740" w:type="dxa"/>
            <w:vAlign w:val="bottom"/>
            <w:tcBorders>
              <w:bottom w:val="single" w:sz="8" w:color="E5E9E3"/>
            </w:tcBorders>
            <w:gridSpan w:val="2"/>
            <w:shd w:val="clear" w:color="auto" w:fill="E5E9E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5E9E3"/>
            </w:tcBorders>
            <w:shd w:val="clear" w:color="auto" w:fill="E5E9E3"/>
          </w:tcPr>
          <w:p>
            <w:pPr>
              <w:spacing w:after="0"/>
              <w:rPr>
                <w:sz w:val="24"/>
                <w:szCs w:val="24"/>
                <w:color w:val="auto"/>
              </w:rPr>
            </w:pPr>
          </w:p>
        </w:tc>
        <w:tc>
          <w:tcPr>
            <w:tcW w:w="840" w:type="dxa"/>
            <w:vAlign w:val="bottom"/>
            <w:tcBorders>
              <w:bottom w:val="single" w:sz="8" w:color="E5E9E3"/>
            </w:tcBorders>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5E9E3"/>
            </w:tcBorders>
            <w:gridSpan w:val="3"/>
            <w:shd w:val="clear" w:color="auto" w:fill="E5E9E3"/>
          </w:tcPr>
          <w:p>
            <w:pPr>
              <w:jc w:val="right"/>
              <w:ind w:right="120"/>
              <w:spacing w:after="0"/>
              <w:rPr>
                <w:sz w:val="20"/>
                <w:szCs w:val="20"/>
                <w:color w:val="auto"/>
              </w:rPr>
            </w:pPr>
            <w:r>
              <w:rPr>
                <w:rFonts w:ascii="Arial" w:cs="Arial" w:eastAsia="Arial" w:hAnsi="Arial"/>
                <w:sz w:val="14"/>
                <w:szCs w:val="14"/>
                <w:color w:val="auto"/>
              </w:rPr>
              <w:t>27,859,060</w:t>
            </w:r>
          </w:p>
        </w:tc>
        <w:tc>
          <w:tcPr>
            <w:tcW w:w="940" w:type="dxa"/>
            <w:vAlign w:val="bottom"/>
            <w:tcBorders>
              <w:bottom w:val="single" w:sz="8" w:color="E5E9E3"/>
              <w:right w:val="single" w:sz="8" w:color="E5E9E3"/>
            </w:tcBorders>
            <w:gridSpan w:val="3"/>
            <w:shd w:val="clear" w:color="auto" w:fill="E5E9E3"/>
          </w:tcPr>
          <w:p>
            <w:pPr>
              <w:ind w:left="220"/>
              <w:spacing w:after="0"/>
              <w:rPr>
                <w:sz w:val="20"/>
                <w:szCs w:val="20"/>
                <w:color w:val="auto"/>
              </w:rPr>
            </w:pPr>
            <w:r>
              <w:rPr>
                <w:rFonts w:ascii="Arial" w:cs="Arial" w:eastAsia="Arial" w:hAnsi="Arial"/>
                <w:sz w:val="14"/>
                <w:szCs w:val="14"/>
                <w:color w:val="auto"/>
                <w:w w:val="96"/>
              </w:rPr>
              <w:t>27,859,060</w:t>
            </w:r>
          </w:p>
        </w:tc>
        <w:tc>
          <w:tcPr>
            <w:tcW w:w="120" w:type="dxa"/>
            <w:vAlign w:val="bottom"/>
            <w:tcBorders>
              <w:bottom w:val="single" w:sz="8" w:color="E5E9E3"/>
            </w:tcBorders>
            <w:shd w:val="clear" w:color="auto" w:fill="E5E9E3"/>
          </w:tcPr>
          <w:p>
            <w:pPr>
              <w:spacing w:after="0"/>
              <w:rPr>
                <w:sz w:val="24"/>
                <w:szCs w:val="24"/>
                <w:color w:val="auto"/>
              </w:rPr>
            </w:pPr>
          </w:p>
        </w:tc>
        <w:tc>
          <w:tcPr>
            <w:tcW w:w="200" w:type="dxa"/>
            <w:vAlign w:val="bottom"/>
            <w:tcBorders>
              <w:bottom w:val="single" w:sz="8" w:color="E5E9E3"/>
            </w:tcBorders>
            <w:shd w:val="clear" w:color="auto" w:fill="E5E9E3"/>
          </w:tcPr>
          <w:p>
            <w:pPr>
              <w:spacing w:after="0"/>
              <w:rPr>
                <w:sz w:val="24"/>
                <w:szCs w:val="24"/>
                <w:color w:val="auto"/>
              </w:rPr>
            </w:pPr>
          </w:p>
        </w:tc>
        <w:tc>
          <w:tcPr>
            <w:tcW w:w="880" w:type="dxa"/>
            <w:vAlign w:val="bottom"/>
            <w:tcBorders>
              <w:bottom w:val="single" w:sz="8" w:color="E5E9E3"/>
            </w:tcBorders>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20" w:type="dxa"/>
            <w:vAlign w:val="bottom"/>
            <w:tcBorders>
              <w:top w:val="single" w:sz="8" w:color="E5E9E3"/>
            </w:tcBorders>
            <w:shd w:val="clear" w:color="auto" w:fill="E5E9E3"/>
          </w:tcPr>
          <w:p>
            <w:pPr>
              <w:spacing w:after="0"/>
              <w:rPr>
                <w:sz w:val="17"/>
                <w:szCs w:val="17"/>
                <w:color w:val="auto"/>
              </w:rPr>
            </w:pPr>
          </w:p>
        </w:tc>
        <w:tc>
          <w:tcPr>
            <w:tcW w:w="2940" w:type="dxa"/>
            <w:vAlign w:val="bottom"/>
            <w:tcBorders>
              <w:top w:val="single" w:sz="8" w:color="E5E9E3"/>
            </w:tcBorders>
            <w:shd w:val="clear" w:color="auto" w:fill="E5E9E3"/>
          </w:tcPr>
          <w:p>
            <w:pPr>
              <w:ind w:left="160"/>
              <w:spacing w:after="0"/>
              <w:rPr>
                <w:sz w:val="20"/>
                <w:szCs w:val="20"/>
                <w:color w:val="auto"/>
              </w:rPr>
            </w:pPr>
            <w:r>
              <w:rPr>
                <w:rFonts w:ascii="Arial" w:cs="Arial" w:eastAsia="Arial" w:hAnsi="Arial"/>
                <w:sz w:val="14"/>
                <w:szCs w:val="14"/>
                <w:b w:val="1"/>
                <w:bCs w:val="1"/>
                <w:color w:val="auto"/>
              </w:rPr>
              <w:t>Total Value of Termination Benefits</w:t>
            </w:r>
          </w:p>
        </w:tc>
        <w:tc>
          <w:tcPr>
            <w:tcW w:w="220" w:type="dxa"/>
            <w:vAlign w:val="bottom"/>
            <w:tcBorders>
              <w:top w:val="single" w:sz="8" w:color="E5E9E3"/>
            </w:tcBorders>
            <w:shd w:val="clear" w:color="auto" w:fill="E5E9E3"/>
          </w:tcPr>
          <w:p>
            <w:pPr>
              <w:spacing w:after="0"/>
              <w:rPr>
                <w:sz w:val="17"/>
                <w:szCs w:val="17"/>
                <w:color w:val="auto"/>
              </w:rPr>
            </w:pPr>
          </w:p>
        </w:tc>
        <w:tc>
          <w:tcPr>
            <w:tcW w:w="7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E5E9E3"/>
            </w:tcBorders>
            <w:shd w:val="clear" w:color="auto" w:fill="E5E9E3"/>
          </w:tcPr>
          <w:p>
            <w:pPr>
              <w:spacing w:after="0"/>
              <w:rPr>
                <w:sz w:val="17"/>
                <w:szCs w:val="17"/>
                <w:color w:val="auto"/>
              </w:rPr>
            </w:pPr>
          </w:p>
        </w:tc>
        <w:tc>
          <w:tcPr>
            <w:tcW w:w="220" w:type="dxa"/>
            <w:vAlign w:val="bottom"/>
            <w:tcBorders>
              <w:top w:val="single" w:sz="8" w:color="E5E9E3"/>
            </w:tcBorders>
            <w:shd w:val="clear" w:color="auto" w:fill="E5E9E3"/>
          </w:tcPr>
          <w:p>
            <w:pPr>
              <w:spacing w:after="0"/>
              <w:rPr>
                <w:sz w:val="17"/>
                <w:szCs w:val="17"/>
                <w:color w:val="auto"/>
              </w:rPr>
            </w:pPr>
          </w:p>
        </w:tc>
        <w:tc>
          <w:tcPr>
            <w:tcW w:w="7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E5E9E3"/>
            </w:tcBorders>
            <w:shd w:val="clear" w:color="auto" w:fill="E5E9E3"/>
          </w:tcPr>
          <w:p>
            <w:pPr>
              <w:spacing w:after="0"/>
              <w:rPr>
                <w:sz w:val="17"/>
                <w:szCs w:val="17"/>
                <w:color w:val="auto"/>
              </w:rPr>
            </w:pPr>
          </w:p>
        </w:tc>
        <w:tc>
          <w:tcPr>
            <w:tcW w:w="120" w:type="dxa"/>
            <w:vAlign w:val="bottom"/>
            <w:tcBorders>
              <w:top w:val="single" w:sz="8" w:color="E5E9E3"/>
            </w:tcBorders>
            <w:shd w:val="clear" w:color="auto" w:fill="E5E9E3"/>
          </w:tcPr>
          <w:p>
            <w:pPr>
              <w:spacing w:after="0"/>
              <w:rPr>
                <w:sz w:val="17"/>
                <w:szCs w:val="17"/>
                <w:color w:val="auto"/>
              </w:rPr>
            </w:pPr>
          </w:p>
        </w:tc>
        <w:tc>
          <w:tcPr>
            <w:tcW w:w="720" w:type="dxa"/>
            <w:vAlign w:val="bottom"/>
            <w:tcBorders>
              <w:top w:val="single" w:sz="8" w:color="auto"/>
              <w:right w:val="single" w:sz="8" w:color="E5E9E3"/>
            </w:tcBorders>
            <w:shd w:val="clear" w:color="auto" w:fill="E5E9E3"/>
          </w:tcPr>
          <w:p>
            <w:pPr>
              <w:jc w:val="right"/>
              <w:spacing w:after="0"/>
              <w:rPr>
                <w:sz w:val="20"/>
                <w:szCs w:val="20"/>
                <w:color w:val="auto"/>
              </w:rPr>
            </w:pPr>
            <w:r>
              <w:rPr>
                <w:rFonts w:ascii="Arial" w:cs="Arial" w:eastAsia="Arial" w:hAnsi="Arial"/>
                <w:sz w:val="14"/>
                <w:szCs w:val="14"/>
                <w:b w:val="1"/>
                <w:bCs w:val="1"/>
                <w:color w:val="auto"/>
                <w:w w:val="96"/>
              </w:rPr>
              <w:t>35,675,701</w:t>
            </w:r>
          </w:p>
        </w:tc>
        <w:tc>
          <w:tcPr>
            <w:tcW w:w="120" w:type="dxa"/>
            <w:vAlign w:val="bottom"/>
            <w:tcBorders>
              <w:top w:val="single" w:sz="8" w:color="E5E9E3"/>
            </w:tcBorders>
            <w:shd w:val="clear" w:color="auto" w:fill="E5E9E3"/>
          </w:tcPr>
          <w:p>
            <w:pPr>
              <w:spacing w:after="0"/>
              <w:rPr>
                <w:sz w:val="17"/>
                <w:szCs w:val="17"/>
                <w:color w:val="auto"/>
              </w:rPr>
            </w:pPr>
          </w:p>
        </w:tc>
        <w:tc>
          <w:tcPr>
            <w:tcW w:w="220" w:type="dxa"/>
            <w:vAlign w:val="bottom"/>
            <w:tcBorders>
              <w:top w:val="single" w:sz="8" w:color="E5E9E3"/>
            </w:tcBorders>
            <w:shd w:val="clear" w:color="auto" w:fill="E5E9E3"/>
          </w:tcPr>
          <w:p>
            <w:pPr>
              <w:spacing w:after="0"/>
              <w:rPr>
                <w:sz w:val="17"/>
                <w:szCs w:val="17"/>
                <w:color w:val="auto"/>
              </w:rPr>
            </w:pPr>
          </w:p>
        </w:tc>
        <w:tc>
          <w:tcPr>
            <w:tcW w:w="720" w:type="dxa"/>
            <w:vAlign w:val="bottom"/>
            <w:tcBorders>
              <w:top w:val="single" w:sz="8" w:color="auto"/>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b w:val="1"/>
                <w:bCs w:val="1"/>
                <w:color w:val="auto"/>
                <w:w w:val="99"/>
              </w:rPr>
              <w:t>35,675,701​</w:t>
            </w:r>
          </w:p>
        </w:tc>
        <w:tc>
          <w:tcPr>
            <w:tcW w:w="120" w:type="dxa"/>
            <w:vAlign w:val="bottom"/>
            <w:tcBorders>
              <w:top w:val="single" w:sz="8" w:color="E5E9E3"/>
            </w:tcBorders>
            <w:shd w:val="clear" w:color="auto" w:fill="E5E9E3"/>
          </w:tcPr>
          <w:p>
            <w:pPr>
              <w:spacing w:after="0"/>
              <w:rPr>
                <w:sz w:val="17"/>
                <w:szCs w:val="17"/>
                <w:color w:val="auto"/>
              </w:rPr>
            </w:pPr>
          </w:p>
        </w:tc>
        <w:tc>
          <w:tcPr>
            <w:tcW w:w="200" w:type="dxa"/>
            <w:vAlign w:val="bottom"/>
            <w:tcBorders>
              <w:top w:val="single" w:sz="8" w:color="E5E9E3"/>
            </w:tcBorders>
            <w:shd w:val="clear" w:color="auto" w:fill="E5E9E3"/>
          </w:tcPr>
          <w:p>
            <w:pPr>
              <w:spacing w:after="0"/>
              <w:rPr>
                <w:sz w:val="17"/>
                <w:szCs w:val="17"/>
                <w:color w:val="auto"/>
              </w:rPr>
            </w:pPr>
          </w:p>
        </w:tc>
        <w:tc>
          <w:tcPr>
            <w:tcW w:w="72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E5E9E3"/>
            </w:tcBorders>
            <w:shd w:val="clear" w:color="auto" w:fill="E5E9E3"/>
          </w:tcPr>
          <w:p>
            <w:pPr>
              <w:spacing w:after="0"/>
              <w:rPr>
                <w:sz w:val="17"/>
                <w:szCs w:val="17"/>
                <w:color w:val="auto"/>
              </w:rPr>
            </w:pPr>
          </w:p>
        </w:tc>
        <w:tc>
          <w:tcPr>
            <w:tcW w:w="140" w:type="dxa"/>
            <w:vAlign w:val="bottom"/>
            <w:tcBorders>
              <w:top w:val="single" w:sz="8" w:color="E5E9E3"/>
            </w:tcBorders>
            <w:shd w:val="clear" w:color="auto" w:fill="E5E9E3"/>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20" w:type="dxa"/>
            <w:vAlign w:val="bottom"/>
          </w:tcPr>
          <w:p>
            <w:pPr>
              <w:ind w:left="80"/>
              <w:spacing w:after="0"/>
              <w:rPr>
                <w:sz w:val="20"/>
                <w:szCs w:val="20"/>
                <w:color w:val="auto"/>
              </w:rPr>
            </w:pPr>
            <w:r>
              <w:rPr>
                <w:rFonts w:ascii="Arial" w:cs="Arial" w:eastAsia="Arial" w:hAnsi="Arial"/>
                <w:sz w:val="14"/>
                <w:szCs w:val="14"/>
                <w:color w:val="auto"/>
              </w:rPr>
              <w:t>Dr. Gill</w:t>
            </w:r>
          </w:p>
        </w:tc>
        <w:tc>
          <w:tcPr>
            <w:tcW w:w="2940" w:type="dxa"/>
            <w:vAlign w:val="bottom"/>
          </w:tcPr>
          <w:p>
            <w:pPr>
              <w:spacing w:after="0"/>
              <w:rPr>
                <w:sz w:val="20"/>
                <w:szCs w:val="20"/>
                <w:color w:val="auto"/>
              </w:rPr>
            </w:pPr>
            <w:r>
              <w:rPr>
                <w:rFonts w:ascii="Arial" w:cs="Arial" w:eastAsia="Arial" w:hAnsi="Arial"/>
                <w:sz w:val="14"/>
                <w:szCs w:val="14"/>
                <w:color w:val="auto"/>
              </w:rPr>
              <w:t>Cash Severance Payment – Monthly Base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120" w:type="dxa"/>
            <w:vAlign w:val="bottom"/>
          </w:tcPr>
          <w:p>
            <w:pPr>
              <w:spacing w:after="0"/>
              <w:rPr>
                <w:sz w:val="22"/>
                <w:szCs w:val="22"/>
                <w:color w:val="auto"/>
              </w:rPr>
            </w:pPr>
          </w:p>
        </w:tc>
        <w:tc>
          <w:tcPr>
            <w:tcW w:w="2940" w:type="dxa"/>
            <w:vAlign w:val="bottom"/>
          </w:tcPr>
          <w:p>
            <w:pPr>
              <w:ind w:left="160"/>
              <w:spacing w:after="0" w:line="259" w:lineRule="exact"/>
              <w:rPr>
                <w:sz w:val="20"/>
                <w:szCs w:val="20"/>
                <w:color w:val="auto"/>
              </w:rPr>
            </w:pPr>
            <w:r>
              <w:rPr>
                <w:rFonts w:ascii="Arial" w:cs="Arial" w:eastAsia="Arial" w:hAnsi="Arial"/>
                <w:sz w:val="14"/>
                <w:szCs w:val="14"/>
                <w:color w:val="auto"/>
              </w:rPr>
              <w:t>Salary x 19 Years of Employment</w:t>
            </w:r>
            <w:r>
              <w:rPr>
                <w:rFonts w:ascii="Arial" w:cs="Arial" w:eastAsia="Arial" w:hAnsi="Arial"/>
                <w:sz w:val="23"/>
                <w:szCs w:val="23"/>
                <w:color w:val="auto"/>
                <w:vertAlign w:val="superscript"/>
              </w:rPr>
              <w:t>(1)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1,678,333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1,678,333</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1,678,333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1,678,333</w:t>
            </w:r>
          </w:p>
        </w:tc>
        <w:tc>
          <w:tcPr>
            <w:tcW w:w="12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1,678,333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Cash Severance Payment – Cash Incentive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2940" w:type="dxa"/>
            <w:vAlign w:val="bottom"/>
          </w:tcPr>
          <w:p>
            <w:pPr>
              <w:ind w:left="160"/>
              <w:spacing w:after="0" w:line="256" w:lineRule="exact"/>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1,648,777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1,648,777</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1,648,777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1,648,777</w:t>
            </w:r>
          </w:p>
        </w:tc>
        <w:tc>
          <w:tcPr>
            <w:tcW w:w="12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1,648,777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940" w:type="dxa"/>
            <w:vAlign w:val="bottom"/>
          </w:tcPr>
          <w:p>
            <w:pPr>
              <w:spacing w:after="0" w:line="256" w:lineRule="exact"/>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67,536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67,536</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67,536</w:t>
            </w:r>
          </w:p>
        </w:tc>
        <w:tc>
          <w:tcPr>
            <w:tcW w:w="120" w:type="dxa"/>
            <w:vAlign w:val="bottom"/>
          </w:tcPr>
          <w:p>
            <w:pPr>
              <w:spacing w:after="0"/>
              <w:rPr>
                <w:sz w:val="22"/>
                <w:szCs w:val="22"/>
                <w:color w:val="auto"/>
              </w:rPr>
            </w:pPr>
          </w:p>
        </w:tc>
        <w:tc>
          <w:tcPr>
            <w:tcW w:w="2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67,536</w:t>
            </w:r>
          </w:p>
        </w:tc>
        <w:tc>
          <w:tcPr>
            <w:tcW w:w="120" w:type="dxa"/>
            <w:vAlign w:val="bottom"/>
          </w:tcPr>
          <w:p>
            <w:pPr>
              <w:spacing w:after="0"/>
              <w:rPr>
                <w:sz w:val="22"/>
                <w:szCs w:val="22"/>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4"/>
                <w:szCs w:val="14"/>
                <w:color w:val="auto"/>
              </w:rPr>
              <w:t>​   67,536</w:t>
            </w:r>
          </w:p>
        </w:tc>
        <w:tc>
          <w:tcPr>
            <w:tcW w:w="0" w:type="dxa"/>
            <w:vAlign w:val="bottom"/>
          </w:tcPr>
          <w:p>
            <w:pPr>
              <w:spacing w:after="0"/>
              <w:rPr>
                <w:sz w:val="1"/>
                <w:szCs w:val="1"/>
                <w:color w:val="auto"/>
              </w:rPr>
            </w:pPr>
          </w:p>
        </w:tc>
      </w:tr>
      <w:tr>
        <w:trPr>
          <w:trHeight w:val="269"/>
        </w:trPr>
        <w:tc>
          <w:tcPr>
            <w:tcW w:w="112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Equity Award Vesting Acceleration</w:t>
            </w:r>
            <w:r>
              <w:rPr>
                <w:rFonts w:ascii="Arial" w:cs="Arial" w:eastAsia="Arial" w:hAnsi="Arial"/>
                <w:sz w:val="23"/>
                <w:szCs w:val="23"/>
                <w:color w:val="auto"/>
                <w:vertAlign w:val="superscript"/>
              </w:rPr>
              <w:t>(5)</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17,724,510</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17,724,510</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17,724,510</w:t>
            </w:r>
          </w:p>
        </w:tc>
        <w:tc>
          <w:tcPr>
            <w:tcW w:w="940" w:type="dxa"/>
            <w:vAlign w:val="bottom"/>
            <w:gridSpan w:val="3"/>
          </w:tcPr>
          <w:p>
            <w:pPr>
              <w:ind w:left="220"/>
              <w:spacing w:after="0"/>
              <w:rPr>
                <w:sz w:val="20"/>
                <w:szCs w:val="20"/>
                <w:color w:val="auto"/>
              </w:rPr>
            </w:pPr>
            <w:r>
              <w:rPr>
                <w:rFonts w:ascii="Arial" w:cs="Arial" w:eastAsia="Arial" w:hAnsi="Arial"/>
                <w:sz w:val="14"/>
                <w:szCs w:val="14"/>
                <w:color w:val="auto"/>
                <w:w w:val="96"/>
              </w:rPr>
              <w:t>17,724,510</w:t>
            </w:r>
          </w:p>
        </w:tc>
        <w:tc>
          <w:tcPr>
            <w:tcW w:w="12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17,724,510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vMerge w:val="restart"/>
          </w:tcPr>
          <w:p>
            <w:pPr>
              <w:ind w:left="160"/>
              <w:spacing w:after="0" w:line="243" w:lineRule="exact"/>
              <w:rPr>
                <w:sz w:val="20"/>
                <w:szCs w:val="20"/>
                <w:color w:val="auto"/>
              </w:rPr>
            </w:pPr>
            <w:r>
              <w:rPr>
                <w:rFonts w:ascii="Arial" w:cs="Arial" w:eastAsia="Arial" w:hAnsi="Arial"/>
                <w:sz w:val="14"/>
                <w:szCs w:val="14"/>
                <w:b w:val="1"/>
                <w:bCs w:val="1"/>
                <w:color w:val="auto"/>
              </w:rPr>
              <w:t>Total Value of Termination Benefits</w:t>
            </w:r>
            <w:r>
              <w:rPr>
                <w:rFonts w:ascii="Arial" w:cs="Arial" w:eastAsia="Arial" w:hAnsi="Arial"/>
                <w:sz w:val="23"/>
                <w:szCs w:val="23"/>
                <w:color w:val="auto"/>
                <w:vertAlign w:val="superscript"/>
              </w:rPr>
              <w:t>(6)</w:t>
            </w: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21,119,156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21,119,156</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21,119,156</w:t>
            </w:r>
          </w:p>
        </w:tc>
        <w:tc>
          <w:tcPr>
            <w:tcW w:w="120" w:type="dxa"/>
            <w:vAlign w:val="bottom"/>
          </w:tcPr>
          <w:p>
            <w:pPr>
              <w:spacing w:after="0"/>
              <w:rPr>
                <w:sz w:val="19"/>
                <w:szCs w:val="19"/>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21,119,156​</w:t>
            </w:r>
          </w:p>
        </w:tc>
        <w:tc>
          <w:tcPr>
            <w:tcW w:w="10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21,119,156​</w:t>
            </w:r>
          </w:p>
        </w:tc>
        <w:tc>
          <w:tcPr>
            <w:tcW w:w="0" w:type="dxa"/>
            <w:vAlign w:val="bottom"/>
          </w:tcPr>
          <w:p>
            <w:pPr>
              <w:spacing w:after="0"/>
              <w:rPr>
                <w:sz w:val="1"/>
                <w:szCs w:val="1"/>
                <w:color w:val="auto"/>
              </w:rPr>
            </w:pPr>
          </w:p>
        </w:tc>
      </w:tr>
      <w:tr>
        <w:trPr>
          <w:trHeight w:val="177"/>
        </w:trPr>
        <w:tc>
          <w:tcPr>
            <w:tcW w:w="1120" w:type="dxa"/>
            <w:vAlign w:val="bottom"/>
            <w:shd w:val="clear" w:color="auto" w:fill="E5E9E3"/>
          </w:tcPr>
          <w:p>
            <w:pPr>
              <w:ind w:left="80"/>
              <w:spacing w:after="0"/>
              <w:rPr>
                <w:sz w:val="20"/>
                <w:szCs w:val="20"/>
                <w:color w:val="auto"/>
              </w:rPr>
            </w:pPr>
            <w:r>
              <w:rPr>
                <w:rFonts w:ascii="Arial" w:cs="Arial" w:eastAsia="Arial" w:hAnsi="Arial"/>
                <w:sz w:val="14"/>
                <w:szCs w:val="14"/>
                <w:color w:val="auto"/>
              </w:rPr>
              <w:t>Mr. Sverha</w:t>
            </w:r>
          </w:p>
        </w:tc>
        <w:tc>
          <w:tcPr>
            <w:tcW w:w="294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100% Annual</w:t>
            </w: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72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68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00" w:type="dxa"/>
            <w:vAlign w:val="bottom"/>
            <w:shd w:val="clear" w:color="auto" w:fill="E5E9E3"/>
          </w:tcPr>
          <w:p>
            <w:pPr>
              <w:spacing w:after="0"/>
              <w:rPr>
                <w:sz w:val="15"/>
                <w:szCs w:val="15"/>
                <w:color w:val="auto"/>
              </w:rPr>
            </w:pPr>
          </w:p>
        </w:tc>
        <w:tc>
          <w:tcPr>
            <w:tcW w:w="720" w:type="dxa"/>
            <w:vAlign w:val="bottom"/>
            <w:shd w:val="clear" w:color="auto" w:fill="E5E9E3"/>
          </w:tcPr>
          <w:p>
            <w:pPr>
              <w:spacing w:after="0"/>
              <w:rPr>
                <w:sz w:val="15"/>
                <w:szCs w:val="15"/>
                <w:color w:val="auto"/>
              </w:rPr>
            </w:pPr>
          </w:p>
        </w:tc>
        <w:tc>
          <w:tcPr>
            <w:tcW w:w="2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20" w:type="dxa"/>
            <w:vAlign w:val="bottom"/>
            <w:shd w:val="clear" w:color="auto" w:fill="E5E9E3"/>
          </w:tcPr>
          <w:p>
            <w:pPr>
              <w:spacing w:after="0"/>
              <w:rPr>
                <w:sz w:val="21"/>
                <w:szCs w:val="21"/>
                <w:color w:val="auto"/>
              </w:rPr>
            </w:pPr>
          </w:p>
        </w:tc>
        <w:tc>
          <w:tcPr>
            <w:tcW w:w="2940" w:type="dxa"/>
            <w:vAlign w:val="bottom"/>
            <w:shd w:val="clear" w:color="auto" w:fill="E5E9E3"/>
          </w:tcPr>
          <w:p>
            <w:pPr>
              <w:ind w:left="160"/>
              <w:spacing w:after="0" w:line="242" w:lineRule="exact"/>
              <w:rPr>
                <w:sz w:val="20"/>
                <w:szCs w:val="20"/>
                <w:color w:val="auto"/>
              </w:rPr>
            </w:pPr>
            <w:r>
              <w:rPr>
                <w:rFonts w:ascii="Arial" w:cs="Arial" w:eastAsia="Arial" w:hAnsi="Arial"/>
                <w:sz w:val="14"/>
                <w:szCs w:val="14"/>
                <w:color w:val="auto"/>
              </w:rPr>
              <w:t>Base Salary</w:t>
            </w:r>
            <w:r>
              <w:rPr>
                <w:rFonts w:ascii="Arial" w:cs="Arial" w:eastAsia="Arial" w:hAnsi="Arial"/>
                <w:sz w:val="23"/>
                <w:szCs w:val="23"/>
                <w:color w:val="auto"/>
                <w:vertAlign w:val="superscript"/>
              </w:rPr>
              <w:t>(1)</w:t>
            </w:r>
          </w:p>
        </w:tc>
        <w:tc>
          <w:tcPr>
            <w:tcW w:w="220" w:type="dxa"/>
            <w:vAlign w:val="bottom"/>
            <w:shd w:val="clear" w:color="auto" w:fill="E5E9E3"/>
          </w:tcPr>
          <w:p>
            <w:pPr>
              <w:spacing w:after="0"/>
              <w:rPr>
                <w:sz w:val="21"/>
                <w:szCs w:val="21"/>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590,000</w:t>
            </w:r>
          </w:p>
        </w:tc>
        <w:tc>
          <w:tcPr>
            <w:tcW w:w="120" w:type="dxa"/>
            <w:vAlign w:val="bottom"/>
            <w:shd w:val="clear" w:color="auto" w:fill="E5E9E3"/>
          </w:tcPr>
          <w:p>
            <w:pPr>
              <w:spacing w:after="0"/>
              <w:rPr>
                <w:sz w:val="21"/>
                <w:szCs w:val="21"/>
                <w:color w:val="auto"/>
              </w:rPr>
            </w:pPr>
          </w:p>
        </w:tc>
        <w:tc>
          <w:tcPr>
            <w:tcW w:w="220" w:type="dxa"/>
            <w:vAlign w:val="bottom"/>
            <w:shd w:val="clear" w:color="auto" w:fill="E5E9E3"/>
          </w:tcPr>
          <w:p>
            <w:pPr>
              <w:spacing w:after="0"/>
              <w:rPr>
                <w:sz w:val="21"/>
                <w:szCs w:val="21"/>
                <w:color w:val="auto"/>
              </w:rPr>
            </w:pPr>
          </w:p>
        </w:tc>
        <w:tc>
          <w:tcPr>
            <w:tcW w:w="40" w:type="dxa"/>
            <w:vAlign w:val="bottom"/>
            <w:shd w:val="clear" w:color="auto" w:fill="E5E9E3"/>
          </w:tcPr>
          <w:p>
            <w:pPr>
              <w:spacing w:after="0"/>
              <w:rPr>
                <w:sz w:val="21"/>
                <w:szCs w:val="21"/>
                <w:color w:val="auto"/>
              </w:rPr>
            </w:pP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590,000</w:t>
            </w:r>
          </w:p>
        </w:tc>
        <w:tc>
          <w:tcPr>
            <w:tcW w:w="120" w:type="dxa"/>
            <w:vAlign w:val="bottom"/>
            <w:shd w:val="clear" w:color="auto" w:fill="E5E9E3"/>
          </w:tcPr>
          <w:p>
            <w:pPr>
              <w:spacing w:after="0"/>
              <w:rPr>
                <w:sz w:val="21"/>
                <w:szCs w:val="21"/>
                <w:color w:val="auto"/>
              </w:rPr>
            </w:pPr>
          </w:p>
        </w:tc>
        <w:tc>
          <w:tcPr>
            <w:tcW w:w="200" w:type="dxa"/>
            <w:vAlign w:val="bottom"/>
            <w:shd w:val="clear" w:color="auto" w:fill="E5E9E3"/>
          </w:tcPr>
          <w:p>
            <w:pPr>
              <w:spacing w:after="0"/>
              <w:rPr>
                <w:sz w:val="21"/>
                <w:szCs w:val="21"/>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E5E9E3"/>
          </w:tcPr>
          <w:p>
            <w:pPr>
              <w:spacing w:after="0"/>
              <w:rPr>
                <w:sz w:val="15"/>
                <w:szCs w:val="15"/>
                <w:color w:val="auto"/>
              </w:rPr>
            </w:pPr>
          </w:p>
        </w:tc>
        <w:tc>
          <w:tcPr>
            <w:tcW w:w="294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Cash Incentive</w:t>
            </w: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72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68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00" w:type="dxa"/>
            <w:vAlign w:val="bottom"/>
            <w:shd w:val="clear" w:color="auto" w:fill="E5E9E3"/>
          </w:tcPr>
          <w:p>
            <w:pPr>
              <w:spacing w:after="0"/>
              <w:rPr>
                <w:sz w:val="15"/>
                <w:szCs w:val="15"/>
                <w:color w:val="auto"/>
              </w:rPr>
            </w:pPr>
          </w:p>
        </w:tc>
        <w:tc>
          <w:tcPr>
            <w:tcW w:w="720" w:type="dxa"/>
            <w:vAlign w:val="bottom"/>
            <w:shd w:val="clear" w:color="auto" w:fill="E5E9E3"/>
          </w:tcPr>
          <w:p>
            <w:pPr>
              <w:spacing w:after="0"/>
              <w:rPr>
                <w:sz w:val="15"/>
                <w:szCs w:val="15"/>
                <w:color w:val="auto"/>
              </w:rPr>
            </w:pPr>
          </w:p>
        </w:tc>
        <w:tc>
          <w:tcPr>
            <w:tcW w:w="2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20" w:type="dxa"/>
            <w:vAlign w:val="bottom"/>
            <w:shd w:val="clear" w:color="auto" w:fill="E5E9E3"/>
          </w:tcPr>
          <w:p>
            <w:pPr>
              <w:spacing w:after="0"/>
              <w:rPr>
                <w:sz w:val="21"/>
                <w:szCs w:val="21"/>
                <w:color w:val="auto"/>
              </w:rPr>
            </w:pPr>
          </w:p>
        </w:tc>
        <w:tc>
          <w:tcPr>
            <w:tcW w:w="2940" w:type="dxa"/>
            <w:vAlign w:val="bottom"/>
            <w:shd w:val="clear" w:color="auto" w:fill="E5E9E3"/>
          </w:tcPr>
          <w:p>
            <w:pPr>
              <w:ind w:left="160"/>
              <w:spacing w:after="0" w:line="242" w:lineRule="exact"/>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220" w:type="dxa"/>
            <w:vAlign w:val="bottom"/>
            <w:shd w:val="clear" w:color="auto" w:fill="E5E9E3"/>
          </w:tcPr>
          <w:p>
            <w:pPr>
              <w:spacing w:after="0"/>
              <w:rPr>
                <w:sz w:val="21"/>
                <w:szCs w:val="21"/>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600,045</w:t>
            </w:r>
          </w:p>
        </w:tc>
        <w:tc>
          <w:tcPr>
            <w:tcW w:w="120" w:type="dxa"/>
            <w:vAlign w:val="bottom"/>
            <w:shd w:val="clear" w:color="auto" w:fill="E5E9E3"/>
          </w:tcPr>
          <w:p>
            <w:pPr>
              <w:spacing w:after="0"/>
              <w:rPr>
                <w:sz w:val="21"/>
                <w:szCs w:val="21"/>
                <w:color w:val="auto"/>
              </w:rPr>
            </w:pPr>
          </w:p>
        </w:tc>
        <w:tc>
          <w:tcPr>
            <w:tcW w:w="220" w:type="dxa"/>
            <w:vAlign w:val="bottom"/>
            <w:shd w:val="clear" w:color="auto" w:fill="E5E9E3"/>
          </w:tcPr>
          <w:p>
            <w:pPr>
              <w:spacing w:after="0"/>
              <w:rPr>
                <w:sz w:val="21"/>
                <w:szCs w:val="21"/>
                <w:color w:val="auto"/>
              </w:rPr>
            </w:pPr>
          </w:p>
        </w:tc>
        <w:tc>
          <w:tcPr>
            <w:tcW w:w="40" w:type="dxa"/>
            <w:vAlign w:val="bottom"/>
            <w:shd w:val="clear" w:color="auto" w:fill="E5E9E3"/>
          </w:tcPr>
          <w:p>
            <w:pPr>
              <w:spacing w:after="0"/>
              <w:rPr>
                <w:sz w:val="21"/>
                <w:szCs w:val="21"/>
                <w:color w:val="auto"/>
              </w:rPr>
            </w:pP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600,045</w:t>
            </w:r>
          </w:p>
        </w:tc>
        <w:tc>
          <w:tcPr>
            <w:tcW w:w="120" w:type="dxa"/>
            <w:vAlign w:val="bottom"/>
            <w:shd w:val="clear" w:color="auto" w:fill="E5E9E3"/>
          </w:tcPr>
          <w:p>
            <w:pPr>
              <w:spacing w:after="0"/>
              <w:rPr>
                <w:sz w:val="21"/>
                <w:szCs w:val="21"/>
                <w:color w:val="auto"/>
              </w:rPr>
            </w:pPr>
          </w:p>
        </w:tc>
        <w:tc>
          <w:tcPr>
            <w:tcW w:w="200" w:type="dxa"/>
            <w:vAlign w:val="bottom"/>
            <w:shd w:val="clear" w:color="auto" w:fill="E5E9E3"/>
          </w:tcPr>
          <w:p>
            <w:pPr>
              <w:spacing w:after="0"/>
              <w:rPr>
                <w:sz w:val="21"/>
                <w:szCs w:val="21"/>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120" w:type="dxa"/>
            <w:vAlign w:val="bottom"/>
            <w:shd w:val="clear" w:color="auto" w:fill="E5E9E3"/>
          </w:tcPr>
          <w:p>
            <w:pPr>
              <w:spacing w:after="0"/>
              <w:rPr>
                <w:sz w:val="15"/>
                <w:szCs w:val="15"/>
                <w:color w:val="auto"/>
              </w:rPr>
            </w:pPr>
          </w:p>
        </w:tc>
        <w:tc>
          <w:tcPr>
            <w:tcW w:w="2940" w:type="dxa"/>
            <w:vAlign w:val="bottom"/>
            <w:shd w:val="clear" w:color="auto" w:fill="E5E9E3"/>
          </w:tcPr>
          <w:p>
            <w:pPr>
              <w:spacing w:after="0"/>
              <w:rPr>
                <w:sz w:val="20"/>
                <w:szCs w:val="20"/>
                <w:color w:val="auto"/>
              </w:rPr>
            </w:pPr>
            <w:r>
              <w:rPr>
                <w:rFonts w:ascii="Arial" w:cs="Arial" w:eastAsia="Arial" w:hAnsi="Arial"/>
                <w:sz w:val="14"/>
                <w:szCs w:val="14"/>
                <w:color w:val="auto"/>
              </w:rPr>
              <w:t>Cash Severance Payment – 100% Cash</w:t>
            </w: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70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72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20" w:type="dxa"/>
            <w:vAlign w:val="bottom"/>
            <w:shd w:val="clear" w:color="auto" w:fill="E5E9E3"/>
          </w:tcPr>
          <w:p>
            <w:pPr>
              <w:spacing w:after="0"/>
              <w:rPr>
                <w:sz w:val="15"/>
                <w:szCs w:val="15"/>
                <w:color w:val="auto"/>
              </w:rPr>
            </w:pPr>
          </w:p>
        </w:tc>
        <w:tc>
          <w:tcPr>
            <w:tcW w:w="40" w:type="dxa"/>
            <w:vAlign w:val="bottom"/>
            <w:shd w:val="clear" w:color="auto" w:fill="E5E9E3"/>
          </w:tcPr>
          <w:p>
            <w:pPr>
              <w:spacing w:after="0"/>
              <w:rPr>
                <w:sz w:val="15"/>
                <w:szCs w:val="15"/>
                <w:color w:val="auto"/>
              </w:rPr>
            </w:pPr>
          </w:p>
        </w:tc>
        <w:tc>
          <w:tcPr>
            <w:tcW w:w="680" w:type="dxa"/>
            <w:vAlign w:val="bottom"/>
            <w:tcBorders>
              <w:right w:val="single" w:sz="8" w:color="E5E9E3"/>
            </w:tcBorders>
            <w:shd w:val="clear" w:color="auto" w:fill="E5E9E3"/>
          </w:tcPr>
          <w:p>
            <w:pPr>
              <w:spacing w:after="0"/>
              <w:rPr>
                <w:sz w:val="15"/>
                <w:szCs w:val="15"/>
                <w:color w:val="auto"/>
              </w:rPr>
            </w:pPr>
          </w:p>
        </w:tc>
        <w:tc>
          <w:tcPr>
            <w:tcW w:w="120" w:type="dxa"/>
            <w:vAlign w:val="bottom"/>
            <w:shd w:val="clear" w:color="auto" w:fill="E5E9E3"/>
          </w:tcPr>
          <w:p>
            <w:pPr>
              <w:spacing w:after="0"/>
              <w:rPr>
                <w:sz w:val="15"/>
                <w:szCs w:val="15"/>
                <w:color w:val="auto"/>
              </w:rPr>
            </w:pPr>
          </w:p>
        </w:tc>
        <w:tc>
          <w:tcPr>
            <w:tcW w:w="200" w:type="dxa"/>
            <w:vAlign w:val="bottom"/>
            <w:shd w:val="clear" w:color="auto" w:fill="E5E9E3"/>
          </w:tcPr>
          <w:p>
            <w:pPr>
              <w:spacing w:after="0"/>
              <w:rPr>
                <w:sz w:val="15"/>
                <w:szCs w:val="15"/>
                <w:color w:val="auto"/>
              </w:rPr>
            </w:pPr>
          </w:p>
        </w:tc>
        <w:tc>
          <w:tcPr>
            <w:tcW w:w="720" w:type="dxa"/>
            <w:vAlign w:val="bottom"/>
            <w:shd w:val="clear" w:color="auto" w:fill="E5E9E3"/>
          </w:tcPr>
          <w:p>
            <w:pPr>
              <w:spacing w:after="0"/>
              <w:rPr>
                <w:sz w:val="15"/>
                <w:szCs w:val="15"/>
                <w:color w:val="auto"/>
              </w:rPr>
            </w:pPr>
          </w:p>
        </w:tc>
        <w:tc>
          <w:tcPr>
            <w:tcW w:w="20" w:type="dxa"/>
            <w:vAlign w:val="bottom"/>
            <w:shd w:val="clear" w:color="auto" w:fill="E5E9E3"/>
          </w:tcPr>
          <w:p>
            <w:pPr>
              <w:spacing w:after="0"/>
              <w:rPr>
                <w:sz w:val="15"/>
                <w:szCs w:val="15"/>
                <w:color w:val="auto"/>
              </w:rPr>
            </w:pPr>
          </w:p>
        </w:tc>
        <w:tc>
          <w:tcPr>
            <w:tcW w:w="140" w:type="dxa"/>
            <w:vAlign w:val="bottom"/>
            <w:shd w:val="clear" w:color="auto" w:fill="E5E9E3"/>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20" w:type="dxa"/>
            <w:vAlign w:val="bottom"/>
            <w:shd w:val="clear" w:color="auto" w:fill="E5E9E3"/>
          </w:tcPr>
          <w:p>
            <w:pPr>
              <w:spacing w:after="0"/>
              <w:rPr>
                <w:sz w:val="21"/>
                <w:szCs w:val="21"/>
                <w:color w:val="auto"/>
              </w:rPr>
            </w:pPr>
          </w:p>
        </w:tc>
        <w:tc>
          <w:tcPr>
            <w:tcW w:w="2940" w:type="dxa"/>
            <w:vAlign w:val="bottom"/>
            <w:shd w:val="clear" w:color="auto" w:fill="E5E9E3"/>
          </w:tcPr>
          <w:p>
            <w:pPr>
              <w:ind w:left="160"/>
              <w:spacing w:after="0" w:line="242" w:lineRule="exact"/>
              <w:rPr>
                <w:sz w:val="20"/>
                <w:szCs w:val="20"/>
                <w:color w:val="auto"/>
              </w:rPr>
            </w:pPr>
            <w:r>
              <w:rPr>
                <w:rFonts w:ascii="Arial" w:cs="Arial" w:eastAsia="Arial" w:hAnsi="Arial"/>
                <w:sz w:val="14"/>
                <w:szCs w:val="14"/>
                <w:color w:val="auto"/>
              </w:rPr>
              <w:t>Incentive Target Bonus Opportunity</w:t>
            </w:r>
            <w:r>
              <w:rPr>
                <w:rFonts w:ascii="Arial" w:cs="Arial" w:eastAsia="Arial" w:hAnsi="Arial"/>
                <w:sz w:val="23"/>
                <w:szCs w:val="23"/>
                <w:color w:val="auto"/>
                <w:vertAlign w:val="superscript"/>
              </w:rPr>
              <w:t>(3)</w:t>
            </w:r>
          </w:p>
        </w:tc>
        <w:tc>
          <w:tcPr>
            <w:tcW w:w="220" w:type="dxa"/>
            <w:vAlign w:val="bottom"/>
            <w:shd w:val="clear" w:color="auto" w:fill="E5E9E3"/>
          </w:tcPr>
          <w:p>
            <w:pPr>
              <w:spacing w:after="0"/>
              <w:rPr>
                <w:sz w:val="21"/>
                <w:szCs w:val="21"/>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501,500</w:t>
            </w:r>
          </w:p>
        </w:tc>
        <w:tc>
          <w:tcPr>
            <w:tcW w:w="120" w:type="dxa"/>
            <w:vAlign w:val="bottom"/>
            <w:shd w:val="clear" w:color="auto" w:fill="E5E9E3"/>
          </w:tcPr>
          <w:p>
            <w:pPr>
              <w:spacing w:after="0"/>
              <w:rPr>
                <w:sz w:val="21"/>
                <w:szCs w:val="21"/>
                <w:color w:val="auto"/>
              </w:rPr>
            </w:pPr>
          </w:p>
        </w:tc>
        <w:tc>
          <w:tcPr>
            <w:tcW w:w="220" w:type="dxa"/>
            <w:vAlign w:val="bottom"/>
            <w:shd w:val="clear" w:color="auto" w:fill="E5E9E3"/>
          </w:tcPr>
          <w:p>
            <w:pPr>
              <w:spacing w:after="0"/>
              <w:rPr>
                <w:sz w:val="21"/>
                <w:szCs w:val="21"/>
                <w:color w:val="auto"/>
              </w:rPr>
            </w:pPr>
          </w:p>
        </w:tc>
        <w:tc>
          <w:tcPr>
            <w:tcW w:w="40" w:type="dxa"/>
            <w:vAlign w:val="bottom"/>
            <w:shd w:val="clear" w:color="auto" w:fill="E5E9E3"/>
          </w:tcPr>
          <w:p>
            <w:pPr>
              <w:spacing w:after="0"/>
              <w:rPr>
                <w:sz w:val="21"/>
                <w:szCs w:val="21"/>
                <w:color w:val="auto"/>
              </w:rPr>
            </w:pP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501,500</w:t>
            </w:r>
          </w:p>
        </w:tc>
        <w:tc>
          <w:tcPr>
            <w:tcW w:w="120" w:type="dxa"/>
            <w:vAlign w:val="bottom"/>
            <w:shd w:val="clear" w:color="auto" w:fill="E5E9E3"/>
          </w:tcPr>
          <w:p>
            <w:pPr>
              <w:spacing w:after="0"/>
              <w:rPr>
                <w:sz w:val="21"/>
                <w:szCs w:val="21"/>
                <w:color w:val="auto"/>
              </w:rPr>
            </w:pPr>
          </w:p>
        </w:tc>
        <w:tc>
          <w:tcPr>
            <w:tcW w:w="200" w:type="dxa"/>
            <w:vAlign w:val="bottom"/>
            <w:shd w:val="clear" w:color="auto" w:fill="E5E9E3"/>
          </w:tcPr>
          <w:p>
            <w:pPr>
              <w:spacing w:after="0"/>
              <w:rPr>
                <w:sz w:val="21"/>
                <w:szCs w:val="21"/>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120" w:type="dxa"/>
            <w:vAlign w:val="bottom"/>
            <w:shd w:val="clear" w:color="auto" w:fill="E5E9E3"/>
          </w:tcPr>
          <w:p>
            <w:pPr>
              <w:spacing w:after="0"/>
              <w:rPr>
                <w:sz w:val="22"/>
                <w:szCs w:val="22"/>
                <w:color w:val="auto"/>
              </w:rPr>
            </w:pPr>
          </w:p>
        </w:tc>
        <w:tc>
          <w:tcPr>
            <w:tcW w:w="2940" w:type="dxa"/>
            <w:vAlign w:val="bottom"/>
            <w:shd w:val="clear" w:color="auto" w:fill="E5E9E3"/>
          </w:tcPr>
          <w:p>
            <w:pPr>
              <w:spacing w:after="0" w:line="256" w:lineRule="exact"/>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(7)</w:t>
            </w:r>
          </w:p>
        </w:tc>
        <w:tc>
          <w:tcPr>
            <w:tcW w:w="220" w:type="dxa"/>
            <w:vAlign w:val="bottom"/>
            <w:shd w:val="clear" w:color="auto" w:fill="E5E9E3"/>
          </w:tcPr>
          <w:p>
            <w:pPr>
              <w:spacing w:after="0"/>
              <w:rPr>
                <w:sz w:val="22"/>
                <w:szCs w:val="22"/>
                <w:color w:val="auto"/>
              </w:rPr>
            </w:pPr>
          </w:p>
        </w:tc>
        <w:tc>
          <w:tcPr>
            <w:tcW w:w="96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74,826</w:t>
            </w:r>
          </w:p>
        </w:tc>
        <w:tc>
          <w:tcPr>
            <w:tcW w:w="120" w:type="dxa"/>
            <w:vAlign w:val="bottom"/>
            <w:shd w:val="clear" w:color="auto" w:fill="E5E9E3"/>
          </w:tcPr>
          <w:p>
            <w:pPr>
              <w:spacing w:after="0"/>
              <w:rPr>
                <w:sz w:val="22"/>
                <w:szCs w:val="22"/>
                <w:color w:val="auto"/>
              </w:rPr>
            </w:pPr>
          </w:p>
        </w:tc>
        <w:tc>
          <w:tcPr>
            <w:tcW w:w="260" w:type="dxa"/>
            <w:vAlign w:val="bottom"/>
            <w:gridSpan w:val="2"/>
            <w:shd w:val="clear" w:color="auto" w:fill="E5E9E3"/>
          </w:tcPr>
          <w:p>
            <w:pPr>
              <w:ind w:left="22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74,826</w:t>
            </w:r>
          </w:p>
        </w:tc>
        <w:tc>
          <w:tcPr>
            <w:tcW w:w="120" w:type="dxa"/>
            <w:vAlign w:val="bottom"/>
            <w:shd w:val="clear" w:color="auto" w:fill="E5E9E3"/>
          </w:tcPr>
          <w:p>
            <w:pPr>
              <w:spacing w:after="0"/>
              <w:rPr>
                <w:sz w:val="22"/>
                <w:szCs w:val="22"/>
                <w:color w:val="auto"/>
              </w:rPr>
            </w:pPr>
          </w:p>
        </w:tc>
        <w:tc>
          <w:tcPr>
            <w:tcW w:w="200" w:type="dxa"/>
            <w:vAlign w:val="bottom"/>
            <w:shd w:val="clear" w:color="auto" w:fill="E5E9E3"/>
          </w:tcPr>
          <w:p>
            <w:pPr>
              <w:spacing w:after="0"/>
              <w:rPr>
                <w:sz w:val="22"/>
                <w:szCs w:val="22"/>
                <w:color w:val="auto"/>
              </w:rPr>
            </w:pPr>
          </w:p>
        </w:tc>
        <w:tc>
          <w:tcPr>
            <w:tcW w:w="880" w:type="dxa"/>
            <w:vAlign w:val="bottom"/>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9"/>
        </w:trPr>
        <w:tc>
          <w:tcPr>
            <w:tcW w:w="1120" w:type="dxa"/>
            <w:vAlign w:val="bottom"/>
            <w:tcBorders>
              <w:bottom w:val="single" w:sz="8" w:color="E5E9E3"/>
            </w:tcBorders>
            <w:shd w:val="clear" w:color="auto" w:fill="E5E9E3"/>
          </w:tcPr>
          <w:p>
            <w:pPr>
              <w:spacing w:after="0"/>
              <w:rPr>
                <w:sz w:val="24"/>
                <w:szCs w:val="24"/>
                <w:color w:val="auto"/>
              </w:rPr>
            </w:pPr>
          </w:p>
        </w:tc>
        <w:tc>
          <w:tcPr>
            <w:tcW w:w="2940" w:type="dxa"/>
            <w:vAlign w:val="bottom"/>
            <w:tcBorders>
              <w:bottom w:val="single" w:sz="8" w:color="E5E9E3"/>
            </w:tcBorders>
            <w:shd w:val="clear" w:color="auto" w:fill="E5E9E3"/>
          </w:tcPr>
          <w:p>
            <w:pPr>
              <w:spacing w:after="0" w:line="256" w:lineRule="exact"/>
              <w:rPr>
                <w:sz w:val="20"/>
                <w:szCs w:val="20"/>
                <w:color w:val="auto"/>
              </w:rPr>
            </w:pPr>
            <w:r>
              <w:rPr>
                <w:rFonts w:ascii="Arial" w:cs="Arial" w:eastAsia="Arial" w:hAnsi="Arial"/>
                <w:sz w:val="14"/>
                <w:szCs w:val="14"/>
                <w:color w:val="auto"/>
              </w:rPr>
              <w:t>Equity Award Vesting Acceleration</w:t>
            </w:r>
            <w:r>
              <w:rPr>
                <w:rFonts w:ascii="Arial" w:cs="Arial" w:eastAsia="Arial" w:hAnsi="Arial"/>
                <w:sz w:val="23"/>
                <w:szCs w:val="23"/>
                <w:color w:val="auto"/>
                <w:vertAlign w:val="superscript"/>
              </w:rPr>
              <w:t>(5)</w:t>
            </w:r>
          </w:p>
        </w:tc>
        <w:tc>
          <w:tcPr>
            <w:tcW w:w="220" w:type="dxa"/>
            <w:vAlign w:val="bottom"/>
            <w:tcBorders>
              <w:bottom w:val="single" w:sz="8" w:color="E5E9E3"/>
            </w:tcBorders>
            <w:shd w:val="clear" w:color="auto" w:fill="E5E9E3"/>
          </w:tcPr>
          <w:p>
            <w:pPr>
              <w:spacing w:after="0"/>
              <w:rPr>
                <w:sz w:val="24"/>
                <w:szCs w:val="24"/>
                <w:color w:val="auto"/>
              </w:rPr>
            </w:pPr>
          </w:p>
        </w:tc>
        <w:tc>
          <w:tcPr>
            <w:tcW w:w="740" w:type="dxa"/>
            <w:vAlign w:val="bottom"/>
            <w:tcBorders>
              <w:bottom w:val="single" w:sz="8" w:color="E5E9E3"/>
            </w:tcBorders>
            <w:gridSpan w:val="2"/>
            <w:shd w:val="clear" w:color="auto" w:fill="E5E9E3"/>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5E9E3"/>
            </w:tcBorders>
            <w:shd w:val="clear" w:color="auto" w:fill="E5E9E3"/>
          </w:tcPr>
          <w:p>
            <w:pPr>
              <w:spacing w:after="0"/>
              <w:rPr>
                <w:sz w:val="24"/>
                <w:szCs w:val="24"/>
                <w:color w:val="auto"/>
              </w:rPr>
            </w:pPr>
          </w:p>
        </w:tc>
        <w:tc>
          <w:tcPr>
            <w:tcW w:w="840" w:type="dxa"/>
            <w:vAlign w:val="bottom"/>
            <w:tcBorders>
              <w:bottom w:val="single" w:sz="8" w:color="E5E9E3"/>
            </w:tcBorders>
            <w:gridSpan w:val="2"/>
            <w:shd w:val="clear" w:color="auto" w:fill="E5E9E3"/>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5E9E3"/>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color w:val="auto"/>
              </w:rPr>
              <w:t>9,532,857</w:t>
            </w:r>
          </w:p>
        </w:tc>
        <w:tc>
          <w:tcPr>
            <w:tcW w:w="120" w:type="dxa"/>
            <w:vAlign w:val="bottom"/>
            <w:tcBorders>
              <w:bottom w:val="single" w:sz="8" w:color="E5E9E3"/>
            </w:tcBorders>
            <w:shd w:val="clear" w:color="auto" w:fill="E5E9E3"/>
          </w:tcPr>
          <w:p>
            <w:pPr>
              <w:spacing w:after="0"/>
              <w:rPr>
                <w:sz w:val="24"/>
                <w:szCs w:val="24"/>
                <w:color w:val="auto"/>
              </w:rPr>
            </w:pPr>
          </w:p>
        </w:tc>
        <w:tc>
          <w:tcPr>
            <w:tcW w:w="220" w:type="dxa"/>
            <w:vAlign w:val="bottom"/>
            <w:tcBorders>
              <w:bottom w:val="single" w:sz="8" w:color="E5E9E3"/>
            </w:tcBorders>
            <w:shd w:val="clear" w:color="auto" w:fill="E5E9E3"/>
          </w:tcPr>
          <w:p>
            <w:pPr>
              <w:spacing w:after="0"/>
              <w:rPr>
                <w:sz w:val="24"/>
                <w:szCs w:val="24"/>
                <w:color w:val="auto"/>
              </w:rPr>
            </w:pPr>
          </w:p>
        </w:tc>
        <w:tc>
          <w:tcPr>
            <w:tcW w:w="40" w:type="dxa"/>
            <w:vAlign w:val="bottom"/>
            <w:tcBorders>
              <w:bottom w:val="single" w:sz="8" w:color="E5E9E3"/>
            </w:tcBorders>
            <w:shd w:val="clear" w:color="auto" w:fill="E5E9E3"/>
          </w:tcPr>
          <w:p>
            <w:pPr>
              <w:spacing w:after="0"/>
              <w:rPr>
                <w:sz w:val="24"/>
                <w:szCs w:val="24"/>
                <w:color w:val="auto"/>
              </w:rPr>
            </w:pPr>
          </w:p>
        </w:tc>
        <w:tc>
          <w:tcPr>
            <w:tcW w:w="680" w:type="dxa"/>
            <w:vAlign w:val="bottom"/>
            <w:tcBorders>
              <w:bottom w:val="single" w:sz="8" w:color="E5E9E3"/>
              <w:right w:val="single" w:sz="8" w:color="E5E9E3"/>
            </w:tcBorders>
            <w:shd w:val="clear" w:color="auto" w:fill="E5E9E3"/>
          </w:tcPr>
          <w:p>
            <w:pPr>
              <w:jc w:val="right"/>
              <w:spacing w:after="0"/>
              <w:rPr>
                <w:sz w:val="20"/>
                <w:szCs w:val="20"/>
                <w:color w:val="auto"/>
              </w:rPr>
            </w:pPr>
            <w:r>
              <w:rPr>
                <w:rFonts w:ascii="Arial" w:cs="Arial" w:eastAsia="Arial" w:hAnsi="Arial"/>
                <w:sz w:val="14"/>
                <w:szCs w:val="14"/>
                <w:color w:val="auto"/>
              </w:rPr>
              <w:t>9,532,857</w:t>
            </w:r>
          </w:p>
        </w:tc>
        <w:tc>
          <w:tcPr>
            <w:tcW w:w="120" w:type="dxa"/>
            <w:vAlign w:val="bottom"/>
            <w:tcBorders>
              <w:bottom w:val="single" w:sz="8" w:color="E5E9E3"/>
            </w:tcBorders>
            <w:shd w:val="clear" w:color="auto" w:fill="E5E9E3"/>
          </w:tcPr>
          <w:p>
            <w:pPr>
              <w:spacing w:after="0"/>
              <w:rPr>
                <w:sz w:val="24"/>
                <w:szCs w:val="24"/>
                <w:color w:val="auto"/>
              </w:rPr>
            </w:pPr>
          </w:p>
        </w:tc>
        <w:tc>
          <w:tcPr>
            <w:tcW w:w="200" w:type="dxa"/>
            <w:vAlign w:val="bottom"/>
            <w:tcBorders>
              <w:bottom w:val="single" w:sz="8" w:color="E5E9E3"/>
            </w:tcBorders>
            <w:shd w:val="clear" w:color="auto" w:fill="E5E9E3"/>
          </w:tcPr>
          <w:p>
            <w:pPr>
              <w:spacing w:after="0"/>
              <w:rPr>
                <w:sz w:val="24"/>
                <w:szCs w:val="24"/>
                <w:color w:val="auto"/>
              </w:rPr>
            </w:pPr>
          </w:p>
        </w:tc>
        <w:tc>
          <w:tcPr>
            <w:tcW w:w="880" w:type="dxa"/>
            <w:vAlign w:val="bottom"/>
            <w:tcBorders>
              <w:bottom w:val="single" w:sz="8" w:color="E5E9E3"/>
            </w:tcBorders>
            <w:gridSpan w:val="3"/>
            <w:shd w:val="clear" w:color="auto" w:fill="E5E9E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120" w:type="dxa"/>
            <w:vAlign w:val="bottom"/>
            <w:tcBorders>
              <w:top w:val="single" w:sz="8" w:color="E5E9E3"/>
            </w:tcBorders>
            <w:shd w:val="clear" w:color="auto" w:fill="E5E9E3"/>
          </w:tcPr>
          <w:p>
            <w:pPr>
              <w:spacing w:after="0"/>
              <w:rPr>
                <w:sz w:val="17"/>
                <w:szCs w:val="17"/>
                <w:color w:val="auto"/>
              </w:rPr>
            </w:pPr>
          </w:p>
        </w:tc>
        <w:tc>
          <w:tcPr>
            <w:tcW w:w="2940" w:type="dxa"/>
            <w:vAlign w:val="bottom"/>
            <w:tcBorders>
              <w:top w:val="single" w:sz="8" w:color="E5E9E3"/>
            </w:tcBorders>
            <w:shd w:val="clear" w:color="auto" w:fill="E5E9E3"/>
          </w:tcPr>
          <w:p>
            <w:pPr>
              <w:ind w:left="160"/>
              <w:spacing w:after="0"/>
              <w:rPr>
                <w:sz w:val="20"/>
                <w:szCs w:val="20"/>
                <w:color w:val="auto"/>
              </w:rPr>
            </w:pPr>
            <w:r>
              <w:rPr>
                <w:rFonts w:ascii="Arial" w:cs="Arial" w:eastAsia="Arial" w:hAnsi="Arial"/>
                <w:sz w:val="14"/>
                <w:szCs w:val="14"/>
                <w:b w:val="1"/>
                <w:bCs w:val="1"/>
                <w:color w:val="auto"/>
              </w:rPr>
              <w:t>Total Value of Termination Benefits</w:t>
            </w:r>
          </w:p>
        </w:tc>
        <w:tc>
          <w:tcPr>
            <w:tcW w:w="220" w:type="dxa"/>
            <w:vAlign w:val="bottom"/>
            <w:tcBorders>
              <w:top w:val="single" w:sz="8" w:color="E5E9E3"/>
            </w:tcBorders>
            <w:shd w:val="clear" w:color="auto" w:fill="E5E9E3"/>
          </w:tcPr>
          <w:p>
            <w:pPr>
              <w:spacing w:after="0"/>
              <w:rPr>
                <w:sz w:val="17"/>
                <w:szCs w:val="17"/>
                <w:color w:val="auto"/>
              </w:rPr>
            </w:pPr>
          </w:p>
        </w:tc>
        <w:tc>
          <w:tcPr>
            <w:tcW w:w="7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E5E9E3"/>
            </w:tcBorders>
            <w:shd w:val="clear" w:color="auto" w:fill="E5E9E3"/>
          </w:tcPr>
          <w:p>
            <w:pPr>
              <w:spacing w:after="0"/>
              <w:rPr>
                <w:sz w:val="17"/>
                <w:szCs w:val="17"/>
                <w:color w:val="auto"/>
              </w:rPr>
            </w:pPr>
          </w:p>
        </w:tc>
        <w:tc>
          <w:tcPr>
            <w:tcW w:w="220" w:type="dxa"/>
            <w:vAlign w:val="bottom"/>
            <w:tcBorders>
              <w:top w:val="single" w:sz="8" w:color="E5E9E3"/>
            </w:tcBorders>
            <w:shd w:val="clear" w:color="auto" w:fill="E5E9E3"/>
          </w:tcPr>
          <w:p>
            <w:pPr>
              <w:spacing w:after="0"/>
              <w:rPr>
                <w:sz w:val="17"/>
                <w:szCs w:val="17"/>
                <w:color w:val="auto"/>
              </w:rPr>
            </w:pPr>
          </w:p>
        </w:tc>
        <w:tc>
          <w:tcPr>
            <w:tcW w:w="7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E5E9E3"/>
            </w:tcBorders>
            <w:shd w:val="clear" w:color="auto" w:fill="E5E9E3"/>
          </w:tcPr>
          <w:p>
            <w:pPr>
              <w:spacing w:after="0"/>
              <w:rPr>
                <w:sz w:val="17"/>
                <w:szCs w:val="17"/>
                <w:color w:val="auto"/>
              </w:rPr>
            </w:pPr>
          </w:p>
        </w:tc>
        <w:tc>
          <w:tcPr>
            <w:tcW w:w="120" w:type="dxa"/>
            <w:vAlign w:val="bottom"/>
            <w:tcBorders>
              <w:top w:val="single" w:sz="8" w:color="E5E9E3"/>
            </w:tcBorders>
            <w:shd w:val="clear" w:color="auto" w:fill="E5E9E3"/>
          </w:tcPr>
          <w:p>
            <w:pPr>
              <w:spacing w:after="0"/>
              <w:rPr>
                <w:sz w:val="17"/>
                <w:szCs w:val="17"/>
                <w:color w:val="auto"/>
              </w:rPr>
            </w:pPr>
          </w:p>
        </w:tc>
        <w:tc>
          <w:tcPr>
            <w:tcW w:w="720" w:type="dxa"/>
            <w:vAlign w:val="bottom"/>
            <w:tcBorders>
              <w:top w:val="single" w:sz="8" w:color="auto"/>
              <w:right w:val="single" w:sz="8" w:color="E5E9E3"/>
            </w:tcBorders>
            <w:shd w:val="clear" w:color="auto" w:fill="E5E9E3"/>
          </w:tcPr>
          <w:p>
            <w:pPr>
              <w:jc w:val="right"/>
              <w:spacing w:after="0"/>
              <w:rPr>
                <w:sz w:val="20"/>
                <w:szCs w:val="20"/>
                <w:color w:val="auto"/>
              </w:rPr>
            </w:pPr>
            <w:r>
              <w:rPr>
                <w:rFonts w:ascii="Arial" w:cs="Arial" w:eastAsia="Arial" w:hAnsi="Arial"/>
                <w:sz w:val="14"/>
                <w:szCs w:val="14"/>
                <w:b w:val="1"/>
                <w:bCs w:val="1"/>
                <w:color w:val="auto"/>
                <w:w w:val="96"/>
              </w:rPr>
              <w:t>11,299,228</w:t>
            </w:r>
          </w:p>
        </w:tc>
        <w:tc>
          <w:tcPr>
            <w:tcW w:w="120" w:type="dxa"/>
            <w:vAlign w:val="bottom"/>
            <w:tcBorders>
              <w:top w:val="single" w:sz="8" w:color="E5E9E3"/>
            </w:tcBorders>
            <w:shd w:val="clear" w:color="auto" w:fill="E5E9E3"/>
          </w:tcPr>
          <w:p>
            <w:pPr>
              <w:spacing w:after="0"/>
              <w:rPr>
                <w:sz w:val="17"/>
                <w:szCs w:val="17"/>
                <w:color w:val="auto"/>
              </w:rPr>
            </w:pPr>
          </w:p>
        </w:tc>
        <w:tc>
          <w:tcPr>
            <w:tcW w:w="220" w:type="dxa"/>
            <w:vAlign w:val="bottom"/>
            <w:tcBorders>
              <w:top w:val="single" w:sz="8" w:color="E5E9E3"/>
            </w:tcBorders>
            <w:shd w:val="clear" w:color="auto" w:fill="E5E9E3"/>
          </w:tcPr>
          <w:p>
            <w:pPr>
              <w:spacing w:after="0"/>
              <w:rPr>
                <w:sz w:val="17"/>
                <w:szCs w:val="17"/>
                <w:color w:val="auto"/>
              </w:rPr>
            </w:pPr>
          </w:p>
        </w:tc>
        <w:tc>
          <w:tcPr>
            <w:tcW w:w="720" w:type="dxa"/>
            <w:vAlign w:val="bottom"/>
            <w:tcBorders>
              <w:top w:val="single" w:sz="8" w:color="auto"/>
              <w:right w:val="single" w:sz="8" w:color="E5E9E3"/>
            </w:tcBorders>
            <w:gridSpan w:val="2"/>
            <w:shd w:val="clear" w:color="auto" w:fill="E5E9E3"/>
          </w:tcPr>
          <w:p>
            <w:pPr>
              <w:jc w:val="right"/>
              <w:spacing w:after="0"/>
              <w:rPr>
                <w:sz w:val="20"/>
                <w:szCs w:val="20"/>
                <w:color w:val="auto"/>
              </w:rPr>
            </w:pPr>
            <w:r>
              <w:rPr>
                <w:rFonts w:ascii="Arial" w:cs="Arial" w:eastAsia="Arial" w:hAnsi="Arial"/>
                <w:sz w:val="14"/>
                <w:szCs w:val="14"/>
                <w:b w:val="1"/>
                <w:bCs w:val="1"/>
                <w:color w:val="auto"/>
                <w:w w:val="96"/>
              </w:rPr>
              <w:t>11,299,228​</w:t>
            </w:r>
          </w:p>
        </w:tc>
        <w:tc>
          <w:tcPr>
            <w:tcW w:w="120" w:type="dxa"/>
            <w:vAlign w:val="bottom"/>
            <w:tcBorders>
              <w:top w:val="single" w:sz="8" w:color="E5E9E3"/>
            </w:tcBorders>
            <w:shd w:val="clear" w:color="auto" w:fill="E5E9E3"/>
          </w:tcPr>
          <w:p>
            <w:pPr>
              <w:spacing w:after="0"/>
              <w:rPr>
                <w:sz w:val="17"/>
                <w:szCs w:val="17"/>
                <w:color w:val="auto"/>
              </w:rPr>
            </w:pPr>
          </w:p>
        </w:tc>
        <w:tc>
          <w:tcPr>
            <w:tcW w:w="200" w:type="dxa"/>
            <w:vAlign w:val="bottom"/>
            <w:tcBorders>
              <w:top w:val="single" w:sz="8" w:color="E5E9E3"/>
            </w:tcBorders>
            <w:shd w:val="clear" w:color="auto" w:fill="E5E9E3"/>
          </w:tcPr>
          <w:p>
            <w:pPr>
              <w:spacing w:after="0"/>
              <w:rPr>
                <w:sz w:val="17"/>
                <w:szCs w:val="17"/>
                <w:color w:val="auto"/>
              </w:rPr>
            </w:pPr>
          </w:p>
        </w:tc>
        <w:tc>
          <w:tcPr>
            <w:tcW w:w="72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E5E9E3"/>
            </w:tcBorders>
            <w:gridSpan w:val="2"/>
            <w:shd w:val="clear" w:color="auto" w:fill="E5E9E3"/>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20" w:type="dxa"/>
            <w:vAlign w:val="bottom"/>
          </w:tcPr>
          <w:p>
            <w:pPr>
              <w:ind w:left="80"/>
              <w:spacing w:after="0"/>
              <w:rPr>
                <w:sz w:val="20"/>
                <w:szCs w:val="20"/>
                <w:color w:val="auto"/>
              </w:rPr>
            </w:pPr>
            <w:r>
              <w:rPr>
                <w:rFonts w:ascii="Arial" w:cs="Arial" w:eastAsia="Arial" w:hAnsi="Arial"/>
                <w:sz w:val="14"/>
                <w:szCs w:val="14"/>
                <w:color w:val="auto"/>
              </w:rPr>
              <w:t>Mr. Archer</w:t>
            </w:r>
          </w:p>
        </w:tc>
        <w:tc>
          <w:tcPr>
            <w:tcW w:w="2940" w:type="dxa"/>
            <w:vAlign w:val="bottom"/>
          </w:tcPr>
          <w:p>
            <w:pPr>
              <w:spacing w:after="0"/>
              <w:rPr>
                <w:sz w:val="20"/>
                <w:szCs w:val="20"/>
                <w:color w:val="auto"/>
              </w:rPr>
            </w:pPr>
            <w:r>
              <w:rPr>
                <w:rFonts w:ascii="Arial" w:cs="Arial" w:eastAsia="Arial" w:hAnsi="Arial"/>
                <w:sz w:val="14"/>
                <w:szCs w:val="14"/>
                <w:color w:val="auto"/>
              </w:rPr>
              <w:t>Cash Severance Payment – 100% Annual</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120" w:type="dxa"/>
            <w:vAlign w:val="bottom"/>
          </w:tcPr>
          <w:p>
            <w:pPr>
              <w:spacing w:after="0"/>
              <w:rPr>
                <w:sz w:val="22"/>
                <w:szCs w:val="22"/>
                <w:color w:val="auto"/>
              </w:rPr>
            </w:pPr>
          </w:p>
        </w:tc>
        <w:tc>
          <w:tcPr>
            <w:tcW w:w="2940" w:type="dxa"/>
            <w:vAlign w:val="bottom"/>
          </w:tcPr>
          <w:p>
            <w:pPr>
              <w:ind w:left="160"/>
              <w:spacing w:after="0" w:line="259" w:lineRule="exact"/>
              <w:rPr>
                <w:sz w:val="20"/>
                <w:szCs w:val="20"/>
                <w:color w:val="auto"/>
              </w:rPr>
            </w:pPr>
            <w:r>
              <w:rPr>
                <w:rFonts w:ascii="Arial" w:cs="Arial" w:eastAsia="Arial" w:hAnsi="Arial"/>
                <w:sz w:val="14"/>
                <w:szCs w:val="14"/>
                <w:color w:val="auto"/>
              </w:rPr>
              <w:t>Base Salary</w:t>
            </w:r>
            <w:r>
              <w:rPr>
                <w:rFonts w:ascii="Arial" w:cs="Arial" w:eastAsia="Arial" w:hAnsi="Arial"/>
                <w:sz w:val="23"/>
                <w:szCs w:val="23"/>
                <w:color w:val="auto"/>
                <w:vertAlign w:val="superscript"/>
              </w:rPr>
              <w:t>(1)</w:t>
            </w:r>
          </w:p>
        </w:tc>
        <w:tc>
          <w:tcPr>
            <w:tcW w:w="22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510,000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Cash Severance Payment – Cash Incentive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120" w:type="dxa"/>
            <w:vAlign w:val="bottom"/>
          </w:tcPr>
          <w:p>
            <w:pPr>
              <w:spacing w:after="0"/>
              <w:rPr>
                <w:sz w:val="22"/>
                <w:szCs w:val="22"/>
                <w:color w:val="auto"/>
              </w:rPr>
            </w:pPr>
          </w:p>
        </w:tc>
        <w:tc>
          <w:tcPr>
            <w:tcW w:w="2940" w:type="dxa"/>
            <w:vAlign w:val="bottom"/>
          </w:tcPr>
          <w:p>
            <w:pPr>
              <w:ind w:left="160"/>
              <w:spacing w:after="0" w:line="259" w:lineRule="exact"/>
              <w:rPr>
                <w:sz w:val="20"/>
                <w:szCs w:val="20"/>
                <w:color w:val="auto"/>
              </w:rPr>
            </w:pPr>
            <w:r>
              <w:rPr>
                <w:rFonts w:ascii="Arial" w:cs="Arial" w:eastAsia="Arial" w:hAnsi="Arial"/>
                <w:sz w:val="14"/>
                <w:szCs w:val="14"/>
                <w:color w:val="auto"/>
              </w:rPr>
              <w:t>Plan Compensation</w:t>
            </w:r>
            <w:r>
              <w:rPr>
                <w:rFonts w:ascii="Arial" w:cs="Arial" w:eastAsia="Arial" w:hAnsi="Arial"/>
                <w:sz w:val="23"/>
                <w:szCs w:val="23"/>
                <w:color w:val="auto"/>
                <w:vertAlign w:val="superscript"/>
              </w:rPr>
              <w:t>(2)</w:t>
            </w:r>
          </w:p>
        </w:tc>
        <w:tc>
          <w:tcPr>
            <w:tcW w:w="22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488,172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488,172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Cash Severance Payment – 100% Cash</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2940" w:type="dxa"/>
            <w:vAlign w:val="bottom"/>
          </w:tcPr>
          <w:p>
            <w:pPr>
              <w:ind w:left="160"/>
              <w:spacing w:after="0" w:line="256" w:lineRule="exact"/>
              <w:rPr>
                <w:sz w:val="20"/>
                <w:szCs w:val="20"/>
                <w:color w:val="auto"/>
              </w:rPr>
            </w:pPr>
            <w:r>
              <w:rPr>
                <w:rFonts w:ascii="Arial" w:cs="Arial" w:eastAsia="Arial" w:hAnsi="Arial"/>
                <w:sz w:val="14"/>
                <w:szCs w:val="14"/>
                <w:color w:val="auto"/>
              </w:rPr>
              <w:t>Incentive Target Bonus Opportunity</w:t>
            </w:r>
            <w:r>
              <w:rPr>
                <w:rFonts w:ascii="Arial" w:cs="Arial" w:eastAsia="Arial" w:hAnsi="Arial"/>
                <w:sz w:val="23"/>
                <w:szCs w:val="23"/>
                <w:color w:val="auto"/>
                <w:vertAlign w:val="superscript"/>
              </w:rPr>
              <w:t>(3)</w:t>
            </w:r>
          </w:p>
        </w:tc>
        <w:tc>
          <w:tcPr>
            <w:tcW w:w="22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408,000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408,000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940" w:type="dxa"/>
            <w:vAlign w:val="bottom"/>
          </w:tcPr>
          <w:p>
            <w:pPr>
              <w:spacing w:after="0" w:line="256" w:lineRule="exact"/>
              <w:rPr>
                <w:sz w:val="20"/>
                <w:szCs w:val="20"/>
                <w:color w:val="auto"/>
              </w:rPr>
            </w:pPr>
            <w:r>
              <w:rPr>
                <w:rFonts w:ascii="Arial" w:cs="Arial" w:eastAsia="Arial" w:hAnsi="Arial"/>
                <w:sz w:val="14"/>
                <w:szCs w:val="14"/>
                <w:color w:val="auto"/>
              </w:rPr>
              <w:t>Continued Coverage of Medical Benefits</w:t>
            </w:r>
            <w:r>
              <w:rPr>
                <w:rFonts w:ascii="Arial" w:cs="Arial" w:eastAsia="Arial" w:hAnsi="Arial"/>
                <w:sz w:val="23"/>
                <w:szCs w:val="23"/>
                <w:color w:val="auto"/>
                <w:vertAlign w:val="superscript"/>
              </w:rPr>
              <w:t>(7)</w:t>
            </w:r>
          </w:p>
        </w:tc>
        <w:tc>
          <w:tcPr>
            <w:tcW w:w="22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91,746</w:t>
            </w:r>
          </w:p>
        </w:tc>
        <w:tc>
          <w:tcPr>
            <w:tcW w:w="120" w:type="dxa"/>
            <w:vAlign w:val="bottom"/>
          </w:tcPr>
          <w:p>
            <w:pPr>
              <w:spacing w:after="0"/>
              <w:rPr>
                <w:sz w:val="22"/>
                <w:szCs w:val="22"/>
                <w:color w:val="auto"/>
              </w:rPr>
            </w:pPr>
          </w:p>
        </w:tc>
        <w:tc>
          <w:tcPr>
            <w:tcW w:w="2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91,746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112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Equity Award Vesting Acceleration</w:t>
            </w:r>
            <w:r>
              <w:rPr>
                <w:rFonts w:ascii="Arial" w:cs="Arial" w:eastAsia="Arial" w:hAnsi="Arial"/>
                <w:sz w:val="23"/>
                <w:szCs w:val="23"/>
                <w:color w:val="auto"/>
                <w:vertAlign w:val="superscript"/>
              </w:rPr>
              <w:t>(5)</w:t>
            </w:r>
          </w:p>
        </w:tc>
        <w:tc>
          <w:tcPr>
            <w:tcW w:w="220" w:type="dxa"/>
            <w:vAlign w:val="bottom"/>
          </w:tcPr>
          <w:p>
            <w:pPr>
              <w:spacing w:after="0"/>
              <w:rPr>
                <w:sz w:val="23"/>
                <w:szCs w:val="23"/>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8,202,668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8,202,668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940" w:type="dxa"/>
            <w:vAlign w:val="bottom"/>
          </w:tcPr>
          <w:p>
            <w:pPr>
              <w:ind w:left="160"/>
              <w:spacing w:after="0"/>
              <w:rPr>
                <w:sz w:val="20"/>
                <w:szCs w:val="20"/>
                <w:color w:val="auto"/>
              </w:rPr>
            </w:pPr>
            <w:r>
              <w:rPr>
                <w:rFonts w:ascii="Arial" w:cs="Arial" w:eastAsia="Arial" w:hAnsi="Arial"/>
                <w:sz w:val="14"/>
                <w:szCs w:val="14"/>
                <w:b w:val="1"/>
                <w:bCs w:val="1"/>
                <w:color w:val="auto"/>
              </w:rPr>
              <w:t>Total Value of Termination Benefits</w:t>
            </w:r>
          </w:p>
        </w:tc>
        <w:tc>
          <w:tcPr>
            <w:tcW w:w="22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9,700,586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9,700,586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120" w:type="dxa"/>
            <w:vAlign w:val="bottom"/>
            <w:shd w:val="clear" w:color="auto" w:fill="819F7C"/>
          </w:tcPr>
          <w:p>
            <w:pPr>
              <w:spacing w:after="0"/>
              <w:rPr>
                <w:sz w:val="8"/>
                <w:szCs w:val="8"/>
                <w:color w:val="auto"/>
              </w:rPr>
            </w:pPr>
          </w:p>
        </w:tc>
        <w:tc>
          <w:tcPr>
            <w:tcW w:w="2940" w:type="dxa"/>
            <w:vAlign w:val="bottom"/>
            <w:shd w:val="clear" w:color="auto" w:fill="819F7C"/>
          </w:tcPr>
          <w:p>
            <w:pPr>
              <w:spacing w:after="0"/>
              <w:rPr>
                <w:sz w:val="8"/>
                <w:szCs w:val="8"/>
                <w:color w:val="auto"/>
              </w:rPr>
            </w:pPr>
          </w:p>
        </w:tc>
        <w:tc>
          <w:tcPr>
            <w:tcW w:w="220" w:type="dxa"/>
            <w:vAlign w:val="bottom"/>
            <w:shd w:val="clear" w:color="auto" w:fill="819F7C"/>
          </w:tcPr>
          <w:p>
            <w:pPr>
              <w:spacing w:after="0"/>
              <w:rPr>
                <w:sz w:val="8"/>
                <w:szCs w:val="8"/>
                <w:color w:val="auto"/>
              </w:rPr>
            </w:pPr>
          </w:p>
        </w:tc>
        <w:tc>
          <w:tcPr>
            <w:tcW w:w="700" w:type="dxa"/>
            <w:vAlign w:val="bottom"/>
            <w:shd w:val="clear" w:color="auto" w:fill="819F7C"/>
          </w:tcPr>
          <w:p>
            <w:pPr>
              <w:spacing w:after="0"/>
              <w:rPr>
                <w:sz w:val="8"/>
                <w:szCs w:val="8"/>
                <w:color w:val="auto"/>
              </w:rPr>
            </w:pPr>
          </w:p>
        </w:tc>
        <w:tc>
          <w:tcPr>
            <w:tcW w:w="40" w:type="dxa"/>
            <w:vAlign w:val="bottom"/>
            <w:shd w:val="clear" w:color="auto" w:fill="819F7C"/>
          </w:tcPr>
          <w:p>
            <w:pPr>
              <w:spacing w:after="0"/>
              <w:rPr>
                <w:sz w:val="8"/>
                <w:szCs w:val="8"/>
                <w:color w:val="auto"/>
              </w:rPr>
            </w:pPr>
          </w:p>
        </w:tc>
        <w:tc>
          <w:tcPr>
            <w:tcW w:w="220" w:type="dxa"/>
            <w:vAlign w:val="bottom"/>
            <w:shd w:val="clear" w:color="auto" w:fill="819F7C"/>
          </w:tcPr>
          <w:p>
            <w:pPr>
              <w:spacing w:after="0"/>
              <w:rPr>
                <w:sz w:val="8"/>
                <w:szCs w:val="8"/>
                <w:color w:val="auto"/>
              </w:rPr>
            </w:pPr>
          </w:p>
        </w:tc>
        <w:tc>
          <w:tcPr>
            <w:tcW w:w="700" w:type="dxa"/>
            <w:vAlign w:val="bottom"/>
            <w:shd w:val="clear" w:color="auto" w:fill="819F7C"/>
          </w:tcPr>
          <w:p>
            <w:pPr>
              <w:spacing w:after="0"/>
              <w:rPr>
                <w:sz w:val="8"/>
                <w:szCs w:val="8"/>
                <w:color w:val="auto"/>
              </w:rPr>
            </w:pPr>
          </w:p>
        </w:tc>
        <w:tc>
          <w:tcPr>
            <w:tcW w:w="140" w:type="dxa"/>
            <w:vAlign w:val="bottom"/>
            <w:shd w:val="clear" w:color="auto" w:fill="819F7C"/>
          </w:tcPr>
          <w:p>
            <w:pPr>
              <w:spacing w:after="0"/>
              <w:rPr>
                <w:sz w:val="8"/>
                <w:szCs w:val="8"/>
                <w:color w:val="auto"/>
              </w:rPr>
            </w:pPr>
          </w:p>
        </w:tc>
        <w:tc>
          <w:tcPr>
            <w:tcW w:w="120" w:type="dxa"/>
            <w:vAlign w:val="bottom"/>
            <w:shd w:val="clear" w:color="auto" w:fill="819F7C"/>
          </w:tcPr>
          <w:p>
            <w:pPr>
              <w:spacing w:after="0"/>
              <w:rPr>
                <w:sz w:val="8"/>
                <w:szCs w:val="8"/>
                <w:color w:val="auto"/>
              </w:rPr>
            </w:pPr>
          </w:p>
        </w:tc>
        <w:tc>
          <w:tcPr>
            <w:tcW w:w="720" w:type="dxa"/>
            <w:vAlign w:val="bottom"/>
            <w:tcBorders>
              <w:right w:val="single" w:sz="8" w:color="819F7C"/>
            </w:tcBorders>
            <w:shd w:val="clear" w:color="auto" w:fill="819F7C"/>
          </w:tcPr>
          <w:p>
            <w:pPr>
              <w:spacing w:after="0"/>
              <w:rPr>
                <w:sz w:val="8"/>
                <w:szCs w:val="8"/>
                <w:color w:val="auto"/>
              </w:rPr>
            </w:pPr>
          </w:p>
        </w:tc>
        <w:tc>
          <w:tcPr>
            <w:tcW w:w="120" w:type="dxa"/>
            <w:vAlign w:val="bottom"/>
            <w:shd w:val="clear" w:color="auto" w:fill="819F7C"/>
          </w:tcPr>
          <w:p>
            <w:pPr>
              <w:spacing w:after="0"/>
              <w:rPr>
                <w:sz w:val="8"/>
                <w:szCs w:val="8"/>
                <w:color w:val="auto"/>
              </w:rPr>
            </w:pPr>
          </w:p>
        </w:tc>
        <w:tc>
          <w:tcPr>
            <w:tcW w:w="220" w:type="dxa"/>
            <w:vAlign w:val="bottom"/>
            <w:shd w:val="clear" w:color="auto" w:fill="819F7C"/>
          </w:tcPr>
          <w:p>
            <w:pPr>
              <w:spacing w:after="0"/>
              <w:rPr>
                <w:sz w:val="8"/>
                <w:szCs w:val="8"/>
                <w:color w:val="auto"/>
              </w:rPr>
            </w:pPr>
          </w:p>
        </w:tc>
        <w:tc>
          <w:tcPr>
            <w:tcW w:w="40" w:type="dxa"/>
            <w:vAlign w:val="bottom"/>
            <w:shd w:val="clear" w:color="auto" w:fill="819F7C"/>
          </w:tcPr>
          <w:p>
            <w:pPr>
              <w:spacing w:after="0"/>
              <w:rPr>
                <w:sz w:val="8"/>
                <w:szCs w:val="8"/>
                <w:color w:val="auto"/>
              </w:rPr>
            </w:pPr>
          </w:p>
        </w:tc>
        <w:tc>
          <w:tcPr>
            <w:tcW w:w="680" w:type="dxa"/>
            <w:vAlign w:val="bottom"/>
            <w:tcBorders>
              <w:right w:val="single" w:sz="8" w:color="819F7C"/>
            </w:tcBorders>
            <w:shd w:val="clear" w:color="auto" w:fill="819F7C"/>
          </w:tcPr>
          <w:p>
            <w:pPr>
              <w:spacing w:after="0"/>
              <w:rPr>
                <w:sz w:val="8"/>
                <w:szCs w:val="8"/>
                <w:color w:val="auto"/>
              </w:rPr>
            </w:pPr>
          </w:p>
        </w:tc>
        <w:tc>
          <w:tcPr>
            <w:tcW w:w="120" w:type="dxa"/>
            <w:vAlign w:val="bottom"/>
            <w:shd w:val="clear" w:color="auto" w:fill="819F7C"/>
          </w:tcPr>
          <w:p>
            <w:pPr>
              <w:spacing w:after="0"/>
              <w:rPr>
                <w:sz w:val="8"/>
                <w:szCs w:val="8"/>
                <w:color w:val="auto"/>
              </w:rPr>
            </w:pPr>
          </w:p>
        </w:tc>
        <w:tc>
          <w:tcPr>
            <w:tcW w:w="200" w:type="dxa"/>
            <w:vAlign w:val="bottom"/>
            <w:shd w:val="clear" w:color="auto" w:fill="819F7C"/>
          </w:tcPr>
          <w:p>
            <w:pPr>
              <w:spacing w:after="0"/>
              <w:rPr>
                <w:sz w:val="8"/>
                <w:szCs w:val="8"/>
                <w:color w:val="auto"/>
              </w:rPr>
            </w:pPr>
          </w:p>
        </w:tc>
        <w:tc>
          <w:tcPr>
            <w:tcW w:w="720" w:type="dxa"/>
            <w:vAlign w:val="bottom"/>
            <w:shd w:val="clear" w:color="auto" w:fill="819F7C"/>
          </w:tcPr>
          <w:p>
            <w:pPr>
              <w:spacing w:after="0"/>
              <w:rPr>
                <w:sz w:val="8"/>
                <w:szCs w:val="8"/>
                <w:color w:val="auto"/>
              </w:rPr>
            </w:pPr>
          </w:p>
        </w:tc>
        <w:tc>
          <w:tcPr>
            <w:tcW w:w="20" w:type="dxa"/>
            <w:vAlign w:val="bottom"/>
            <w:shd w:val="clear" w:color="auto" w:fill="819F7C"/>
          </w:tcPr>
          <w:p>
            <w:pPr>
              <w:spacing w:after="0"/>
              <w:rPr>
                <w:sz w:val="8"/>
                <w:szCs w:val="8"/>
                <w:color w:val="auto"/>
              </w:rPr>
            </w:pPr>
          </w:p>
        </w:tc>
        <w:tc>
          <w:tcPr>
            <w:tcW w:w="14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286"/>
        <w:spacing w:after="0" w:line="281"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Assumes an annual base salary of $1,250,000 for Mr. Grady, $1,060,000 for Dr. Gill, $590,000 for Mr. Sverha, and $510,000 for Mr. Archer (salaries in effect on June 28, 2024).</w:t>
      </w:r>
    </w:p>
    <w:p>
      <w:pPr>
        <w:ind w:left="340" w:hanging="286"/>
        <w:spacing w:after="0"/>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Reflects the amount of bonus earned under the Fiscal 2024 Bonus Plan but unpaid as of June 28, 2024.</w:t>
      </w:r>
    </w:p>
    <w:p>
      <w:pPr>
        <w:spacing w:after="0" w:line="53" w:lineRule="exact"/>
        <w:rPr>
          <w:rFonts w:ascii="Arial" w:cs="Arial" w:eastAsia="Arial" w:hAnsi="Arial"/>
          <w:sz w:val="13"/>
          <w:szCs w:val="13"/>
          <w:color w:val="auto"/>
        </w:rPr>
      </w:pPr>
    </w:p>
    <w:p>
      <w:pPr>
        <w:ind w:left="340" w:right="20" w:hanging="286"/>
        <w:spacing w:after="0" w:line="281"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Assumes an annual target bonus opportunity of $1,625,000 for Mr. Grady, $4501,500 for Mr. Sverha, and $408,000 for Mr. Archer (target bonus opportunities in effect on June 28, 2024).</w:t>
      </w:r>
    </w:p>
    <w:p>
      <w:pPr>
        <w:ind w:left="340" w:hanging="286"/>
        <w:spacing w:after="0"/>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Reflects two times the annual cost of COBRA coverage to maintain the benefits provided as of June 28, 2024.</w:t>
      </w:r>
    </w:p>
    <w:p>
      <w:pPr>
        <w:spacing w:after="0" w:line="53" w:lineRule="exact"/>
        <w:rPr>
          <w:rFonts w:ascii="Arial" w:cs="Arial" w:eastAsia="Arial" w:hAnsi="Arial"/>
          <w:sz w:val="13"/>
          <w:szCs w:val="13"/>
          <w:color w:val="auto"/>
        </w:rPr>
      </w:pPr>
    </w:p>
    <w:p>
      <w:pPr>
        <w:jc w:val="both"/>
        <w:ind w:left="340" w:hanging="286"/>
        <w:spacing w:after="0" w:line="252"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Potential value if vesting of eligible RSUs held by the Named Officer had been accelerated on June 28, 2024, assuming a share price of $244.79, the closing price on the NYSE of our ordinary shares on June 28, 2024. Also assumes that, in the case of performance-based equity awards for which the performance period was not completed as of June 28, 2024, the performance conditions were deemed achieved in full and such awards were converted into RSUs as described in “—</w:t>
      </w:r>
      <w:r>
        <w:rPr>
          <w:rFonts w:ascii="Arial" w:cs="Arial" w:eastAsia="Arial" w:hAnsi="Arial"/>
          <w:sz w:val="13"/>
          <w:szCs w:val="13"/>
          <w:i w:val="1"/>
          <w:iCs w:val="1"/>
          <w:color w:val="auto"/>
        </w:rPr>
        <w:t>Treatment of Performance-Based Awards in Change in Control</w:t>
      </w:r>
      <w:r>
        <w:rPr>
          <w:rFonts w:ascii="Arial" w:cs="Arial" w:eastAsia="Arial" w:hAnsi="Arial"/>
          <w:sz w:val="13"/>
          <w:szCs w:val="13"/>
          <w:color w:val="auto"/>
        </w:rPr>
        <w:t>” above.</w:t>
      </w:r>
    </w:p>
    <w:p>
      <w:pPr>
        <w:spacing w:after="0" w:line="20" w:lineRule="exact"/>
        <w:rPr>
          <w:rFonts w:ascii="Arial" w:cs="Arial" w:eastAsia="Arial" w:hAnsi="Arial"/>
          <w:sz w:val="13"/>
          <w:szCs w:val="13"/>
          <w:color w:val="auto"/>
        </w:rPr>
      </w:pPr>
    </w:p>
    <w:p>
      <w:pPr>
        <w:jc w:val="both"/>
        <w:ind w:left="340" w:right="20" w:hanging="286"/>
        <w:spacing w:after="0" w:line="249" w:lineRule="auto"/>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Does not include the future tax equalization benefits that such Named Officer may be entitled to under our expatriate policy, as described above in “</w:t>
      </w:r>
      <w:r>
        <w:rPr>
          <w:rFonts w:ascii="Arial" w:cs="Arial" w:eastAsia="Arial" w:hAnsi="Arial"/>
          <w:sz w:val="13"/>
          <w:szCs w:val="13"/>
          <w:i w:val="1"/>
          <w:iCs w:val="1"/>
          <w:color w:val="auto"/>
        </w:rPr>
        <w:t>Executive Compensation—Compensation Discussion and Analysis</w:t>
      </w:r>
      <w:r>
        <w:rPr>
          <w:rFonts w:ascii="Arial" w:cs="Arial" w:eastAsia="Arial" w:hAnsi="Arial"/>
          <w:sz w:val="13"/>
          <w:szCs w:val="13"/>
          <w:color w:val="auto"/>
        </w:rPr>
        <w:t>.” As of June 28, 2024, Dr. Gill was our only Named Officer that was entitled to these benefits. The amount of any future tax equalization benefit can vary significantly depending, among other factors, on the individual’s personal tax circumstances with respect to the year for which the benefit is provided. The amount of tax equalization benefit paid in fiscal 2024 was $898,863 for Dr. Gill. Tax equalization benefits for any future years may differ substantially from such amount.</w:t>
      </w:r>
    </w:p>
    <w:p>
      <w:pPr>
        <w:spacing w:after="0" w:line="20" w:lineRule="exact"/>
        <w:rPr>
          <w:rFonts w:ascii="Arial" w:cs="Arial" w:eastAsia="Arial" w:hAnsi="Arial"/>
          <w:sz w:val="13"/>
          <w:szCs w:val="13"/>
          <w:color w:val="auto"/>
        </w:rPr>
      </w:pPr>
    </w:p>
    <w:p>
      <w:pPr>
        <w:ind w:left="340" w:hanging="286"/>
        <w:spacing w:after="0"/>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Reflects 18 times the monthly premium for continued health coverage under COBRA to maintain the benefits provided as of June 28, 2024.</w:t>
      </w:r>
    </w:p>
    <w:p>
      <w:pPr>
        <w:spacing w:after="0" w:line="318"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58</w:t>
      </w:r>
      <w:r>
        <w:rPr>
          <w:sz w:val="20"/>
          <w:szCs w:val="20"/>
          <w:color w:val="auto"/>
        </w:rPr>
        <w:tab/>
      </w:r>
      <w:r>
        <w:rPr>
          <w:sz w:val="1"/>
          <w:szCs w:val="1"/>
          <w:color w:val="auto"/>
        </w:rPr>
        <w:drawing>
          <wp:inline distT="0" distB="0" distL="0" distR="0">
            <wp:extent cx="342900" cy="7683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bookmarkStart w:id="64" w:name="page65"/>
    <w:bookmarkEnd w:id="6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39"/>
          <w:szCs w:val="39"/>
          <w:b w:val="1"/>
          <w:bCs w:val="1"/>
          <w:color w:val="578255"/>
        </w:rPr>
        <w:t>ADDITIONAL COMPENSATION MATTERS</w:t>
      </w:r>
    </w:p>
    <w:p>
      <w:pPr>
        <w:spacing w:after="0" w:line="357"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204" w:lineRule="exact"/>
        <w:rPr>
          <w:sz w:val="20"/>
          <w:szCs w:val="20"/>
          <w:color w:val="auto"/>
        </w:rPr>
      </w:pPr>
    </w:p>
    <w:p>
      <w:pPr>
        <w:jc w:val="both"/>
        <w:ind w:left="920"/>
        <w:spacing w:after="0" w:line="238" w:lineRule="auto"/>
        <w:rPr>
          <w:sz w:val="20"/>
          <w:szCs w:val="20"/>
          <w:color w:val="auto"/>
        </w:rPr>
      </w:pPr>
      <w:r>
        <w:rPr>
          <w:rFonts w:ascii="Arial" w:cs="Arial" w:eastAsia="Arial" w:hAnsi="Arial"/>
          <w:sz w:val="18"/>
          <w:szCs w:val="18"/>
          <w:color w:val="auto"/>
        </w:rPr>
        <w:t>As provided for by the Dodd-Frank Wall Street Reform and Consumer Protection Act, the SEC adopted a rule requiring companies to disclose the ratio of the median employee's total annual compensation relative to total annual compensation of the CEO. For purposes of this disclosure, our CEO’s total annual compensation for fiscal 2024 was $ 11,082,191. We estimate that our median employee’s total annual compensation for fiscal 2024 was $8,826, making our CEO’s pay in fiscal 2024 approximately 1,256 times the pay of our median employee, who is a worker in Thailand.</w:t>
      </w:r>
    </w:p>
    <w:p>
      <w:pPr>
        <w:spacing w:after="0" w:line="78" w:lineRule="exact"/>
        <w:rPr>
          <w:sz w:val="20"/>
          <w:szCs w:val="20"/>
          <w:color w:val="auto"/>
        </w:rPr>
      </w:pPr>
    </w:p>
    <w:p>
      <w:pPr>
        <w:jc w:val="both"/>
        <w:ind w:left="920"/>
        <w:spacing w:after="0" w:line="257" w:lineRule="auto"/>
        <w:rPr>
          <w:sz w:val="20"/>
          <w:szCs w:val="20"/>
          <w:color w:val="auto"/>
        </w:rPr>
      </w:pPr>
      <w:r>
        <w:rPr>
          <w:rFonts w:ascii="Arial" w:cs="Arial" w:eastAsia="Arial" w:hAnsi="Arial"/>
          <w:sz w:val="17"/>
          <w:szCs w:val="17"/>
          <w:color w:val="auto"/>
        </w:rPr>
        <w:t>The pay ratio described above is a reasonable estimate calculated in a manner consistent with Item 402(u) of Regulation S-K (“</w:t>
      </w:r>
      <w:r>
        <w:rPr>
          <w:rFonts w:ascii="Arial" w:cs="Arial" w:eastAsia="Arial" w:hAnsi="Arial"/>
          <w:sz w:val="17"/>
          <w:szCs w:val="17"/>
          <w:b w:val="1"/>
          <w:bCs w:val="1"/>
          <w:color w:val="auto"/>
        </w:rPr>
        <w:t>Item 402(u)</w:t>
      </w:r>
      <w:r>
        <w:rPr>
          <w:rFonts w:ascii="Arial" w:cs="Arial" w:eastAsia="Arial" w:hAnsi="Arial"/>
          <w:sz w:val="17"/>
          <w:szCs w:val="17"/>
          <w:color w:val="auto"/>
        </w:rPr>
        <w:t>”). The median employee was identified by determining the compensation for each employee using the following consistently applied compensation measures: (1) salary received in fiscal 2024 (annualized if employee worked only a portion of</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ind w:right="920"/>
        <w:spacing w:after="0" w:line="244" w:lineRule="auto"/>
        <w:rPr>
          <w:sz w:val="20"/>
          <w:szCs w:val="20"/>
          <w:color w:val="auto"/>
        </w:rPr>
      </w:pPr>
      <w:r>
        <w:rPr>
          <w:rFonts w:ascii="Arial" w:cs="Arial" w:eastAsia="Arial" w:hAnsi="Arial"/>
          <w:sz w:val="18"/>
          <w:szCs w:val="18"/>
          <w:color w:val="auto"/>
        </w:rPr>
        <w:t>the fiscal year, including if employee was on an unpaid leave of absence during the fiscal year); (2) annual incentive bonus earned in fiscal 2024; (3) grant date fair value of equity awards granted during fiscal 2024; and (4) perquisites paid in fiscal 2024.</w:t>
      </w:r>
    </w:p>
    <w:p>
      <w:pPr>
        <w:spacing w:after="0" w:line="68" w:lineRule="exact"/>
        <w:rPr>
          <w:sz w:val="20"/>
          <w:szCs w:val="20"/>
          <w:color w:val="auto"/>
        </w:rPr>
      </w:pPr>
    </w:p>
    <w:p>
      <w:pPr>
        <w:jc w:val="both"/>
        <w:ind w:right="920"/>
        <w:spacing w:after="0" w:line="238" w:lineRule="auto"/>
        <w:rPr>
          <w:sz w:val="20"/>
          <w:szCs w:val="20"/>
          <w:color w:val="auto"/>
        </w:rPr>
      </w:pPr>
      <w:r>
        <w:rPr>
          <w:rFonts w:ascii="Arial" w:cs="Arial" w:eastAsia="Arial" w:hAnsi="Arial"/>
          <w:sz w:val="18"/>
          <w:szCs w:val="18"/>
          <w:color w:val="auto"/>
        </w:rPr>
        <w:t>Our calculation includes all employees in the United States, Israel, China and Thailand as of June 28, 2024, the last day of fiscal 2024. As of that date, we had 239 employees located in the United States and 13,974 employees located outside of the United States. Our employees located in the Cayman Islands and Singapore (an aggregate total of 2 employees) were excluded from the calculation under the de minimis exception provided for in Item 402(u). We applied exchange rates as of June 28, 2024 to the compensation elements paid in Israeli Shekel, Chinese Renminbi and Thai baht.</w:t>
      </w:r>
    </w:p>
    <w:p>
      <w:pPr>
        <w:spacing w:after="0" w:line="417"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138" w:lineRule="exact"/>
        <w:rPr>
          <w:sz w:val="20"/>
          <w:szCs w:val="20"/>
          <w:color w:val="auto"/>
        </w:rPr>
      </w:pPr>
    </w:p>
    <w:p>
      <w:pPr>
        <w:ind w:left="920"/>
        <w:spacing w:after="0"/>
        <w:rPr>
          <w:sz w:val="20"/>
          <w:szCs w:val="20"/>
          <w:color w:val="auto"/>
        </w:rPr>
      </w:pPr>
      <w:r>
        <w:rPr>
          <w:rFonts w:ascii="Arial" w:cs="Arial" w:eastAsia="Arial" w:hAnsi="Arial"/>
          <w:sz w:val="24"/>
          <w:szCs w:val="24"/>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46355</wp:posOffset>
            </wp:positionV>
            <wp:extent cx="58293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p>
      <w:pPr>
        <w:spacing w:after="0" w:line="216" w:lineRule="exact"/>
        <w:rPr>
          <w:sz w:val="20"/>
          <w:szCs w:val="20"/>
          <w:color w:val="auto"/>
        </w:rPr>
      </w:pPr>
    </w:p>
    <w:p>
      <w:pPr>
        <w:jc w:val="both"/>
        <w:ind w:left="920"/>
        <w:spacing w:after="0" w:line="238" w:lineRule="auto"/>
        <w:rPr>
          <w:sz w:val="20"/>
          <w:szCs w:val="20"/>
          <w:color w:val="auto"/>
        </w:rPr>
      </w:pPr>
      <w:r>
        <w:rPr>
          <w:rFonts w:ascii="Arial" w:cs="Arial" w:eastAsia="Arial" w:hAnsi="Arial"/>
          <w:sz w:val="18"/>
          <w:szCs w:val="18"/>
          <w:color w:val="auto"/>
        </w:rPr>
        <w:t>As required by Section 952(a) of the Dodd-Frank Wall Street Reform and Consumer Protection Act and Item 402(v) of Regulation S-K under the Securities Exchange Act of 1934, as amended, we are providing the following information about the relationship between executive “compensation actually paid” and certain measures of company performance for each of the last three completed fiscal years. The material that follows is provided in compliance with these rules. For information on how the Compensation Committee seeks to align pay with performance when making compensation decisions,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right="940"/>
        <w:spacing w:after="0" w:line="271" w:lineRule="auto"/>
        <w:rPr>
          <w:sz w:val="20"/>
          <w:szCs w:val="20"/>
          <w:color w:val="auto"/>
        </w:rPr>
      </w:pPr>
      <w:r>
        <w:rPr>
          <w:rFonts w:ascii="Arial" w:cs="Arial" w:eastAsia="Arial" w:hAnsi="Arial"/>
          <w:sz w:val="18"/>
          <w:szCs w:val="18"/>
          <w:color w:val="auto"/>
        </w:rPr>
        <w:t>please review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above.</w:t>
      </w:r>
    </w:p>
    <w:p>
      <w:pPr>
        <w:spacing w:after="0" w:line="46" w:lineRule="exact"/>
        <w:rPr>
          <w:sz w:val="20"/>
          <w:szCs w:val="20"/>
          <w:color w:val="auto"/>
        </w:rPr>
      </w:pPr>
    </w:p>
    <w:p>
      <w:pPr>
        <w:jc w:val="both"/>
        <w:ind w:right="920"/>
        <w:spacing w:after="0"/>
        <w:rPr>
          <w:sz w:val="20"/>
          <w:szCs w:val="20"/>
          <w:color w:val="auto"/>
        </w:rPr>
      </w:pPr>
      <w:r>
        <w:rPr>
          <w:rFonts w:ascii="Arial" w:cs="Arial" w:eastAsia="Arial" w:hAnsi="Arial"/>
          <w:sz w:val="18"/>
          <w:szCs w:val="18"/>
          <w:color w:val="auto"/>
        </w:rPr>
        <w:t>In determining the “compensation actually paid” (CAP) to our Named Officers (NEOs), we are required to make various adjustments to amounts that have been previously reported in the Summary Compensation Table as the SEC’s rules for this disclosure differ from those required in the Summary Compensation Table. For our NEOs other than our principal executive officer (PEO), amounts disclosed are reported as an average.</w:t>
      </w:r>
    </w:p>
    <w:p>
      <w:pPr>
        <w:spacing w:after="0" w:line="494" w:lineRule="exact"/>
        <w:rPr>
          <w:sz w:val="20"/>
          <w:szCs w:val="20"/>
          <w:color w:val="auto"/>
        </w:rPr>
      </w:pPr>
    </w:p>
    <w:p>
      <w:pPr>
        <w:sectPr>
          <w:pgSz w:w="11900" w:h="16838" w:orient="portrait"/>
          <w:cols w:equalWidth="0" w:num="2">
            <w:col w:w="5340" w:space="320"/>
            <w:col w:w="5360"/>
          </w:cols>
          <w:pgMar w:left="440" w:top="114" w:right="439" w:bottom="1440"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59</w:t>
            </w:r>
          </w:p>
        </w:tc>
      </w:tr>
      <w:tr>
        <w:trPr>
          <w:trHeight w:val="237"/>
        </w:trPr>
        <w:tc>
          <w:tcPr>
            <w:tcW w:w="66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-248285</wp:posOffset>
            </wp:positionV>
            <wp:extent cx="342900" cy="774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ADDITIONAL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Pay Versus Performance Table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580" w:type="dxa"/>
            <w:vAlign w:val="bottom"/>
            <w:shd w:val="clear" w:color="auto" w:fill="819F7C"/>
          </w:tcPr>
          <w:p>
            <w:pPr>
              <w:spacing w:after="0"/>
              <w:rPr>
                <w:sz w:val="22"/>
                <w:szCs w:val="22"/>
                <w:color w:val="auto"/>
              </w:rPr>
            </w:pPr>
          </w:p>
        </w:tc>
        <w:tc>
          <w:tcPr>
            <w:tcW w:w="1160" w:type="dxa"/>
            <w:vAlign w:val="bottom"/>
            <w:shd w:val="clear" w:color="auto" w:fill="819F7C"/>
          </w:tcPr>
          <w:p>
            <w:pPr>
              <w:spacing w:after="0"/>
              <w:rPr>
                <w:sz w:val="22"/>
                <w:szCs w:val="22"/>
                <w:color w:val="auto"/>
              </w:rPr>
            </w:pPr>
          </w:p>
        </w:tc>
        <w:tc>
          <w:tcPr>
            <w:tcW w:w="1140" w:type="dxa"/>
            <w:vAlign w:val="bottom"/>
            <w:shd w:val="clear" w:color="auto" w:fill="819F7C"/>
          </w:tcPr>
          <w:p>
            <w:pPr>
              <w:spacing w:after="0"/>
              <w:rPr>
                <w:sz w:val="22"/>
                <w:szCs w:val="22"/>
                <w:color w:val="auto"/>
              </w:rPr>
            </w:pPr>
          </w:p>
        </w:tc>
        <w:tc>
          <w:tcPr>
            <w:tcW w:w="1160" w:type="dxa"/>
            <w:vAlign w:val="bottom"/>
            <w:vMerge w:val="restart"/>
            <w:shd w:val="clear" w:color="auto" w:fill="819F7C"/>
          </w:tcPr>
          <w:p>
            <w:pPr>
              <w:jc w:val="center"/>
              <w:spacing w:after="0"/>
              <w:rPr>
                <w:sz w:val="20"/>
                <w:szCs w:val="20"/>
                <w:color w:val="auto"/>
              </w:rPr>
            </w:pPr>
            <w:r>
              <w:rPr>
                <w:rFonts w:ascii="Arial" w:cs="Arial" w:eastAsia="Arial" w:hAnsi="Arial"/>
                <w:sz w:val="14"/>
                <w:szCs w:val="14"/>
                <w:b w:val="1"/>
                <w:bCs w:val="1"/>
                <w:color w:val="FFFFFF"/>
              </w:rPr>
              <w:t>Average</w:t>
            </w:r>
          </w:p>
        </w:tc>
        <w:tc>
          <w:tcPr>
            <w:tcW w:w="1160" w:type="dxa"/>
            <w:vAlign w:val="bottom"/>
            <w:shd w:val="clear" w:color="auto" w:fill="819F7C"/>
          </w:tcPr>
          <w:p>
            <w:pPr>
              <w:spacing w:after="0"/>
              <w:rPr>
                <w:sz w:val="22"/>
                <w:szCs w:val="22"/>
                <w:color w:val="auto"/>
              </w:rPr>
            </w:pPr>
          </w:p>
        </w:tc>
        <w:tc>
          <w:tcPr>
            <w:tcW w:w="1980" w:type="dxa"/>
            <w:vAlign w:val="bottom"/>
            <w:gridSpan w:val="2"/>
            <w:shd w:val="clear" w:color="auto" w:fill="819F7C"/>
          </w:tcPr>
          <w:p>
            <w:pPr>
              <w:jc w:val="right"/>
              <w:ind w:right="53"/>
              <w:spacing w:after="0"/>
              <w:rPr>
                <w:sz w:val="20"/>
                <w:szCs w:val="20"/>
                <w:color w:val="auto"/>
              </w:rPr>
            </w:pPr>
            <w:r>
              <w:rPr>
                <w:rFonts w:ascii="Arial" w:cs="Arial" w:eastAsia="Arial" w:hAnsi="Arial"/>
                <w:sz w:val="14"/>
                <w:szCs w:val="14"/>
                <w:b w:val="1"/>
                <w:bCs w:val="1"/>
                <w:color w:val="FFFFFF"/>
              </w:rPr>
              <w:t>Value of Initial Fixed $100</w:t>
            </w:r>
          </w:p>
        </w:tc>
        <w:tc>
          <w:tcPr>
            <w:tcW w:w="1000" w:type="dxa"/>
            <w:vAlign w:val="bottom"/>
            <w:shd w:val="clear" w:color="auto" w:fill="819F7C"/>
          </w:tcPr>
          <w:p>
            <w:pPr>
              <w:spacing w:after="0"/>
              <w:rPr>
                <w:sz w:val="22"/>
                <w:szCs w:val="22"/>
                <w:color w:val="auto"/>
              </w:rPr>
            </w:pPr>
          </w:p>
        </w:tc>
        <w:tc>
          <w:tcPr>
            <w:tcW w:w="1000" w:type="dxa"/>
            <w:vAlign w:val="bottom"/>
            <w:shd w:val="clear" w:color="auto" w:fill="819F7C"/>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580" w:type="dxa"/>
            <w:vAlign w:val="bottom"/>
            <w:shd w:val="clear" w:color="auto" w:fill="819F7C"/>
          </w:tcPr>
          <w:p>
            <w:pPr>
              <w:spacing w:after="0"/>
              <w:rPr>
                <w:sz w:val="12"/>
                <w:szCs w:val="12"/>
                <w:color w:val="auto"/>
              </w:rPr>
            </w:pPr>
          </w:p>
        </w:tc>
        <w:tc>
          <w:tcPr>
            <w:tcW w:w="1160" w:type="dxa"/>
            <w:vAlign w:val="bottom"/>
            <w:shd w:val="clear" w:color="auto" w:fill="819F7C"/>
          </w:tcPr>
          <w:p>
            <w:pPr>
              <w:spacing w:after="0"/>
              <w:rPr>
                <w:sz w:val="12"/>
                <w:szCs w:val="12"/>
                <w:color w:val="auto"/>
              </w:rPr>
            </w:pPr>
          </w:p>
        </w:tc>
        <w:tc>
          <w:tcPr>
            <w:tcW w:w="1140" w:type="dxa"/>
            <w:vAlign w:val="bottom"/>
            <w:shd w:val="clear" w:color="auto" w:fill="819F7C"/>
          </w:tcPr>
          <w:p>
            <w:pPr>
              <w:spacing w:after="0"/>
              <w:rPr>
                <w:sz w:val="12"/>
                <w:szCs w:val="12"/>
                <w:color w:val="auto"/>
              </w:rPr>
            </w:pPr>
          </w:p>
        </w:tc>
        <w:tc>
          <w:tcPr>
            <w:tcW w:w="1160" w:type="dxa"/>
            <w:vAlign w:val="bottom"/>
            <w:vMerge w:val="continue"/>
            <w:shd w:val="clear" w:color="auto" w:fill="819F7C"/>
          </w:tcPr>
          <w:p>
            <w:pPr>
              <w:spacing w:after="0"/>
              <w:rPr>
                <w:sz w:val="12"/>
                <w:szCs w:val="12"/>
                <w:color w:val="auto"/>
              </w:rPr>
            </w:pPr>
          </w:p>
        </w:tc>
        <w:tc>
          <w:tcPr>
            <w:tcW w:w="1160" w:type="dxa"/>
            <w:vAlign w:val="bottom"/>
            <w:shd w:val="clear" w:color="auto" w:fill="819F7C"/>
          </w:tcPr>
          <w:p>
            <w:pPr>
              <w:spacing w:after="0"/>
              <w:rPr>
                <w:sz w:val="12"/>
                <w:szCs w:val="12"/>
                <w:color w:val="auto"/>
              </w:rPr>
            </w:pPr>
          </w:p>
        </w:tc>
        <w:tc>
          <w:tcPr>
            <w:tcW w:w="1980" w:type="dxa"/>
            <w:vAlign w:val="bottom"/>
            <w:gridSpan w:val="2"/>
            <w:shd w:val="clear" w:color="auto" w:fill="819F7C"/>
          </w:tcPr>
          <w:p>
            <w:pPr>
              <w:jc w:val="right"/>
              <w:ind w:right="133"/>
              <w:spacing w:after="0" w:line="145" w:lineRule="exact"/>
              <w:rPr>
                <w:sz w:val="20"/>
                <w:szCs w:val="20"/>
                <w:color w:val="auto"/>
              </w:rPr>
            </w:pPr>
            <w:r>
              <w:rPr>
                <w:rFonts w:ascii="Arial" w:cs="Arial" w:eastAsia="Arial" w:hAnsi="Arial"/>
                <w:sz w:val="14"/>
                <w:szCs w:val="14"/>
                <w:b w:val="1"/>
                <w:bCs w:val="1"/>
                <w:color w:val="FFFFFF"/>
              </w:rPr>
              <w:t>Investment Based On:</w:t>
            </w:r>
          </w:p>
        </w:tc>
        <w:tc>
          <w:tcPr>
            <w:tcW w:w="1000" w:type="dxa"/>
            <w:vAlign w:val="bottom"/>
            <w:shd w:val="clear" w:color="auto" w:fill="819F7C"/>
          </w:tcPr>
          <w:p>
            <w:pPr>
              <w:spacing w:after="0"/>
              <w:rPr>
                <w:sz w:val="12"/>
                <w:szCs w:val="12"/>
                <w:color w:val="auto"/>
              </w:rPr>
            </w:pPr>
          </w:p>
        </w:tc>
        <w:tc>
          <w:tcPr>
            <w:tcW w:w="1000" w:type="dxa"/>
            <w:vAlign w:val="bottom"/>
            <w:shd w:val="clear" w:color="auto" w:fill="819F7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0" w:type="dxa"/>
            <w:vAlign w:val="bottom"/>
            <w:shd w:val="clear" w:color="auto" w:fill="819F7C"/>
          </w:tcPr>
          <w:p>
            <w:pPr>
              <w:spacing w:after="0"/>
              <w:rPr>
                <w:sz w:val="12"/>
                <w:szCs w:val="12"/>
                <w:color w:val="auto"/>
              </w:rPr>
            </w:pPr>
          </w:p>
        </w:tc>
        <w:tc>
          <w:tcPr>
            <w:tcW w:w="1160" w:type="dxa"/>
            <w:vAlign w:val="bottom"/>
            <w:shd w:val="clear" w:color="auto" w:fill="819F7C"/>
          </w:tcPr>
          <w:p>
            <w:pPr>
              <w:spacing w:after="0"/>
              <w:rPr>
                <w:sz w:val="12"/>
                <w:szCs w:val="12"/>
                <w:color w:val="auto"/>
              </w:rPr>
            </w:pPr>
          </w:p>
        </w:tc>
        <w:tc>
          <w:tcPr>
            <w:tcW w:w="1140" w:type="dxa"/>
            <w:vAlign w:val="bottom"/>
            <w:shd w:val="clear" w:color="auto" w:fill="819F7C"/>
          </w:tcPr>
          <w:p>
            <w:pPr>
              <w:spacing w:after="0"/>
              <w:rPr>
                <w:sz w:val="12"/>
                <w:szCs w:val="12"/>
                <w:color w:val="auto"/>
              </w:rPr>
            </w:pPr>
          </w:p>
        </w:tc>
        <w:tc>
          <w:tcPr>
            <w:tcW w:w="1160" w:type="dxa"/>
            <w:vAlign w:val="bottom"/>
            <w:shd w:val="clear" w:color="auto" w:fill="819F7C"/>
          </w:tcPr>
          <w:p>
            <w:pPr>
              <w:jc w:val="center"/>
              <w:spacing w:after="0" w:line="139" w:lineRule="exact"/>
              <w:rPr>
                <w:sz w:val="20"/>
                <w:szCs w:val="20"/>
                <w:color w:val="auto"/>
              </w:rPr>
            </w:pPr>
            <w:r>
              <w:rPr>
                <w:rFonts w:ascii="Arial" w:cs="Arial" w:eastAsia="Arial" w:hAnsi="Arial"/>
                <w:sz w:val="14"/>
                <w:szCs w:val="14"/>
                <w:b w:val="1"/>
                <w:bCs w:val="1"/>
                <w:color w:val="FFFFFF"/>
              </w:rPr>
              <w:t>Summary</w:t>
            </w:r>
          </w:p>
        </w:tc>
        <w:tc>
          <w:tcPr>
            <w:tcW w:w="1160" w:type="dxa"/>
            <w:vAlign w:val="bottom"/>
            <w:shd w:val="clear" w:color="auto" w:fill="819F7C"/>
          </w:tcPr>
          <w:p>
            <w:pPr>
              <w:jc w:val="center"/>
              <w:spacing w:after="0" w:line="139" w:lineRule="exact"/>
              <w:rPr>
                <w:sz w:val="20"/>
                <w:szCs w:val="20"/>
                <w:color w:val="auto"/>
              </w:rPr>
            </w:pPr>
            <w:r>
              <w:rPr>
                <w:rFonts w:ascii="Arial" w:cs="Arial" w:eastAsia="Arial" w:hAnsi="Arial"/>
                <w:sz w:val="14"/>
                <w:szCs w:val="14"/>
                <w:b w:val="1"/>
                <w:bCs w:val="1"/>
                <w:color w:val="FFFFFF"/>
              </w:rPr>
              <w:t>Average</w:t>
            </w:r>
          </w:p>
        </w:tc>
        <w:tc>
          <w:tcPr>
            <w:tcW w:w="1020" w:type="dxa"/>
            <w:vAlign w:val="bottom"/>
            <w:shd w:val="clear" w:color="auto" w:fill="819F7C"/>
          </w:tcPr>
          <w:p>
            <w:pPr>
              <w:spacing w:after="0"/>
              <w:rPr>
                <w:sz w:val="12"/>
                <w:szCs w:val="12"/>
                <w:color w:val="auto"/>
              </w:rPr>
            </w:pPr>
          </w:p>
        </w:tc>
        <w:tc>
          <w:tcPr>
            <w:tcW w:w="960" w:type="dxa"/>
            <w:vAlign w:val="bottom"/>
            <w:shd w:val="clear" w:color="auto" w:fill="819F7C"/>
          </w:tcPr>
          <w:p>
            <w:pPr>
              <w:spacing w:after="0"/>
              <w:rPr>
                <w:sz w:val="12"/>
                <w:szCs w:val="12"/>
                <w:color w:val="auto"/>
              </w:rPr>
            </w:pPr>
          </w:p>
        </w:tc>
        <w:tc>
          <w:tcPr>
            <w:tcW w:w="1000" w:type="dxa"/>
            <w:vAlign w:val="bottom"/>
            <w:shd w:val="clear" w:color="auto" w:fill="819F7C"/>
          </w:tcPr>
          <w:p>
            <w:pPr>
              <w:spacing w:after="0"/>
              <w:rPr>
                <w:sz w:val="12"/>
                <w:szCs w:val="12"/>
                <w:color w:val="auto"/>
              </w:rPr>
            </w:pPr>
          </w:p>
        </w:tc>
        <w:tc>
          <w:tcPr>
            <w:tcW w:w="1000" w:type="dxa"/>
            <w:vAlign w:val="bottom"/>
            <w:shd w:val="clear" w:color="auto" w:fill="819F7C"/>
          </w:tcPr>
          <w:p>
            <w:pPr>
              <w:jc w:val="center"/>
              <w:ind w:right="12"/>
              <w:spacing w:after="0" w:line="139" w:lineRule="exact"/>
              <w:rPr>
                <w:sz w:val="20"/>
                <w:szCs w:val="20"/>
                <w:color w:val="auto"/>
              </w:rPr>
            </w:pPr>
            <w:r>
              <w:rPr>
                <w:rFonts w:ascii="Arial" w:cs="Arial" w:eastAsia="Arial" w:hAnsi="Arial"/>
                <w:sz w:val="14"/>
                <w:szCs w:val="14"/>
                <w:b w:val="1"/>
                <w:bCs w:val="1"/>
                <w:color w:val="FFFFFF"/>
              </w:rPr>
              <w:t>Company</w:t>
            </w:r>
          </w:p>
        </w:tc>
        <w:tc>
          <w:tcPr>
            <w:tcW w:w="0" w:type="dxa"/>
            <w:vAlign w:val="bottom"/>
          </w:tcPr>
          <w:p>
            <w:pPr>
              <w:spacing w:after="0"/>
              <w:rPr>
                <w:sz w:val="1"/>
                <w:szCs w:val="1"/>
                <w:color w:val="auto"/>
              </w:rPr>
            </w:pPr>
          </w:p>
        </w:tc>
      </w:tr>
      <w:tr>
        <w:trPr>
          <w:trHeight w:val="162"/>
        </w:trPr>
        <w:tc>
          <w:tcPr>
            <w:tcW w:w="580" w:type="dxa"/>
            <w:vAlign w:val="bottom"/>
            <w:shd w:val="clear" w:color="auto" w:fill="819F7C"/>
          </w:tcPr>
          <w:p>
            <w:pPr>
              <w:spacing w:after="0"/>
              <w:rPr>
                <w:sz w:val="14"/>
                <w:szCs w:val="14"/>
                <w:color w:val="auto"/>
              </w:rPr>
            </w:pP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Summary</w:t>
            </w:r>
          </w:p>
        </w:tc>
        <w:tc>
          <w:tcPr>
            <w:tcW w:w="1140" w:type="dxa"/>
            <w:vAlign w:val="bottom"/>
            <w:shd w:val="clear" w:color="auto" w:fill="819F7C"/>
          </w:tcPr>
          <w:p>
            <w:pPr>
              <w:spacing w:after="0"/>
              <w:rPr>
                <w:sz w:val="14"/>
                <w:szCs w:val="14"/>
                <w:color w:val="auto"/>
              </w:rPr>
            </w:pP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819F7C"/>
          </w:tcPr>
          <w:p>
            <w:pPr>
              <w:spacing w:after="0"/>
              <w:rPr>
                <w:sz w:val="14"/>
                <w:szCs w:val="14"/>
                <w:color w:val="auto"/>
              </w:rPr>
            </w:pPr>
          </w:p>
        </w:tc>
        <w:tc>
          <w:tcPr>
            <w:tcW w:w="9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Peer Group</w:t>
            </w:r>
          </w:p>
        </w:tc>
        <w:tc>
          <w:tcPr>
            <w:tcW w:w="1000" w:type="dxa"/>
            <w:vAlign w:val="bottom"/>
            <w:shd w:val="clear" w:color="auto" w:fill="819F7C"/>
          </w:tcPr>
          <w:p>
            <w:pPr>
              <w:spacing w:after="0"/>
              <w:rPr>
                <w:sz w:val="14"/>
                <w:szCs w:val="14"/>
                <w:color w:val="auto"/>
              </w:rPr>
            </w:pPr>
          </w:p>
        </w:tc>
        <w:tc>
          <w:tcPr>
            <w:tcW w:w="1000" w:type="dxa"/>
            <w:vAlign w:val="bottom"/>
            <w:shd w:val="clear" w:color="auto" w:fill="819F7C"/>
          </w:tcPr>
          <w:p>
            <w:pPr>
              <w:jc w:val="center"/>
              <w:ind w:right="12"/>
              <w:spacing w:after="0"/>
              <w:rPr>
                <w:sz w:val="20"/>
                <w:szCs w:val="20"/>
                <w:color w:val="auto"/>
              </w:rPr>
            </w:pPr>
            <w:r>
              <w:rPr>
                <w:rFonts w:ascii="Arial" w:cs="Arial" w:eastAsia="Arial" w:hAnsi="Arial"/>
                <w:sz w:val="14"/>
                <w:szCs w:val="14"/>
                <w:b w:val="1"/>
                <w:bCs w:val="1"/>
                <w:color w:val="FFFFFF"/>
              </w:rPr>
              <w:t>Selected</w:t>
            </w:r>
          </w:p>
        </w:tc>
        <w:tc>
          <w:tcPr>
            <w:tcW w:w="0" w:type="dxa"/>
            <w:vAlign w:val="bottom"/>
          </w:tcPr>
          <w:p>
            <w:pPr>
              <w:spacing w:after="0"/>
              <w:rPr>
                <w:sz w:val="1"/>
                <w:szCs w:val="1"/>
                <w:color w:val="auto"/>
              </w:rPr>
            </w:pPr>
          </w:p>
        </w:tc>
      </w:tr>
      <w:tr>
        <w:trPr>
          <w:trHeight w:val="162"/>
        </w:trPr>
        <w:tc>
          <w:tcPr>
            <w:tcW w:w="580" w:type="dxa"/>
            <w:vAlign w:val="bottom"/>
            <w:shd w:val="clear" w:color="auto" w:fill="819F7C"/>
          </w:tcPr>
          <w:p>
            <w:pPr>
              <w:spacing w:after="0"/>
              <w:rPr>
                <w:sz w:val="14"/>
                <w:szCs w:val="14"/>
                <w:color w:val="auto"/>
              </w:rPr>
            </w:pP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w w:val="99"/>
              </w:rPr>
              <w:t>Table Total for</w:t>
            </w:r>
          </w:p>
        </w:tc>
        <w:tc>
          <w:tcPr>
            <w:tcW w:w="11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Actually Paid</w:t>
            </w:r>
          </w:p>
        </w:tc>
        <w:tc>
          <w:tcPr>
            <w:tcW w:w="1020" w:type="dxa"/>
            <w:vAlign w:val="bottom"/>
            <w:shd w:val="clear" w:color="auto" w:fill="819F7C"/>
          </w:tcPr>
          <w:p>
            <w:pPr>
              <w:jc w:val="right"/>
              <w:ind w:right="292"/>
              <w:spacing w:after="0"/>
              <w:rPr>
                <w:sz w:val="20"/>
                <w:szCs w:val="20"/>
                <w:color w:val="auto"/>
              </w:rPr>
            </w:pPr>
            <w:r>
              <w:rPr>
                <w:rFonts w:ascii="Arial" w:cs="Arial" w:eastAsia="Arial" w:hAnsi="Arial"/>
                <w:sz w:val="14"/>
                <w:szCs w:val="14"/>
                <w:b w:val="1"/>
                <w:bCs w:val="1"/>
                <w:color w:val="FFFFFF"/>
              </w:rPr>
              <w:t>Total</w:t>
            </w:r>
          </w:p>
        </w:tc>
        <w:tc>
          <w:tcPr>
            <w:tcW w:w="960" w:type="dxa"/>
            <w:vAlign w:val="bottom"/>
            <w:shd w:val="clear" w:color="auto" w:fill="819F7C"/>
          </w:tcPr>
          <w:p>
            <w:pPr>
              <w:jc w:val="center"/>
              <w:spacing w:after="0"/>
              <w:rPr>
                <w:sz w:val="20"/>
                <w:szCs w:val="20"/>
                <w:color w:val="auto"/>
              </w:rPr>
            </w:pPr>
            <w:r>
              <w:rPr>
                <w:rFonts w:ascii="Arial" w:cs="Arial" w:eastAsia="Arial" w:hAnsi="Arial"/>
                <w:sz w:val="14"/>
                <w:szCs w:val="14"/>
                <w:b w:val="1"/>
                <w:bCs w:val="1"/>
                <w:color w:val="FFFFFF"/>
              </w:rPr>
              <w:t>Total</w:t>
            </w:r>
          </w:p>
        </w:tc>
        <w:tc>
          <w:tcPr>
            <w:tcW w:w="1000" w:type="dxa"/>
            <w:vAlign w:val="bottom"/>
            <w:shd w:val="clear" w:color="auto" w:fill="819F7C"/>
          </w:tcPr>
          <w:p>
            <w:pPr>
              <w:spacing w:after="0"/>
              <w:rPr>
                <w:sz w:val="14"/>
                <w:szCs w:val="14"/>
                <w:color w:val="auto"/>
              </w:rPr>
            </w:pPr>
          </w:p>
        </w:tc>
        <w:tc>
          <w:tcPr>
            <w:tcW w:w="1000" w:type="dxa"/>
            <w:vAlign w:val="bottom"/>
            <w:shd w:val="clear" w:color="auto" w:fill="819F7C"/>
          </w:tcPr>
          <w:p>
            <w:pPr>
              <w:jc w:val="center"/>
              <w:ind w:right="12"/>
              <w:spacing w:after="0"/>
              <w:rPr>
                <w:sz w:val="20"/>
                <w:szCs w:val="20"/>
                <w:color w:val="auto"/>
              </w:rPr>
            </w:pPr>
            <w:r>
              <w:rPr>
                <w:rFonts w:ascii="Arial" w:cs="Arial" w:eastAsia="Arial" w:hAnsi="Arial"/>
                <w:sz w:val="14"/>
                <w:szCs w:val="14"/>
                <w:b w:val="1"/>
                <w:bCs w:val="1"/>
                <w:color w:val="FFFFFF"/>
              </w:rPr>
              <w:t>Measure</w:t>
            </w:r>
          </w:p>
        </w:tc>
        <w:tc>
          <w:tcPr>
            <w:tcW w:w="0" w:type="dxa"/>
            <w:vAlign w:val="bottom"/>
          </w:tcPr>
          <w:p>
            <w:pPr>
              <w:spacing w:after="0"/>
              <w:rPr>
                <w:sz w:val="1"/>
                <w:szCs w:val="1"/>
                <w:color w:val="auto"/>
              </w:rPr>
            </w:pPr>
          </w:p>
        </w:tc>
      </w:tr>
      <w:tr>
        <w:trPr>
          <w:trHeight w:val="159"/>
        </w:trPr>
        <w:tc>
          <w:tcPr>
            <w:tcW w:w="580" w:type="dxa"/>
            <w:vAlign w:val="bottom"/>
            <w:shd w:val="clear" w:color="auto" w:fill="819F7C"/>
          </w:tcPr>
          <w:p>
            <w:pPr>
              <w:ind w:left="60"/>
              <w:spacing w:after="0" w:line="159" w:lineRule="exact"/>
              <w:rPr>
                <w:sz w:val="20"/>
                <w:szCs w:val="20"/>
                <w:color w:val="auto"/>
              </w:rPr>
            </w:pPr>
            <w:r>
              <w:rPr>
                <w:rFonts w:ascii="Arial" w:cs="Arial" w:eastAsia="Arial" w:hAnsi="Arial"/>
                <w:sz w:val="14"/>
                <w:szCs w:val="14"/>
                <w:b w:val="1"/>
                <w:bCs w:val="1"/>
                <w:color w:val="FFFFFF"/>
              </w:rPr>
              <w:t>Fiscal</w:t>
            </w:r>
          </w:p>
        </w:tc>
        <w:tc>
          <w:tcPr>
            <w:tcW w:w="1160" w:type="dxa"/>
            <w:vAlign w:val="bottom"/>
            <w:shd w:val="clear" w:color="auto" w:fill="819F7C"/>
          </w:tcPr>
          <w:p>
            <w:pPr>
              <w:jc w:val="center"/>
              <w:spacing w:after="0" w:line="159" w:lineRule="exact"/>
              <w:rPr>
                <w:sz w:val="20"/>
                <w:szCs w:val="20"/>
                <w:color w:val="auto"/>
              </w:rPr>
            </w:pPr>
            <w:r>
              <w:rPr>
                <w:rFonts w:ascii="Arial" w:cs="Arial" w:eastAsia="Arial" w:hAnsi="Arial"/>
                <w:sz w:val="14"/>
                <w:szCs w:val="14"/>
                <w:b w:val="1"/>
                <w:bCs w:val="1"/>
                <w:color w:val="FFFFFF"/>
                <w:w w:val="99"/>
              </w:rPr>
              <w:t>Table Total for</w:t>
            </w:r>
          </w:p>
        </w:tc>
        <w:tc>
          <w:tcPr>
            <w:tcW w:w="1140" w:type="dxa"/>
            <w:vAlign w:val="bottom"/>
            <w:shd w:val="clear" w:color="auto" w:fill="819F7C"/>
          </w:tcPr>
          <w:p>
            <w:pPr>
              <w:jc w:val="center"/>
              <w:spacing w:after="0" w:line="159" w:lineRule="exact"/>
              <w:rPr>
                <w:sz w:val="20"/>
                <w:szCs w:val="20"/>
                <w:color w:val="auto"/>
              </w:rPr>
            </w:pPr>
            <w:r>
              <w:rPr>
                <w:rFonts w:ascii="Arial" w:cs="Arial" w:eastAsia="Arial" w:hAnsi="Arial"/>
                <w:sz w:val="14"/>
                <w:szCs w:val="14"/>
                <w:b w:val="1"/>
                <w:bCs w:val="1"/>
                <w:color w:val="FFFFFF"/>
              </w:rPr>
              <w:t>Actually Paid</w:t>
            </w:r>
          </w:p>
        </w:tc>
        <w:tc>
          <w:tcPr>
            <w:tcW w:w="1160" w:type="dxa"/>
            <w:vAlign w:val="bottom"/>
            <w:shd w:val="clear" w:color="auto" w:fill="819F7C"/>
          </w:tcPr>
          <w:p>
            <w:pPr>
              <w:jc w:val="center"/>
              <w:spacing w:after="0" w:line="159" w:lineRule="exact"/>
              <w:rPr>
                <w:sz w:val="20"/>
                <w:szCs w:val="20"/>
                <w:color w:val="auto"/>
              </w:rPr>
            </w:pPr>
            <w:r>
              <w:rPr>
                <w:rFonts w:ascii="Arial" w:cs="Arial" w:eastAsia="Arial" w:hAnsi="Arial"/>
                <w:sz w:val="14"/>
                <w:szCs w:val="14"/>
                <w:b w:val="1"/>
                <w:bCs w:val="1"/>
                <w:color w:val="FFFFFF"/>
              </w:rPr>
              <w:t>Non-PEO</w:t>
            </w:r>
          </w:p>
        </w:tc>
        <w:tc>
          <w:tcPr>
            <w:tcW w:w="1160" w:type="dxa"/>
            <w:vAlign w:val="bottom"/>
            <w:shd w:val="clear" w:color="auto" w:fill="819F7C"/>
          </w:tcPr>
          <w:p>
            <w:pPr>
              <w:jc w:val="center"/>
              <w:spacing w:after="0" w:line="159" w:lineRule="exact"/>
              <w:rPr>
                <w:sz w:val="20"/>
                <w:szCs w:val="20"/>
                <w:color w:val="auto"/>
              </w:rPr>
            </w:pPr>
            <w:r>
              <w:rPr>
                <w:rFonts w:ascii="Arial" w:cs="Arial" w:eastAsia="Arial" w:hAnsi="Arial"/>
                <w:sz w:val="14"/>
                <w:szCs w:val="14"/>
                <w:b w:val="1"/>
                <w:bCs w:val="1"/>
                <w:color w:val="FFFFFF"/>
              </w:rPr>
              <w:t>to Non-PEO</w:t>
            </w:r>
          </w:p>
        </w:tc>
        <w:tc>
          <w:tcPr>
            <w:tcW w:w="1020" w:type="dxa"/>
            <w:vAlign w:val="bottom"/>
            <w:shd w:val="clear" w:color="auto" w:fill="819F7C"/>
          </w:tcPr>
          <w:p>
            <w:pPr>
              <w:jc w:val="right"/>
              <w:ind w:right="12"/>
              <w:spacing w:after="0" w:line="159" w:lineRule="exact"/>
              <w:rPr>
                <w:sz w:val="20"/>
                <w:szCs w:val="20"/>
                <w:color w:val="auto"/>
              </w:rPr>
            </w:pPr>
            <w:r>
              <w:rPr>
                <w:rFonts w:ascii="Arial" w:cs="Arial" w:eastAsia="Arial" w:hAnsi="Arial"/>
                <w:sz w:val="14"/>
                <w:szCs w:val="14"/>
                <w:b w:val="1"/>
                <w:bCs w:val="1"/>
                <w:color w:val="FFFFFF"/>
              </w:rPr>
              <w:t>Shareholder</w:t>
            </w:r>
          </w:p>
        </w:tc>
        <w:tc>
          <w:tcPr>
            <w:tcW w:w="960" w:type="dxa"/>
            <w:vAlign w:val="bottom"/>
            <w:shd w:val="clear" w:color="auto" w:fill="819F7C"/>
          </w:tcPr>
          <w:p>
            <w:pPr>
              <w:jc w:val="center"/>
              <w:spacing w:after="0" w:line="159" w:lineRule="exact"/>
              <w:rPr>
                <w:sz w:val="20"/>
                <w:szCs w:val="20"/>
                <w:color w:val="auto"/>
              </w:rPr>
            </w:pPr>
            <w:r>
              <w:rPr>
                <w:rFonts w:ascii="Arial" w:cs="Arial" w:eastAsia="Arial" w:hAnsi="Arial"/>
                <w:sz w:val="14"/>
                <w:szCs w:val="14"/>
                <w:b w:val="1"/>
                <w:bCs w:val="1"/>
                <w:color w:val="FFFFFF"/>
              </w:rPr>
              <w:t>Shareholder</w:t>
            </w:r>
          </w:p>
        </w:tc>
        <w:tc>
          <w:tcPr>
            <w:tcW w:w="1000" w:type="dxa"/>
            <w:vAlign w:val="bottom"/>
            <w:shd w:val="clear" w:color="auto" w:fill="819F7C"/>
          </w:tcPr>
          <w:p>
            <w:pPr>
              <w:jc w:val="right"/>
              <w:ind w:right="14"/>
              <w:spacing w:after="0" w:line="159" w:lineRule="exact"/>
              <w:rPr>
                <w:sz w:val="20"/>
                <w:szCs w:val="20"/>
                <w:color w:val="auto"/>
              </w:rPr>
            </w:pPr>
            <w:r>
              <w:rPr>
                <w:rFonts w:ascii="Arial" w:cs="Arial" w:eastAsia="Arial" w:hAnsi="Arial"/>
                <w:sz w:val="14"/>
                <w:szCs w:val="14"/>
                <w:b w:val="1"/>
                <w:bCs w:val="1"/>
                <w:color w:val="FFFFFF"/>
              </w:rPr>
              <w:t>Net Income</w:t>
            </w:r>
          </w:p>
        </w:tc>
        <w:tc>
          <w:tcPr>
            <w:tcW w:w="1000" w:type="dxa"/>
            <w:vAlign w:val="bottom"/>
            <w:shd w:val="clear" w:color="auto" w:fill="819F7C"/>
          </w:tcPr>
          <w:p>
            <w:pPr>
              <w:jc w:val="center"/>
              <w:ind w:right="12"/>
              <w:spacing w:after="0" w:line="159" w:lineRule="exact"/>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242"/>
        </w:trPr>
        <w:tc>
          <w:tcPr>
            <w:tcW w:w="580" w:type="dxa"/>
            <w:vAlign w:val="bottom"/>
            <w:shd w:val="clear" w:color="auto" w:fill="819F7C"/>
          </w:tcPr>
          <w:p>
            <w:pPr>
              <w:ind w:left="60"/>
              <w:spacing w:after="0" w:line="242" w:lineRule="exact"/>
              <w:rPr>
                <w:sz w:val="20"/>
                <w:szCs w:val="20"/>
                <w:color w:val="auto"/>
              </w:rPr>
            </w:pPr>
            <w:r>
              <w:rPr>
                <w:rFonts w:ascii="Arial" w:cs="Arial" w:eastAsia="Arial" w:hAnsi="Arial"/>
                <w:sz w:val="14"/>
                <w:szCs w:val="14"/>
                <w:b w:val="1"/>
                <w:bCs w:val="1"/>
                <w:color w:val="FFFFFF"/>
              </w:rPr>
              <w:t>Year</w:t>
            </w:r>
            <w:r>
              <w:rPr>
                <w:rFonts w:ascii="Arial" w:cs="Arial" w:eastAsia="Arial" w:hAnsi="Arial"/>
                <w:sz w:val="23"/>
                <w:szCs w:val="23"/>
                <w:b w:val="1"/>
                <w:bCs w:val="1"/>
                <w:color w:val="FFFFFF"/>
                <w:vertAlign w:val="superscript"/>
              </w:rPr>
              <w:t>(1)</w:t>
            </w:r>
          </w:p>
        </w:tc>
        <w:tc>
          <w:tcPr>
            <w:tcW w:w="1160" w:type="dxa"/>
            <w:vAlign w:val="bottom"/>
            <w:shd w:val="clear" w:color="auto" w:fill="819F7C"/>
          </w:tcPr>
          <w:p>
            <w:pPr>
              <w:jc w:val="center"/>
              <w:spacing w:after="0" w:line="242" w:lineRule="exact"/>
              <w:rPr>
                <w:sz w:val="20"/>
                <w:szCs w:val="20"/>
                <w:color w:val="auto"/>
              </w:rPr>
            </w:pPr>
            <w:r>
              <w:rPr>
                <w:rFonts w:ascii="Arial" w:cs="Arial" w:eastAsia="Arial" w:hAnsi="Arial"/>
                <w:sz w:val="14"/>
                <w:szCs w:val="14"/>
                <w:b w:val="1"/>
                <w:bCs w:val="1"/>
                <w:color w:val="FFFFFF"/>
                <w:w w:val="98"/>
              </w:rPr>
              <w:t>PEO ($)</w:t>
            </w:r>
            <w:r>
              <w:rPr>
                <w:rFonts w:ascii="Arial" w:cs="Arial" w:eastAsia="Arial" w:hAnsi="Arial"/>
                <w:sz w:val="23"/>
                <w:szCs w:val="23"/>
                <w:b w:val="1"/>
                <w:bCs w:val="1"/>
                <w:color w:val="FFFFFF"/>
                <w:w w:val="98"/>
                <w:vertAlign w:val="superscript"/>
              </w:rPr>
              <w:t>(2)</w:t>
            </w:r>
          </w:p>
        </w:tc>
        <w:tc>
          <w:tcPr>
            <w:tcW w:w="1140" w:type="dxa"/>
            <w:vAlign w:val="bottom"/>
            <w:shd w:val="clear" w:color="auto" w:fill="819F7C"/>
          </w:tcPr>
          <w:p>
            <w:pPr>
              <w:jc w:val="center"/>
              <w:spacing w:after="0" w:line="242" w:lineRule="exact"/>
              <w:rPr>
                <w:sz w:val="20"/>
                <w:szCs w:val="20"/>
                <w:color w:val="auto"/>
              </w:rPr>
            </w:pPr>
            <w:r>
              <w:rPr>
                <w:rFonts w:ascii="Arial" w:cs="Arial" w:eastAsia="Arial" w:hAnsi="Arial"/>
                <w:sz w:val="14"/>
                <w:szCs w:val="14"/>
                <w:b w:val="1"/>
                <w:bCs w:val="1"/>
                <w:color w:val="FFFFFF"/>
                <w:w w:val="99"/>
              </w:rPr>
              <w:t>to PEO ($)</w:t>
            </w:r>
            <w:r>
              <w:rPr>
                <w:rFonts w:ascii="Arial" w:cs="Arial" w:eastAsia="Arial" w:hAnsi="Arial"/>
                <w:sz w:val="23"/>
                <w:szCs w:val="23"/>
                <w:b w:val="1"/>
                <w:bCs w:val="1"/>
                <w:color w:val="FFFFFF"/>
                <w:w w:val="99"/>
                <w:vertAlign w:val="superscript"/>
              </w:rPr>
              <w:t>(3)</w:t>
            </w:r>
          </w:p>
        </w:tc>
        <w:tc>
          <w:tcPr>
            <w:tcW w:w="1160" w:type="dxa"/>
            <w:vAlign w:val="bottom"/>
            <w:shd w:val="clear" w:color="auto" w:fill="819F7C"/>
          </w:tcPr>
          <w:p>
            <w:pPr>
              <w:jc w:val="center"/>
              <w:spacing w:after="0" w:line="242" w:lineRule="exact"/>
              <w:rPr>
                <w:sz w:val="20"/>
                <w:szCs w:val="20"/>
                <w:color w:val="auto"/>
              </w:rPr>
            </w:pPr>
            <w:r>
              <w:rPr>
                <w:rFonts w:ascii="Arial" w:cs="Arial" w:eastAsia="Arial" w:hAnsi="Arial"/>
                <w:sz w:val="14"/>
                <w:szCs w:val="14"/>
                <w:b w:val="1"/>
                <w:bCs w:val="1"/>
                <w:color w:val="FFFFFF"/>
                <w:w w:val="97"/>
              </w:rPr>
              <w:t>NEOs ($)</w:t>
            </w:r>
            <w:r>
              <w:rPr>
                <w:rFonts w:ascii="Arial" w:cs="Arial" w:eastAsia="Arial" w:hAnsi="Arial"/>
                <w:sz w:val="23"/>
                <w:szCs w:val="23"/>
                <w:b w:val="1"/>
                <w:bCs w:val="1"/>
                <w:color w:val="FFFFFF"/>
                <w:w w:val="97"/>
                <w:vertAlign w:val="superscript"/>
              </w:rPr>
              <w:t>(4)</w:t>
            </w:r>
          </w:p>
        </w:tc>
        <w:tc>
          <w:tcPr>
            <w:tcW w:w="1160" w:type="dxa"/>
            <w:vAlign w:val="bottom"/>
            <w:shd w:val="clear" w:color="auto" w:fill="819F7C"/>
          </w:tcPr>
          <w:p>
            <w:pPr>
              <w:jc w:val="center"/>
              <w:spacing w:after="0" w:line="242" w:lineRule="exact"/>
              <w:rPr>
                <w:sz w:val="20"/>
                <w:szCs w:val="20"/>
                <w:color w:val="auto"/>
              </w:rPr>
            </w:pPr>
            <w:r>
              <w:rPr>
                <w:rFonts w:ascii="Arial" w:cs="Arial" w:eastAsia="Arial" w:hAnsi="Arial"/>
                <w:sz w:val="14"/>
                <w:szCs w:val="14"/>
                <w:b w:val="1"/>
                <w:bCs w:val="1"/>
                <w:color w:val="FFFFFF"/>
                <w:w w:val="97"/>
              </w:rPr>
              <w:t>NEOs ($)</w:t>
            </w:r>
            <w:r>
              <w:rPr>
                <w:rFonts w:ascii="Arial" w:cs="Arial" w:eastAsia="Arial" w:hAnsi="Arial"/>
                <w:sz w:val="23"/>
                <w:szCs w:val="23"/>
                <w:b w:val="1"/>
                <w:bCs w:val="1"/>
                <w:color w:val="FFFFFF"/>
                <w:w w:val="97"/>
                <w:vertAlign w:val="superscript"/>
              </w:rPr>
              <w:t>(5)</w:t>
            </w:r>
          </w:p>
        </w:tc>
        <w:tc>
          <w:tcPr>
            <w:tcW w:w="1020" w:type="dxa"/>
            <w:vAlign w:val="bottom"/>
            <w:shd w:val="clear" w:color="auto" w:fill="819F7C"/>
          </w:tcPr>
          <w:p>
            <w:pPr>
              <w:jc w:val="right"/>
              <w:ind w:right="52"/>
              <w:spacing w:after="0" w:line="242"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23"/>
                <w:szCs w:val="23"/>
                <w:b w:val="1"/>
                <w:bCs w:val="1"/>
                <w:color w:val="FFFFFF"/>
                <w:vertAlign w:val="superscript"/>
              </w:rPr>
              <w:t>(6)</w:t>
            </w:r>
          </w:p>
        </w:tc>
        <w:tc>
          <w:tcPr>
            <w:tcW w:w="960" w:type="dxa"/>
            <w:vAlign w:val="bottom"/>
            <w:shd w:val="clear" w:color="auto" w:fill="819F7C"/>
          </w:tcPr>
          <w:p>
            <w:pPr>
              <w:jc w:val="center"/>
              <w:spacing w:after="0" w:line="242" w:lineRule="exact"/>
              <w:rPr>
                <w:sz w:val="20"/>
                <w:szCs w:val="20"/>
                <w:color w:val="auto"/>
              </w:rPr>
            </w:pPr>
            <w:r>
              <w:rPr>
                <w:rFonts w:ascii="Arial" w:cs="Arial" w:eastAsia="Arial" w:hAnsi="Arial"/>
                <w:sz w:val="14"/>
                <w:szCs w:val="14"/>
                <w:b w:val="1"/>
                <w:bCs w:val="1"/>
                <w:color w:val="FFFFFF"/>
                <w:w w:val="96"/>
              </w:rPr>
              <w:t>Return($)</w:t>
            </w:r>
            <w:r>
              <w:rPr>
                <w:rFonts w:ascii="Arial" w:cs="Arial" w:eastAsia="Arial" w:hAnsi="Arial"/>
                <w:sz w:val="23"/>
                <w:szCs w:val="23"/>
                <w:b w:val="1"/>
                <w:bCs w:val="1"/>
                <w:color w:val="FFFFFF"/>
                <w:w w:val="96"/>
                <w:vertAlign w:val="superscript"/>
              </w:rPr>
              <w:t>(7)</w:t>
            </w:r>
          </w:p>
        </w:tc>
        <w:tc>
          <w:tcPr>
            <w:tcW w:w="1000" w:type="dxa"/>
            <w:vAlign w:val="bottom"/>
            <w:shd w:val="clear" w:color="auto" w:fill="819F7C"/>
          </w:tcPr>
          <w:p>
            <w:pPr>
              <w:jc w:val="right"/>
              <w:ind w:right="254"/>
              <w:spacing w:after="0" w:line="242"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(8)</w:t>
            </w:r>
          </w:p>
        </w:tc>
        <w:tc>
          <w:tcPr>
            <w:tcW w:w="1000" w:type="dxa"/>
            <w:vAlign w:val="bottom"/>
            <w:shd w:val="clear" w:color="auto" w:fill="819F7C"/>
          </w:tcPr>
          <w:p>
            <w:pPr>
              <w:jc w:val="center"/>
              <w:spacing w:after="0" w:line="242"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3"/>
                <w:szCs w:val="23"/>
                <w:b w:val="1"/>
                <w:bCs w:val="1"/>
                <w:color w:val="FFFFFF"/>
                <w:w w:val="89"/>
                <w:vertAlign w:val="superscript"/>
              </w:rPr>
              <w:t>(9)</w:t>
            </w:r>
          </w:p>
        </w:tc>
        <w:tc>
          <w:tcPr>
            <w:tcW w:w="0" w:type="dxa"/>
            <w:vAlign w:val="bottom"/>
          </w:tcPr>
          <w:p>
            <w:pPr>
              <w:spacing w:after="0"/>
              <w:rPr>
                <w:sz w:val="1"/>
                <w:szCs w:val="1"/>
                <w:color w:val="auto"/>
              </w:rPr>
            </w:pPr>
          </w:p>
        </w:tc>
      </w:tr>
      <w:tr>
        <w:trPr>
          <w:trHeight w:val="196"/>
        </w:trPr>
        <w:tc>
          <w:tcPr>
            <w:tcW w:w="580" w:type="dxa"/>
            <w:vAlign w:val="bottom"/>
            <w:tcBorders>
              <w:bottom w:val="single" w:sz="8" w:color="E5E9E3"/>
            </w:tcBorders>
            <w:shd w:val="clear" w:color="auto" w:fill="E5E9E3"/>
          </w:tcPr>
          <w:p>
            <w:pPr>
              <w:ind w:left="60"/>
              <w:spacing w:after="0"/>
              <w:rPr>
                <w:sz w:val="20"/>
                <w:szCs w:val="20"/>
                <w:color w:val="auto"/>
              </w:rPr>
            </w:pPr>
            <w:r>
              <w:rPr>
                <w:rFonts w:ascii="Arial" w:cs="Arial" w:eastAsia="Arial" w:hAnsi="Arial"/>
                <w:sz w:val="13"/>
                <w:szCs w:val="13"/>
                <w:color w:val="auto"/>
              </w:rPr>
              <w:t>2024</w:t>
            </w:r>
          </w:p>
        </w:tc>
        <w:tc>
          <w:tcPr>
            <w:tcW w:w="1160" w:type="dxa"/>
            <w:vAlign w:val="bottom"/>
            <w:tcBorders>
              <w:bottom w:val="single" w:sz="8" w:color="E5E9E3"/>
            </w:tcBorders>
            <w:shd w:val="clear" w:color="auto" w:fill="E5E9E3"/>
          </w:tcPr>
          <w:p>
            <w:pPr>
              <w:jc w:val="right"/>
              <w:ind w:right="33"/>
              <w:spacing w:after="0"/>
              <w:rPr>
                <w:sz w:val="20"/>
                <w:szCs w:val="20"/>
                <w:color w:val="auto"/>
              </w:rPr>
            </w:pPr>
            <w:r>
              <w:rPr>
                <w:rFonts w:ascii="Arial" w:cs="Arial" w:eastAsia="Arial" w:hAnsi="Arial"/>
                <w:sz w:val="13"/>
                <w:szCs w:val="13"/>
                <w:color w:val="auto"/>
              </w:rPr>
              <w:t>11,082,191</w:t>
            </w:r>
          </w:p>
        </w:tc>
        <w:tc>
          <w:tcPr>
            <w:tcW w:w="1140" w:type="dxa"/>
            <w:vAlign w:val="bottom"/>
            <w:tcBorders>
              <w:bottom w:val="single" w:sz="8" w:color="E5E9E3"/>
            </w:tcBorders>
            <w:shd w:val="clear" w:color="auto" w:fill="E5E9E3"/>
          </w:tcPr>
          <w:p>
            <w:pPr>
              <w:jc w:val="right"/>
              <w:ind w:right="13"/>
              <w:spacing w:after="0"/>
              <w:rPr>
                <w:sz w:val="20"/>
                <w:szCs w:val="20"/>
                <w:color w:val="auto"/>
              </w:rPr>
            </w:pPr>
            <w:r>
              <w:rPr>
                <w:rFonts w:ascii="Arial" w:cs="Arial" w:eastAsia="Arial" w:hAnsi="Arial"/>
                <w:sz w:val="13"/>
                <w:szCs w:val="13"/>
                <w:color w:val="auto"/>
              </w:rPr>
              <w:t>22,024,695</w:t>
            </w:r>
          </w:p>
        </w:tc>
        <w:tc>
          <w:tcPr>
            <w:tcW w:w="1160" w:type="dxa"/>
            <w:vAlign w:val="bottom"/>
            <w:tcBorders>
              <w:bottom w:val="single" w:sz="8" w:color="E5E9E3"/>
            </w:tcBorders>
            <w:shd w:val="clear" w:color="auto" w:fill="E5E9E3"/>
          </w:tcPr>
          <w:p>
            <w:pPr>
              <w:jc w:val="right"/>
              <w:ind w:right="12"/>
              <w:spacing w:after="0"/>
              <w:rPr>
                <w:sz w:val="20"/>
                <w:szCs w:val="20"/>
                <w:color w:val="auto"/>
              </w:rPr>
            </w:pPr>
            <w:r>
              <w:rPr>
                <w:rFonts w:ascii="Arial" w:cs="Arial" w:eastAsia="Arial" w:hAnsi="Arial"/>
                <w:sz w:val="13"/>
                <w:szCs w:val="13"/>
                <w:color w:val="auto"/>
              </w:rPr>
              <w:t>5,460,058</w:t>
            </w:r>
          </w:p>
        </w:tc>
        <w:tc>
          <w:tcPr>
            <w:tcW w:w="1160" w:type="dxa"/>
            <w:vAlign w:val="bottom"/>
            <w:tcBorders>
              <w:bottom w:val="single" w:sz="8" w:color="E5E9E3"/>
            </w:tcBorders>
            <w:shd w:val="clear" w:color="auto" w:fill="E5E9E3"/>
          </w:tcPr>
          <w:p>
            <w:pPr>
              <w:jc w:val="right"/>
              <w:ind w:right="12"/>
              <w:spacing w:after="0"/>
              <w:rPr>
                <w:sz w:val="20"/>
                <w:szCs w:val="20"/>
                <w:color w:val="auto"/>
              </w:rPr>
            </w:pPr>
            <w:r>
              <w:rPr>
                <w:rFonts w:ascii="Arial" w:cs="Arial" w:eastAsia="Arial" w:hAnsi="Arial"/>
                <w:sz w:val="13"/>
                <w:szCs w:val="13"/>
                <w:color w:val="auto"/>
              </w:rPr>
              <w:t>10,114,716</w:t>
            </w:r>
          </w:p>
        </w:tc>
        <w:tc>
          <w:tcPr>
            <w:tcW w:w="1020" w:type="dxa"/>
            <w:vAlign w:val="bottom"/>
            <w:tcBorders>
              <w:bottom w:val="single" w:sz="8" w:color="E5E9E3"/>
            </w:tcBorders>
            <w:shd w:val="clear" w:color="auto" w:fill="E5E9E3"/>
          </w:tcPr>
          <w:p>
            <w:pPr>
              <w:jc w:val="right"/>
              <w:ind w:right="32"/>
              <w:spacing w:after="0"/>
              <w:rPr>
                <w:sz w:val="20"/>
                <w:szCs w:val="20"/>
                <w:color w:val="auto"/>
              </w:rPr>
            </w:pPr>
            <w:r>
              <w:rPr>
                <w:rFonts w:ascii="Arial" w:cs="Arial" w:eastAsia="Arial" w:hAnsi="Arial"/>
                <w:sz w:val="13"/>
                <w:szCs w:val="13"/>
                <w:color w:val="auto"/>
              </w:rPr>
              <w:t>412.45</w:t>
            </w:r>
          </w:p>
        </w:tc>
        <w:tc>
          <w:tcPr>
            <w:tcW w:w="960" w:type="dxa"/>
            <w:vAlign w:val="bottom"/>
            <w:tcBorders>
              <w:bottom w:val="single" w:sz="8" w:color="E5E9E3"/>
            </w:tcBorders>
            <w:shd w:val="clear" w:color="auto" w:fill="E5E9E3"/>
          </w:tcPr>
          <w:p>
            <w:pPr>
              <w:jc w:val="right"/>
              <w:spacing w:after="0"/>
              <w:rPr>
                <w:sz w:val="20"/>
                <w:szCs w:val="20"/>
                <w:color w:val="auto"/>
              </w:rPr>
            </w:pPr>
            <w:r>
              <w:rPr>
                <w:rFonts w:ascii="Arial" w:cs="Arial" w:eastAsia="Arial" w:hAnsi="Arial"/>
                <w:sz w:val="13"/>
                <w:szCs w:val="13"/>
                <w:color w:val="auto"/>
              </w:rPr>
              <w:t>93.26</w:t>
            </w:r>
          </w:p>
        </w:tc>
        <w:tc>
          <w:tcPr>
            <w:tcW w:w="1000" w:type="dxa"/>
            <w:vAlign w:val="bottom"/>
            <w:tcBorders>
              <w:bottom w:val="single" w:sz="8" w:color="E5E9E3"/>
            </w:tcBorders>
            <w:shd w:val="clear" w:color="auto" w:fill="E5E9E3"/>
          </w:tcPr>
          <w:p>
            <w:pPr>
              <w:jc w:val="right"/>
              <w:ind w:right="34"/>
              <w:spacing w:after="0"/>
              <w:rPr>
                <w:sz w:val="20"/>
                <w:szCs w:val="20"/>
                <w:color w:val="auto"/>
              </w:rPr>
            </w:pPr>
            <w:r>
              <w:rPr>
                <w:rFonts w:ascii="Arial" w:cs="Arial" w:eastAsia="Arial" w:hAnsi="Arial"/>
                <w:sz w:val="13"/>
                <w:szCs w:val="13"/>
                <w:color w:val="auto"/>
              </w:rPr>
              <w:t>296,181,000</w:t>
            </w:r>
          </w:p>
        </w:tc>
        <w:tc>
          <w:tcPr>
            <w:tcW w:w="10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3"/>
                <w:szCs w:val="13"/>
                <w:color w:val="auto"/>
                <w:w w:val="96"/>
              </w:rPr>
              <w:t>2,882,967,000</w:t>
            </w:r>
          </w:p>
        </w:tc>
        <w:tc>
          <w:tcPr>
            <w:tcW w:w="0" w:type="dxa"/>
            <w:vAlign w:val="bottom"/>
          </w:tcPr>
          <w:p>
            <w:pPr>
              <w:spacing w:after="0"/>
              <w:rPr>
                <w:sz w:val="1"/>
                <w:szCs w:val="1"/>
                <w:color w:val="auto"/>
              </w:rPr>
            </w:pPr>
          </w:p>
        </w:tc>
      </w:tr>
      <w:tr>
        <w:trPr>
          <w:trHeight w:val="189"/>
        </w:trPr>
        <w:tc>
          <w:tcPr>
            <w:tcW w:w="580" w:type="dxa"/>
            <w:vAlign w:val="bottom"/>
          </w:tcPr>
          <w:p>
            <w:pPr>
              <w:ind w:left="60"/>
              <w:spacing w:after="0"/>
              <w:rPr>
                <w:sz w:val="20"/>
                <w:szCs w:val="20"/>
                <w:color w:val="auto"/>
              </w:rPr>
            </w:pPr>
            <w:r>
              <w:rPr>
                <w:rFonts w:ascii="Arial" w:cs="Arial" w:eastAsia="Arial" w:hAnsi="Arial"/>
                <w:sz w:val="13"/>
                <w:szCs w:val="13"/>
                <w:color w:val="auto"/>
              </w:rPr>
              <w:t>2023</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10,527,608</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16,428,208</w:t>
            </w:r>
          </w:p>
        </w:tc>
        <w:tc>
          <w:tcPr>
            <w:tcW w:w="1160" w:type="dxa"/>
            <w:vAlign w:val="bottom"/>
          </w:tcPr>
          <w:p>
            <w:pPr>
              <w:jc w:val="right"/>
              <w:ind w:right="12"/>
              <w:spacing w:after="0"/>
              <w:rPr>
                <w:sz w:val="20"/>
                <w:szCs w:val="20"/>
                <w:color w:val="auto"/>
              </w:rPr>
            </w:pPr>
            <w:r>
              <w:rPr>
                <w:rFonts w:ascii="Arial" w:cs="Arial" w:eastAsia="Arial" w:hAnsi="Arial"/>
                <w:sz w:val="13"/>
                <w:szCs w:val="13"/>
                <w:color w:val="auto"/>
              </w:rPr>
              <w:t>5,203,532</w:t>
            </w:r>
          </w:p>
        </w:tc>
        <w:tc>
          <w:tcPr>
            <w:tcW w:w="1160" w:type="dxa"/>
            <w:vAlign w:val="bottom"/>
          </w:tcPr>
          <w:p>
            <w:pPr>
              <w:jc w:val="right"/>
              <w:ind w:right="32"/>
              <w:spacing w:after="0"/>
              <w:rPr>
                <w:sz w:val="20"/>
                <w:szCs w:val="20"/>
                <w:color w:val="auto"/>
              </w:rPr>
            </w:pPr>
            <w:r>
              <w:rPr>
                <w:rFonts w:ascii="Arial" w:cs="Arial" w:eastAsia="Arial" w:hAnsi="Arial"/>
                <w:sz w:val="13"/>
                <w:szCs w:val="13"/>
                <w:color w:val="auto"/>
              </w:rPr>
              <w:t>7,754,768</w:t>
            </w:r>
          </w:p>
        </w:tc>
        <w:tc>
          <w:tcPr>
            <w:tcW w:w="1020" w:type="dxa"/>
            <w:vAlign w:val="bottom"/>
          </w:tcPr>
          <w:p>
            <w:pPr>
              <w:jc w:val="right"/>
              <w:ind w:right="32"/>
              <w:spacing w:after="0"/>
              <w:rPr>
                <w:sz w:val="20"/>
                <w:szCs w:val="20"/>
                <w:color w:val="auto"/>
              </w:rPr>
            </w:pPr>
            <w:r>
              <w:rPr>
                <w:rFonts w:ascii="Arial" w:cs="Arial" w:eastAsia="Arial" w:hAnsi="Arial"/>
                <w:sz w:val="13"/>
                <w:szCs w:val="13"/>
                <w:color w:val="auto"/>
              </w:rPr>
              <w:t>218.84</w:t>
            </w:r>
          </w:p>
        </w:tc>
        <w:tc>
          <w:tcPr>
            <w:tcW w:w="960" w:type="dxa"/>
            <w:vAlign w:val="bottom"/>
          </w:tcPr>
          <w:p>
            <w:pPr>
              <w:jc w:val="right"/>
              <w:spacing w:after="0"/>
              <w:rPr>
                <w:sz w:val="20"/>
                <w:szCs w:val="20"/>
                <w:color w:val="auto"/>
              </w:rPr>
            </w:pPr>
            <w:r>
              <w:rPr>
                <w:rFonts w:ascii="Arial" w:cs="Arial" w:eastAsia="Arial" w:hAnsi="Arial"/>
                <w:sz w:val="13"/>
                <w:szCs w:val="13"/>
                <w:color w:val="auto"/>
              </w:rPr>
              <w:t>94.58</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247,913,000</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2,645,237,000</w:t>
            </w: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E5E9E3"/>
            </w:tcBorders>
            <w:shd w:val="clear" w:color="auto" w:fill="E5E9E3"/>
          </w:tcPr>
          <w:p>
            <w:pPr>
              <w:ind w:left="60"/>
              <w:spacing w:after="0"/>
              <w:rPr>
                <w:sz w:val="20"/>
                <w:szCs w:val="20"/>
                <w:color w:val="auto"/>
              </w:rPr>
            </w:pPr>
            <w:r>
              <w:rPr>
                <w:rFonts w:ascii="Arial" w:cs="Arial" w:eastAsia="Arial" w:hAnsi="Arial"/>
                <w:sz w:val="13"/>
                <w:szCs w:val="13"/>
                <w:color w:val="auto"/>
              </w:rPr>
              <w:t>2022</w:t>
            </w:r>
          </w:p>
        </w:tc>
        <w:tc>
          <w:tcPr>
            <w:tcW w:w="1160" w:type="dxa"/>
            <w:vAlign w:val="bottom"/>
            <w:tcBorders>
              <w:bottom w:val="single" w:sz="8" w:color="E5E9E3"/>
            </w:tcBorders>
            <w:shd w:val="clear" w:color="auto" w:fill="E5E9E3"/>
          </w:tcPr>
          <w:p>
            <w:pPr>
              <w:jc w:val="right"/>
              <w:ind w:right="13"/>
              <w:spacing w:after="0"/>
              <w:rPr>
                <w:sz w:val="20"/>
                <w:szCs w:val="20"/>
                <w:color w:val="auto"/>
              </w:rPr>
            </w:pPr>
            <w:r>
              <w:rPr>
                <w:rFonts w:ascii="Arial" w:cs="Arial" w:eastAsia="Arial" w:hAnsi="Arial"/>
                <w:sz w:val="13"/>
                <w:szCs w:val="13"/>
                <w:color w:val="auto"/>
              </w:rPr>
              <w:t>9,936,955</w:t>
            </w:r>
          </w:p>
        </w:tc>
        <w:tc>
          <w:tcPr>
            <w:tcW w:w="1140" w:type="dxa"/>
            <w:vAlign w:val="bottom"/>
            <w:tcBorders>
              <w:bottom w:val="single" w:sz="8" w:color="E5E9E3"/>
            </w:tcBorders>
            <w:shd w:val="clear" w:color="auto" w:fill="E5E9E3"/>
          </w:tcPr>
          <w:p>
            <w:pPr>
              <w:jc w:val="right"/>
              <w:ind w:right="13"/>
              <w:spacing w:after="0"/>
              <w:rPr>
                <w:sz w:val="20"/>
                <w:szCs w:val="20"/>
                <w:color w:val="auto"/>
              </w:rPr>
            </w:pPr>
            <w:r>
              <w:rPr>
                <w:rFonts w:ascii="Arial" w:cs="Arial" w:eastAsia="Arial" w:hAnsi="Arial"/>
                <w:sz w:val="13"/>
                <w:szCs w:val="13"/>
                <w:color w:val="auto"/>
              </w:rPr>
              <w:t>7,818,062</w:t>
            </w:r>
          </w:p>
        </w:tc>
        <w:tc>
          <w:tcPr>
            <w:tcW w:w="1160" w:type="dxa"/>
            <w:vAlign w:val="bottom"/>
            <w:tcBorders>
              <w:bottom w:val="single" w:sz="8" w:color="E5E9E3"/>
            </w:tcBorders>
            <w:shd w:val="clear" w:color="auto" w:fill="E5E9E3"/>
          </w:tcPr>
          <w:p>
            <w:pPr>
              <w:jc w:val="right"/>
              <w:ind w:right="12"/>
              <w:spacing w:after="0"/>
              <w:rPr>
                <w:sz w:val="20"/>
                <w:szCs w:val="20"/>
                <w:color w:val="auto"/>
              </w:rPr>
            </w:pPr>
            <w:r>
              <w:rPr>
                <w:rFonts w:ascii="Arial" w:cs="Arial" w:eastAsia="Arial" w:hAnsi="Arial"/>
                <w:sz w:val="13"/>
                <w:szCs w:val="13"/>
                <w:color w:val="auto"/>
              </w:rPr>
              <w:t>4,798,154</w:t>
            </w:r>
          </w:p>
        </w:tc>
        <w:tc>
          <w:tcPr>
            <w:tcW w:w="1160" w:type="dxa"/>
            <w:vAlign w:val="bottom"/>
            <w:tcBorders>
              <w:bottom w:val="single" w:sz="8" w:color="E5E9E3"/>
            </w:tcBorders>
            <w:shd w:val="clear" w:color="auto" w:fill="E5E9E3"/>
          </w:tcPr>
          <w:p>
            <w:pPr>
              <w:jc w:val="right"/>
              <w:ind w:right="32"/>
              <w:spacing w:after="0"/>
              <w:rPr>
                <w:sz w:val="20"/>
                <w:szCs w:val="20"/>
                <w:color w:val="auto"/>
              </w:rPr>
            </w:pPr>
            <w:r>
              <w:rPr>
                <w:rFonts w:ascii="Arial" w:cs="Arial" w:eastAsia="Arial" w:hAnsi="Arial"/>
                <w:sz w:val="13"/>
                <w:szCs w:val="13"/>
                <w:color w:val="auto"/>
              </w:rPr>
              <w:t>3,840,220</w:t>
            </w:r>
          </w:p>
        </w:tc>
        <w:tc>
          <w:tcPr>
            <w:tcW w:w="1020" w:type="dxa"/>
            <w:vAlign w:val="bottom"/>
            <w:tcBorders>
              <w:bottom w:val="single" w:sz="8" w:color="E5E9E3"/>
            </w:tcBorders>
            <w:shd w:val="clear" w:color="auto" w:fill="E5E9E3"/>
          </w:tcPr>
          <w:p>
            <w:pPr>
              <w:jc w:val="right"/>
              <w:ind w:right="32"/>
              <w:spacing w:after="0"/>
              <w:rPr>
                <w:sz w:val="20"/>
                <w:szCs w:val="20"/>
                <w:color w:val="auto"/>
              </w:rPr>
            </w:pPr>
            <w:r>
              <w:rPr>
                <w:rFonts w:ascii="Arial" w:cs="Arial" w:eastAsia="Arial" w:hAnsi="Arial"/>
                <w:sz w:val="13"/>
                <w:szCs w:val="13"/>
                <w:color w:val="auto"/>
              </w:rPr>
              <w:t>140.20</w:t>
            </w:r>
          </w:p>
        </w:tc>
        <w:tc>
          <w:tcPr>
            <w:tcW w:w="960" w:type="dxa"/>
            <w:vAlign w:val="bottom"/>
            <w:tcBorders>
              <w:bottom w:val="single" w:sz="8" w:color="E5E9E3"/>
            </w:tcBorders>
            <w:shd w:val="clear" w:color="auto" w:fill="E5E9E3"/>
          </w:tcPr>
          <w:p>
            <w:pPr>
              <w:jc w:val="right"/>
              <w:spacing w:after="0"/>
              <w:rPr>
                <w:sz w:val="20"/>
                <w:szCs w:val="20"/>
                <w:color w:val="auto"/>
              </w:rPr>
            </w:pPr>
            <w:r>
              <w:rPr>
                <w:rFonts w:ascii="Arial" w:cs="Arial" w:eastAsia="Arial" w:hAnsi="Arial"/>
                <w:sz w:val="13"/>
                <w:szCs w:val="13"/>
                <w:color w:val="auto"/>
              </w:rPr>
              <w:t>93.59</w:t>
            </w:r>
          </w:p>
        </w:tc>
        <w:tc>
          <w:tcPr>
            <w:tcW w:w="1000" w:type="dxa"/>
            <w:vAlign w:val="bottom"/>
            <w:tcBorders>
              <w:bottom w:val="single" w:sz="8" w:color="E5E9E3"/>
            </w:tcBorders>
            <w:shd w:val="clear" w:color="auto" w:fill="E5E9E3"/>
          </w:tcPr>
          <w:p>
            <w:pPr>
              <w:jc w:val="right"/>
              <w:ind w:right="34"/>
              <w:spacing w:after="0"/>
              <w:rPr>
                <w:sz w:val="20"/>
                <w:szCs w:val="20"/>
                <w:color w:val="auto"/>
              </w:rPr>
            </w:pPr>
            <w:r>
              <w:rPr>
                <w:rFonts w:ascii="Arial" w:cs="Arial" w:eastAsia="Arial" w:hAnsi="Arial"/>
                <w:sz w:val="13"/>
                <w:szCs w:val="13"/>
                <w:color w:val="auto"/>
              </w:rPr>
              <w:t>200,380,000</w:t>
            </w:r>
          </w:p>
        </w:tc>
        <w:tc>
          <w:tcPr>
            <w:tcW w:w="1000" w:type="dxa"/>
            <w:vAlign w:val="bottom"/>
            <w:tcBorders>
              <w:bottom w:val="single" w:sz="8" w:color="E5E9E3"/>
            </w:tcBorders>
            <w:shd w:val="clear" w:color="auto" w:fill="E5E9E3"/>
          </w:tcPr>
          <w:p>
            <w:pPr>
              <w:jc w:val="center"/>
              <w:spacing w:after="0"/>
              <w:rPr>
                <w:sz w:val="20"/>
                <w:szCs w:val="20"/>
                <w:color w:val="auto"/>
              </w:rPr>
            </w:pPr>
            <w:r>
              <w:rPr>
                <w:rFonts w:ascii="Arial" w:cs="Arial" w:eastAsia="Arial" w:hAnsi="Arial"/>
                <w:sz w:val="13"/>
                <w:szCs w:val="13"/>
                <w:color w:val="auto"/>
                <w:w w:val="96"/>
              </w:rPr>
              <w:t>2,262,224,000</w:t>
            </w:r>
          </w:p>
        </w:tc>
        <w:tc>
          <w:tcPr>
            <w:tcW w:w="0" w:type="dxa"/>
            <w:vAlign w:val="bottom"/>
          </w:tcPr>
          <w:p>
            <w:pPr>
              <w:spacing w:after="0"/>
              <w:rPr>
                <w:sz w:val="1"/>
                <w:szCs w:val="1"/>
                <w:color w:val="auto"/>
              </w:rPr>
            </w:pPr>
          </w:p>
        </w:tc>
      </w:tr>
      <w:tr>
        <w:trPr>
          <w:trHeight w:val="196"/>
        </w:trPr>
        <w:tc>
          <w:tcPr>
            <w:tcW w:w="580" w:type="dxa"/>
            <w:vAlign w:val="bottom"/>
          </w:tcPr>
          <w:p>
            <w:pPr>
              <w:ind w:left="60"/>
              <w:spacing w:after="0"/>
              <w:rPr>
                <w:sz w:val="20"/>
                <w:szCs w:val="20"/>
                <w:color w:val="auto"/>
              </w:rPr>
            </w:pPr>
            <w:r>
              <w:rPr>
                <w:rFonts w:ascii="Arial" w:cs="Arial" w:eastAsia="Arial" w:hAnsi="Arial"/>
                <w:sz w:val="13"/>
                <w:szCs w:val="13"/>
                <w:color w:val="auto"/>
              </w:rPr>
              <w:t>2021</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7,861,070</w:t>
            </w:r>
          </w:p>
        </w:tc>
        <w:tc>
          <w:tcPr>
            <w:tcW w:w="1140" w:type="dxa"/>
            <w:vAlign w:val="bottom"/>
          </w:tcPr>
          <w:p>
            <w:pPr>
              <w:jc w:val="right"/>
              <w:ind w:right="13"/>
              <w:spacing w:after="0"/>
              <w:rPr>
                <w:sz w:val="20"/>
                <w:szCs w:val="20"/>
                <w:color w:val="auto"/>
              </w:rPr>
            </w:pPr>
            <w:r>
              <w:rPr>
                <w:rFonts w:ascii="Arial" w:cs="Arial" w:eastAsia="Arial" w:hAnsi="Arial"/>
                <w:sz w:val="13"/>
                <w:szCs w:val="13"/>
                <w:color w:val="auto"/>
              </w:rPr>
              <w:t>13,832,541</w:t>
            </w:r>
          </w:p>
        </w:tc>
        <w:tc>
          <w:tcPr>
            <w:tcW w:w="1160" w:type="dxa"/>
            <w:vAlign w:val="bottom"/>
          </w:tcPr>
          <w:p>
            <w:pPr>
              <w:jc w:val="right"/>
              <w:ind w:right="12"/>
              <w:spacing w:after="0"/>
              <w:rPr>
                <w:sz w:val="20"/>
                <w:szCs w:val="20"/>
                <w:color w:val="auto"/>
              </w:rPr>
            </w:pPr>
            <w:r>
              <w:rPr>
                <w:rFonts w:ascii="Arial" w:cs="Arial" w:eastAsia="Arial" w:hAnsi="Arial"/>
                <w:sz w:val="13"/>
                <w:szCs w:val="13"/>
                <w:color w:val="auto"/>
              </w:rPr>
              <w:t>5,447,900</w:t>
            </w:r>
          </w:p>
        </w:tc>
        <w:tc>
          <w:tcPr>
            <w:tcW w:w="1160" w:type="dxa"/>
            <w:vAlign w:val="bottom"/>
          </w:tcPr>
          <w:p>
            <w:pPr>
              <w:jc w:val="right"/>
              <w:ind w:right="32"/>
              <w:spacing w:after="0"/>
              <w:rPr>
                <w:sz w:val="20"/>
                <w:szCs w:val="20"/>
                <w:color w:val="auto"/>
              </w:rPr>
            </w:pPr>
            <w:r>
              <w:rPr>
                <w:rFonts w:ascii="Arial" w:cs="Arial" w:eastAsia="Arial" w:hAnsi="Arial"/>
                <w:sz w:val="13"/>
                <w:szCs w:val="13"/>
                <w:color w:val="auto"/>
              </w:rPr>
              <w:t>7,965,580</w:t>
            </w:r>
          </w:p>
        </w:tc>
        <w:tc>
          <w:tcPr>
            <w:tcW w:w="1020" w:type="dxa"/>
            <w:vAlign w:val="bottom"/>
          </w:tcPr>
          <w:p>
            <w:pPr>
              <w:jc w:val="right"/>
              <w:ind w:right="32"/>
              <w:spacing w:after="0"/>
              <w:rPr>
                <w:sz w:val="20"/>
                <w:szCs w:val="20"/>
                <w:color w:val="auto"/>
              </w:rPr>
            </w:pPr>
            <w:r>
              <w:rPr>
                <w:rFonts w:ascii="Arial" w:cs="Arial" w:eastAsia="Arial" w:hAnsi="Arial"/>
                <w:sz w:val="13"/>
                <w:szCs w:val="13"/>
                <w:color w:val="auto"/>
              </w:rPr>
              <w:t>160.56</w:t>
            </w:r>
          </w:p>
        </w:tc>
        <w:tc>
          <w:tcPr>
            <w:tcW w:w="960" w:type="dxa"/>
            <w:vAlign w:val="bottom"/>
          </w:tcPr>
          <w:p>
            <w:pPr>
              <w:jc w:val="right"/>
              <w:spacing w:after="0"/>
              <w:rPr>
                <w:sz w:val="20"/>
                <w:szCs w:val="20"/>
                <w:color w:val="auto"/>
              </w:rPr>
            </w:pPr>
            <w:r>
              <w:rPr>
                <w:rFonts w:ascii="Arial" w:cs="Arial" w:eastAsia="Arial" w:hAnsi="Arial"/>
                <w:sz w:val="13"/>
                <w:szCs w:val="13"/>
                <w:color w:val="auto"/>
              </w:rPr>
              <w:t>125.54</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148,341,000</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1,879,350,000</w:t>
            </w:r>
          </w:p>
        </w:tc>
        <w:tc>
          <w:tcPr>
            <w:tcW w:w="0" w:type="dxa"/>
            <w:vAlign w:val="bottom"/>
          </w:tcPr>
          <w:p>
            <w:pPr>
              <w:spacing w:after="0"/>
              <w:rPr>
                <w:sz w:val="1"/>
                <w:szCs w:val="1"/>
                <w:color w:val="auto"/>
              </w:rPr>
            </w:pPr>
          </w:p>
        </w:tc>
      </w:tr>
      <w:tr>
        <w:trPr>
          <w:trHeight w:val="101"/>
        </w:trPr>
        <w:tc>
          <w:tcPr>
            <w:tcW w:w="580" w:type="dxa"/>
            <w:vAlign w:val="bottom"/>
            <w:shd w:val="clear" w:color="auto" w:fill="819F7C"/>
          </w:tcPr>
          <w:p>
            <w:pPr>
              <w:spacing w:after="0"/>
              <w:rPr>
                <w:sz w:val="8"/>
                <w:szCs w:val="8"/>
                <w:color w:val="auto"/>
              </w:rPr>
            </w:pPr>
          </w:p>
        </w:tc>
        <w:tc>
          <w:tcPr>
            <w:tcW w:w="1160" w:type="dxa"/>
            <w:vAlign w:val="bottom"/>
            <w:shd w:val="clear" w:color="auto" w:fill="819F7C"/>
          </w:tcPr>
          <w:p>
            <w:pPr>
              <w:spacing w:after="0"/>
              <w:rPr>
                <w:sz w:val="8"/>
                <w:szCs w:val="8"/>
                <w:color w:val="auto"/>
              </w:rPr>
            </w:pPr>
          </w:p>
        </w:tc>
        <w:tc>
          <w:tcPr>
            <w:tcW w:w="1140" w:type="dxa"/>
            <w:vAlign w:val="bottom"/>
            <w:shd w:val="clear" w:color="auto" w:fill="819F7C"/>
          </w:tcPr>
          <w:p>
            <w:pPr>
              <w:spacing w:after="0"/>
              <w:rPr>
                <w:sz w:val="8"/>
                <w:szCs w:val="8"/>
                <w:color w:val="auto"/>
              </w:rPr>
            </w:pPr>
          </w:p>
        </w:tc>
        <w:tc>
          <w:tcPr>
            <w:tcW w:w="1160" w:type="dxa"/>
            <w:vAlign w:val="bottom"/>
            <w:shd w:val="clear" w:color="auto" w:fill="819F7C"/>
          </w:tcPr>
          <w:p>
            <w:pPr>
              <w:spacing w:after="0"/>
              <w:rPr>
                <w:sz w:val="8"/>
                <w:szCs w:val="8"/>
                <w:color w:val="auto"/>
              </w:rPr>
            </w:pPr>
          </w:p>
        </w:tc>
        <w:tc>
          <w:tcPr>
            <w:tcW w:w="1160" w:type="dxa"/>
            <w:vAlign w:val="bottom"/>
            <w:shd w:val="clear" w:color="auto" w:fill="819F7C"/>
          </w:tcPr>
          <w:p>
            <w:pPr>
              <w:spacing w:after="0"/>
              <w:rPr>
                <w:sz w:val="8"/>
                <w:szCs w:val="8"/>
                <w:color w:val="auto"/>
              </w:rPr>
            </w:pPr>
          </w:p>
        </w:tc>
        <w:tc>
          <w:tcPr>
            <w:tcW w:w="1020" w:type="dxa"/>
            <w:vAlign w:val="bottom"/>
            <w:shd w:val="clear" w:color="auto" w:fill="819F7C"/>
          </w:tcPr>
          <w:p>
            <w:pPr>
              <w:spacing w:after="0"/>
              <w:rPr>
                <w:sz w:val="8"/>
                <w:szCs w:val="8"/>
                <w:color w:val="auto"/>
              </w:rPr>
            </w:pPr>
          </w:p>
        </w:tc>
        <w:tc>
          <w:tcPr>
            <w:tcW w:w="960" w:type="dxa"/>
            <w:vAlign w:val="bottom"/>
            <w:shd w:val="clear" w:color="auto" w:fill="819F7C"/>
          </w:tcPr>
          <w:p>
            <w:pPr>
              <w:spacing w:after="0"/>
              <w:rPr>
                <w:sz w:val="8"/>
                <w:szCs w:val="8"/>
                <w:color w:val="auto"/>
              </w:rPr>
            </w:pPr>
          </w:p>
        </w:tc>
        <w:tc>
          <w:tcPr>
            <w:tcW w:w="1000" w:type="dxa"/>
            <w:vAlign w:val="bottom"/>
            <w:shd w:val="clear" w:color="auto" w:fill="819F7C"/>
          </w:tcPr>
          <w:p>
            <w:pPr>
              <w:spacing w:after="0"/>
              <w:rPr>
                <w:sz w:val="8"/>
                <w:szCs w:val="8"/>
                <w:color w:val="auto"/>
              </w:rPr>
            </w:pPr>
          </w:p>
        </w:tc>
        <w:tc>
          <w:tcPr>
            <w:tcW w:w="1000" w:type="dxa"/>
            <w:vAlign w:val="bottom"/>
            <w:shd w:val="clear" w:color="auto" w:fill="819F7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-1096645</wp:posOffset>
            </wp:positionV>
            <wp:extent cx="11830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62" w:lineRule="exact"/>
        <w:rPr>
          <w:sz w:val="20"/>
          <w:szCs w:val="20"/>
          <w:color w:val="auto"/>
        </w:rPr>
      </w:pPr>
    </w:p>
    <w:p>
      <w:pPr>
        <w:ind w:left="60"/>
        <w:spacing w:after="0"/>
        <w:tabs>
          <w:tab w:leader="none" w:pos="320" w:val="left"/>
        </w:tabs>
        <w:rPr>
          <w:sz w:val="20"/>
          <w:szCs w:val="20"/>
          <w:color w:val="auto"/>
        </w:rPr>
      </w:pPr>
      <w:r>
        <w:rPr>
          <w:rFonts w:ascii="Arial" w:cs="Arial" w:eastAsia="Arial" w:hAnsi="Arial"/>
          <w:sz w:val="13"/>
          <w:szCs w:val="13"/>
          <w:color w:val="auto"/>
        </w:rPr>
        <w:t>(1)</w:t>
        <w:tab/>
        <w:t>The following table shows our PEO and non-PEO NEOs for each of the reported fiscal years.</w:t>
      </w:r>
    </w:p>
    <w:p>
      <w:pPr>
        <w:spacing w:after="0" w:line="133" w:lineRule="exact"/>
        <w:rPr>
          <w:sz w:val="20"/>
          <w:szCs w:val="20"/>
          <w:color w:val="auto"/>
        </w:rPr>
      </w:pPr>
    </w:p>
    <w:tbl>
      <w:tblPr>
        <w:tblLayout w:type="fixed"/>
        <w:tblInd w:w="420" w:type="dxa"/>
        <w:tblCellMar>
          <w:top w:w="0" w:type="dxa"/>
          <w:left w:w="0" w:type="dxa"/>
          <w:bottom w:w="0" w:type="dxa"/>
          <w:right w:w="0" w:type="dxa"/>
        </w:tblCellMar>
      </w:tblPr>
      <w:tr>
        <w:trPr>
          <w:trHeight w:val="311"/>
        </w:trPr>
        <w:tc>
          <w:tcPr>
            <w:tcW w:w="2060" w:type="dxa"/>
            <w:vAlign w:val="bottom"/>
            <w:shd w:val="clear" w:color="auto" w:fill="819F7C"/>
          </w:tcPr>
          <w:p>
            <w:pPr>
              <w:spacing w:after="0"/>
              <w:rPr>
                <w:sz w:val="24"/>
                <w:szCs w:val="24"/>
                <w:color w:val="auto"/>
              </w:rPr>
            </w:pPr>
          </w:p>
        </w:tc>
        <w:tc>
          <w:tcPr>
            <w:tcW w:w="2100" w:type="dxa"/>
            <w:vAlign w:val="bottom"/>
            <w:shd w:val="clear" w:color="auto" w:fill="819F7C"/>
          </w:tcPr>
          <w:p>
            <w:pPr>
              <w:ind w:left="1060"/>
              <w:spacing w:after="0"/>
              <w:rPr>
                <w:sz w:val="20"/>
                <w:szCs w:val="20"/>
                <w:color w:val="auto"/>
              </w:rPr>
            </w:pPr>
            <w:r>
              <w:rPr>
                <w:rFonts w:ascii="Arial" w:cs="Arial" w:eastAsia="Arial" w:hAnsi="Arial"/>
                <w:sz w:val="14"/>
                <w:szCs w:val="14"/>
                <w:b w:val="1"/>
                <w:bCs w:val="1"/>
                <w:color w:val="FFFFFF"/>
              </w:rPr>
              <w:t>Fiscal 2024</w:t>
            </w:r>
          </w:p>
        </w:tc>
        <w:tc>
          <w:tcPr>
            <w:tcW w:w="1400" w:type="dxa"/>
            <w:vAlign w:val="bottom"/>
            <w:shd w:val="clear" w:color="auto" w:fill="819F7C"/>
          </w:tcPr>
          <w:p>
            <w:pPr>
              <w:ind w:left="380"/>
              <w:spacing w:after="0"/>
              <w:rPr>
                <w:sz w:val="20"/>
                <w:szCs w:val="20"/>
                <w:color w:val="auto"/>
              </w:rPr>
            </w:pPr>
            <w:r>
              <w:rPr>
                <w:rFonts w:ascii="Arial" w:cs="Arial" w:eastAsia="Arial" w:hAnsi="Arial"/>
                <w:sz w:val="14"/>
                <w:szCs w:val="14"/>
                <w:b w:val="1"/>
                <w:bCs w:val="1"/>
                <w:color w:val="FFFFFF"/>
              </w:rPr>
              <w:t>Fiscal 2023</w:t>
            </w:r>
          </w:p>
        </w:tc>
        <w:tc>
          <w:tcPr>
            <w:tcW w:w="1420" w:type="dxa"/>
            <w:vAlign w:val="bottom"/>
            <w:shd w:val="clear" w:color="auto" w:fill="819F7C"/>
          </w:tcPr>
          <w:p>
            <w:pPr>
              <w:ind w:left="400"/>
              <w:spacing w:after="0"/>
              <w:rPr>
                <w:sz w:val="20"/>
                <w:szCs w:val="20"/>
                <w:color w:val="auto"/>
              </w:rPr>
            </w:pPr>
            <w:r>
              <w:rPr>
                <w:rFonts w:ascii="Arial" w:cs="Arial" w:eastAsia="Arial" w:hAnsi="Arial"/>
                <w:sz w:val="14"/>
                <w:szCs w:val="14"/>
                <w:b w:val="1"/>
                <w:bCs w:val="1"/>
                <w:color w:val="FFFFFF"/>
              </w:rPr>
              <w:t>Fiscal 2022</w:t>
            </w:r>
          </w:p>
        </w:tc>
        <w:tc>
          <w:tcPr>
            <w:tcW w:w="1460" w:type="dxa"/>
            <w:vAlign w:val="bottom"/>
            <w:shd w:val="clear" w:color="auto" w:fill="819F7C"/>
          </w:tcPr>
          <w:p>
            <w:pPr>
              <w:ind w:left="400"/>
              <w:spacing w:after="0"/>
              <w:rPr>
                <w:sz w:val="20"/>
                <w:szCs w:val="20"/>
                <w:color w:val="auto"/>
              </w:rPr>
            </w:pPr>
            <w:r>
              <w:rPr>
                <w:rFonts w:ascii="Arial" w:cs="Arial" w:eastAsia="Arial" w:hAnsi="Arial"/>
                <w:sz w:val="14"/>
                <w:szCs w:val="14"/>
                <w:b w:val="1"/>
                <w:bCs w:val="1"/>
                <w:color w:val="FFFFFF"/>
              </w:rPr>
              <w:t>Fiscal 2021</w:t>
            </w:r>
          </w:p>
        </w:tc>
      </w:tr>
      <w:tr>
        <w:trPr>
          <w:trHeight w:val="243"/>
        </w:trPr>
        <w:tc>
          <w:tcPr>
            <w:tcW w:w="2060" w:type="dxa"/>
            <w:vAlign w:val="bottom"/>
            <w:shd w:val="clear" w:color="auto" w:fill="E5E9E3"/>
          </w:tcPr>
          <w:p>
            <w:pPr>
              <w:ind w:left="80"/>
              <w:spacing w:after="0"/>
              <w:rPr>
                <w:sz w:val="20"/>
                <w:szCs w:val="20"/>
                <w:color w:val="auto"/>
              </w:rPr>
            </w:pPr>
            <w:r>
              <w:rPr>
                <w:rFonts w:ascii="Arial" w:cs="Arial" w:eastAsia="Arial" w:hAnsi="Arial"/>
                <w:sz w:val="14"/>
                <w:szCs w:val="14"/>
                <w:b w:val="1"/>
                <w:bCs w:val="1"/>
                <w:color w:val="auto"/>
              </w:rPr>
              <w:t>PEO</w:t>
            </w:r>
          </w:p>
        </w:tc>
        <w:tc>
          <w:tcPr>
            <w:tcW w:w="2100" w:type="dxa"/>
            <w:vAlign w:val="bottom"/>
            <w:shd w:val="clear" w:color="auto" w:fill="E5E9E3"/>
          </w:tcPr>
          <w:p>
            <w:pPr>
              <w:ind w:left="900"/>
              <w:spacing w:after="0"/>
              <w:rPr>
                <w:sz w:val="20"/>
                <w:szCs w:val="20"/>
                <w:color w:val="auto"/>
              </w:rPr>
            </w:pPr>
            <w:r>
              <w:rPr>
                <w:rFonts w:ascii="Arial" w:cs="Arial" w:eastAsia="Arial" w:hAnsi="Arial"/>
                <w:sz w:val="14"/>
                <w:szCs w:val="14"/>
                <w:color w:val="auto"/>
              </w:rPr>
              <w:t>Seamus Grady</w:t>
            </w:r>
          </w:p>
        </w:tc>
        <w:tc>
          <w:tcPr>
            <w:tcW w:w="1400" w:type="dxa"/>
            <w:vAlign w:val="bottom"/>
            <w:shd w:val="clear" w:color="auto" w:fill="E5E9E3"/>
          </w:tcPr>
          <w:p>
            <w:pPr>
              <w:ind w:left="220"/>
              <w:spacing w:after="0"/>
              <w:rPr>
                <w:sz w:val="20"/>
                <w:szCs w:val="20"/>
                <w:color w:val="auto"/>
              </w:rPr>
            </w:pPr>
            <w:r>
              <w:rPr>
                <w:rFonts w:ascii="Arial" w:cs="Arial" w:eastAsia="Arial" w:hAnsi="Arial"/>
                <w:sz w:val="14"/>
                <w:szCs w:val="14"/>
                <w:color w:val="auto"/>
              </w:rPr>
              <w:t>Seamus Grady</w:t>
            </w:r>
          </w:p>
        </w:tc>
        <w:tc>
          <w:tcPr>
            <w:tcW w:w="1420" w:type="dxa"/>
            <w:vAlign w:val="bottom"/>
            <w:shd w:val="clear" w:color="auto" w:fill="E5E9E3"/>
          </w:tcPr>
          <w:p>
            <w:pPr>
              <w:ind w:left="240"/>
              <w:spacing w:after="0"/>
              <w:rPr>
                <w:sz w:val="20"/>
                <w:szCs w:val="20"/>
                <w:color w:val="auto"/>
              </w:rPr>
            </w:pPr>
            <w:r>
              <w:rPr>
                <w:rFonts w:ascii="Arial" w:cs="Arial" w:eastAsia="Arial" w:hAnsi="Arial"/>
                <w:sz w:val="14"/>
                <w:szCs w:val="14"/>
                <w:color w:val="auto"/>
              </w:rPr>
              <w:t>Seamus Grady</w:t>
            </w:r>
          </w:p>
        </w:tc>
        <w:tc>
          <w:tcPr>
            <w:tcW w:w="1460" w:type="dxa"/>
            <w:vAlign w:val="bottom"/>
            <w:shd w:val="clear" w:color="auto" w:fill="E5E9E3"/>
          </w:tcPr>
          <w:p>
            <w:pPr>
              <w:ind w:left="240"/>
              <w:spacing w:after="0"/>
              <w:rPr>
                <w:sz w:val="20"/>
                <w:szCs w:val="20"/>
                <w:color w:val="auto"/>
              </w:rPr>
            </w:pPr>
            <w:r>
              <w:rPr>
                <w:rFonts w:ascii="Arial" w:cs="Arial" w:eastAsia="Arial" w:hAnsi="Arial"/>
                <w:sz w:val="14"/>
                <w:szCs w:val="14"/>
                <w:color w:val="auto"/>
              </w:rPr>
              <w:t>Seamus Grady</w:t>
            </w:r>
          </w:p>
        </w:tc>
      </w:tr>
      <w:tr>
        <w:trPr>
          <w:trHeight w:val="227"/>
        </w:trPr>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Non-PEO NEOs</w:t>
            </w:r>
          </w:p>
        </w:tc>
        <w:tc>
          <w:tcPr>
            <w:tcW w:w="2100" w:type="dxa"/>
            <w:vAlign w:val="bottom"/>
          </w:tcPr>
          <w:p>
            <w:pPr>
              <w:ind w:left="900"/>
              <w:spacing w:after="0"/>
              <w:rPr>
                <w:sz w:val="20"/>
                <w:szCs w:val="20"/>
                <w:color w:val="auto"/>
              </w:rPr>
            </w:pPr>
            <w:r>
              <w:rPr>
                <w:rFonts w:ascii="Arial" w:cs="Arial" w:eastAsia="Arial" w:hAnsi="Arial"/>
                <w:sz w:val="14"/>
                <w:szCs w:val="14"/>
                <w:color w:val="auto"/>
              </w:rPr>
              <w:t>Dr. Harpal Gill</w:t>
            </w:r>
          </w:p>
        </w:tc>
        <w:tc>
          <w:tcPr>
            <w:tcW w:w="1400" w:type="dxa"/>
            <w:vAlign w:val="bottom"/>
          </w:tcPr>
          <w:p>
            <w:pPr>
              <w:ind w:left="220"/>
              <w:spacing w:after="0"/>
              <w:rPr>
                <w:sz w:val="20"/>
                <w:szCs w:val="20"/>
                <w:color w:val="auto"/>
              </w:rPr>
            </w:pPr>
            <w:r>
              <w:rPr>
                <w:rFonts w:ascii="Arial" w:cs="Arial" w:eastAsia="Arial" w:hAnsi="Arial"/>
                <w:sz w:val="14"/>
                <w:szCs w:val="14"/>
                <w:color w:val="auto"/>
              </w:rPr>
              <w:t>Dr. Harpal Gill</w:t>
            </w:r>
          </w:p>
        </w:tc>
        <w:tc>
          <w:tcPr>
            <w:tcW w:w="1420" w:type="dxa"/>
            <w:vAlign w:val="bottom"/>
          </w:tcPr>
          <w:p>
            <w:pPr>
              <w:ind w:left="240"/>
              <w:spacing w:after="0"/>
              <w:rPr>
                <w:sz w:val="20"/>
                <w:szCs w:val="20"/>
                <w:color w:val="auto"/>
              </w:rPr>
            </w:pPr>
            <w:r>
              <w:rPr>
                <w:rFonts w:ascii="Arial" w:cs="Arial" w:eastAsia="Arial" w:hAnsi="Arial"/>
                <w:sz w:val="14"/>
                <w:szCs w:val="14"/>
                <w:color w:val="auto"/>
              </w:rPr>
              <w:t>Dr. Harpal Gill</w:t>
            </w:r>
          </w:p>
        </w:tc>
        <w:tc>
          <w:tcPr>
            <w:tcW w:w="1460" w:type="dxa"/>
            <w:vAlign w:val="bottom"/>
          </w:tcPr>
          <w:p>
            <w:pPr>
              <w:ind w:left="240"/>
              <w:spacing w:after="0"/>
              <w:rPr>
                <w:sz w:val="20"/>
                <w:szCs w:val="20"/>
                <w:color w:val="auto"/>
              </w:rPr>
            </w:pPr>
            <w:r>
              <w:rPr>
                <w:rFonts w:ascii="Arial" w:cs="Arial" w:eastAsia="Arial" w:hAnsi="Arial"/>
                <w:sz w:val="14"/>
                <w:szCs w:val="14"/>
                <w:color w:val="auto"/>
              </w:rPr>
              <w:t>Dr. Harpal Gill</w:t>
            </w:r>
          </w:p>
        </w:tc>
      </w:tr>
      <w:tr>
        <w:trPr>
          <w:trHeight w:val="237"/>
        </w:trPr>
        <w:tc>
          <w:tcPr>
            <w:tcW w:w="2060" w:type="dxa"/>
            <w:vAlign w:val="bottom"/>
          </w:tcPr>
          <w:p>
            <w:pPr>
              <w:spacing w:after="0"/>
              <w:rPr>
                <w:sz w:val="20"/>
                <w:szCs w:val="20"/>
                <w:color w:val="auto"/>
              </w:rPr>
            </w:pPr>
          </w:p>
        </w:tc>
        <w:tc>
          <w:tcPr>
            <w:tcW w:w="2100" w:type="dxa"/>
            <w:vAlign w:val="bottom"/>
          </w:tcPr>
          <w:p>
            <w:pPr>
              <w:ind w:left="900"/>
              <w:spacing w:after="0"/>
              <w:rPr>
                <w:sz w:val="20"/>
                <w:szCs w:val="20"/>
                <w:color w:val="auto"/>
              </w:rPr>
            </w:pPr>
            <w:r>
              <w:rPr>
                <w:rFonts w:ascii="Arial" w:cs="Arial" w:eastAsia="Arial" w:hAnsi="Arial"/>
                <w:sz w:val="14"/>
                <w:szCs w:val="14"/>
                <w:color w:val="auto"/>
              </w:rPr>
              <w:t>Csaba Sverha</w:t>
            </w:r>
          </w:p>
        </w:tc>
        <w:tc>
          <w:tcPr>
            <w:tcW w:w="1400" w:type="dxa"/>
            <w:vAlign w:val="bottom"/>
          </w:tcPr>
          <w:p>
            <w:pPr>
              <w:ind w:left="220"/>
              <w:spacing w:after="0"/>
              <w:rPr>
                <w:sz w:val="20"/>
                <w:szCs w:val="20"/>
                <w:color w:val="auto"/>
              </w:rPr>
            </w:pPr>
            <w:r>
              <w:rPr>
                <w:rFonts w:ascii="Arial" w:cs="Arial" w:eastAsia="Arial" w:hAnsi="Arial"/>
                <w:sz w:val="14"/>
                <w:szCs w:val="14"/>
                <w:color w:val="auto"/>
              </w:rPr>
              <w:t>Csaba Sverha</w:t>
            </w:r>
          </w:p>
        </w:tc>
        <w:tc>
          <w:tcPr>
            <w:tcW w:w="1420" w:type="dxa"/>
            <w:vAlign w:val="bottom"/>
          </w:tcPr>
          <w:p>
            <w:pPr>
              <w:ind w:left="240"/>
              <w:spacing w:after="0"/>
              <w:rPr>
                <w:sz w:val="20"/>
                <w:szCs w:val="20"/>
                <w:color w:val="auto"/>
              </w:rPr>
            </w:pPr>
            <w:r>
              <w:rPr>
                <w:rFonts w:ascii="Arial" w:cs="Arial" w:eastAsia="Arial" w:hAnsi="Arial"/>
                <w:sz w:val="14"/>
                <w:szCs w:val="14"/>
                <w:color w:val="auto"/>
              </w:rPr>
              <w:t>Csaba Sverha</w:t>
            </w:r>
          </w:p>
        </w:tc>
        <w:tc>
          <w:tcPr>
            <w:tcW w:w="1460" w:type="dxa"/>
            <w:vAlign w:val="bottom"/>
          </w:tcPr>
          <w:p>
            <w:pPr>
              <w:ind w:left="240"/>
              <w:spacing w:after="0"/>
              <w:rPr>
                <w:sz w:val="20"/>
                <w:szCs w:val="20"/>
                <w:color w:val="auto"/>
              </w:rPr>
            </w:pPr>
            <w:r>
              <w:rPr>
                <w:rFonts w:ascii="Arial" w:cs="Arial" w:eastAsia="Arial" w:hAnsi="Arial"/>
                <w:sz w:val="14"/>
                <w:szCs w:val="14"/>
                <w:color w:val="auto"/>
              </w:rPr>
              <w:t>Csaba Sverha</w:t>
            </w:r>
          </w:p>
        </w:tc>
      </w:tr>
      <w:tr>
        <w:trPr>
          <w:trHeight w:val="215"/>
        </w:trPr>
        <w:tc>
          <w:tcPr>
            <w:tcW w:w="2060" w:type="dxa"/>
            <w:vAlign w:val="bottom"/>
          </w:tcPr>
          <w:p>
            <w:pPr>
              <w:spacing w:after="0"/>
              <w:rPr>
                <w:sz w:val="18"/>
                <w:szCs w:val="18"/>
                <w:color w:val="auto"/>
              </w:rPr>
            </w:pPr>
          </w:p>
        </w:tc>
        <w:tc>
          <w:tcPr>
            <w:tcW w:w="2100" w:type="dxa"/>
            <w:vAlign w:val="bottom"/>
          </w:tcPr>
          <w:p>
            <w:pPr>
              <w:ind w:left="900"/>
              <w:spacing w:after="0"/>
              <w:rPr>
                <w:sz w:val="20"/>
                <w:szCs w:val="20"/>
                <w:color w:val="auto"/>
              </w:rPr>
            </w:pPr>
            <w:r>
              <w:rPr>
                <w:rFonts w:ascii="Arial" w:cs="Arial" w:eastAsia="Arial" w:hAnsi="Arial"/>
                <w:sz w:val="14"/>
                <w:szCs w:val="14"/>
                <w:color w:val="auto"/>
              </w:rPr>
              <w:t>Edward T.</w:t>
            </w:r>
          </w:p>
        </w:tc>
        <w:tc>
          <w:tcPr>
            <w:tcW w:w="1400" w:type="dxa"/>
            <w:vAlign w:val="bottom"/>
          </w:tcPr>
          <w:p>
            <w:pPr>
              <w:ind w:left="220"/>
              <w:spacing w:after="0"/>
              <w:rPr>
                <w:sz w:val="20"/>
                <w:szCs w:val="20"/>
                <w:color w:val="auto"/>
              </w:rPr>
            </w:pPr>
            <w:r>
              <w:rPr>
                <w:rFonts w:ascii="Arial" w:cs="Arial" w:eastAsia="Arial" w:hAnsi="Arial"/>
                <w:sz w:val="14"/>
                <w:szCs w:val="14"/>
                <w:color w:val="auto"/>
              </w:rPr>
              <w:t>Edward T.</w:t>
            </w:r>
          </w:p>
        </w:tc>
        <w:tc>
          <w:tcPr>
            <w:tcW w:w="1420" w:type="dxa"/>
            <w:vAlign w:val="bottom"/>
          </w:tcPr>
          <w:p>
            <w:pPr>
              <w:ind w:left="240"/>
              <w:spacing w:after="0"/>
              <w:rPr>
                <w:sz w:val="20"/>
                <w:szCs w:val="20"/>
                <w:color w:val="auto"/>
              </w:rPr>
            </w:pPr>
            <w:r>
              <w:rPr>
                <w:rFonts w:ascii="Arial" w:cs="Arial" w:eastAsia="Arial" w:hAnsi="Arial"/>
                <w:sz w:val="14"/>
                <w:szCs w:val="14"/>
                <w:color w:val="auto"/>
              </w:rPr>
              <w:t>Edward T.</w:t>
            </w:r>
          </w:p>
        </w:tc>
        <w:tc>
          <w:tcPr>
            <w:tcW w:w="1460" w:type="dxa"/>
            <w:vAlign w:val="bottom"/>
          </w:tcPr>
          <w:p>
            <w:pPr>
              <w:ind w:left="240"/>
              <w:spacing w:after="0"/>
              <w:rPr>
                <w:sz w:val="20"/>
                <w:szCs w:val="20"/>
                <w:color w:val="auto"/>
              </w:rPr>
            </w:pPr>
            <w:r>
              <w:rPr>
                <w:rFonts w:ascii="Arial" w:cs="Arial" w:eastAsia="Arial" w:hAnsi="Arial"/>
                <w:sz w:val="14"/>
                <w:szCs w:val="14"/>
                <w:color w:val="auto"/>
              </w:rPr>
              <w:t>Edward T. Archer</w:t>
            </w:r>
          </w:p>
        </w:tc>
      </w:tr>
      <w:tr>
        <w:trPr>
          <w:trHeight w:val="190"/>
        </w:trPr>
        <w:tc>
          <w:tcPr>
            <w:tcW w:w="2060" w:type="dxa"/>
            <w:vAlign w:val="bottom"/>
          </w:tcPr>
          <w:p>
            <w:pPr>
              <w:spacing w:after="0"/>
              <w:rPr>
                <w:sz w:val="16"/>
                <w:szCs w:val="16"/>
                <w:color w:val="auto"/>
              </w:rPr>
            </w:pPr>
          </w:p>
        </w:tc>
        <w:tc>
          <w:tcPr>
            <w:tcW w:w="2100" w:type="dxa"/>
            <w:vAlign w:val="bottom"/>
          </w:tcPr>
          <w:p>
            <w:pPr>
              <w:ind w:left="900"/>
              <w:spacing w:after="0"/>
              <w:rPr>
                <w:sz w:val="20"/>
                <w:szCs w:val="20"/>
                <w:color w:val="auto"/>
              </w:rPr>
            </w:pPr>
            <w:r>
              <w:rPr>
                <w:rFonts w:ascii="Arial" w:cs="Arial" w:eastAsia="Arial" w:hAnsi="Arial"/>
                <w:sz w:val="14"/>
                <w:szCs w:val="14"/>
                <w:color w:val="auto"/>
              </w:rPr>
              <w:t>Archer</w:t>
            </w:r>
          </w:p>
        </w:tc>
        <w:tc>
          <w:tcPr>
            <w:tcW w:w="1400" w:type="dxa"/>
            <w:vAlign w:val="bottom"/>
          </w:tcPr>
          <w:p>
            <w:pPr>
              <w:ind w:left="220"/>
              <w:spacing w:after="0"/>
              <w:rPr>
                <w:sz w:val="20"/>
                <w:szCs w:val="20"/>
                <w:color w:val="auto"/>
              </w:rPr>
            </w:pPr>
            <w:r>
              <w:rPr>
                <w:rFonts w:ascii="Arial" w:cs="Arial" w:eastAsia="Arial" w:hAnsi="Arial"/>
                <w:sz w:val="14"/>
                <w:szCs w:val="14"/>
                <w:color w:val="auto"/>
              </w:rPr>
              <w:t>Archer</w:t>
            </w:r>
          </w:p>
        </w:tc>
        <w:tc>
          <w:tcPr>
            <w:tcW w:w="1420" w:type="dxa"/>
            <w:vAlign w:val="bottom"/>
          </w:tcPr>
          <w:p>
            <w:pPr>
              <w:ind w:left="240"/>
              <w:spacing w:after="0"/>
              <w:rPr>
                <w:sz w:val="20"/>
                <w:szCs w:val="20"/>
                <w:color w:val="auto"/>
              </w:rPr>
            </w:pPr>
            <w:r>
              <w:rPr>
                <w:rFonts w:ascii="Arial" w:cs="Arial" w:eastAsia="Arial" w:hAnsi="Arial"/>
                <w:sz w:val="14"/>
                <w:szCs w:val="14"/>
                <w:color w:val="auto"/>
              </w:rPr>
              <w:t>Archer</w:t>
            </w:r>
          </w:p>
        </w:tc>
        <w:tc>
          <w:tcPr>
            <w:tcW w:w="1460" w:type="dxa"/>
            <w:vAlign w:val="bottom"/>
          </w:tcPr>
          <w:p>
            <w:pPr>
              <w:spacing w:after="0"/>
              <w:rPr>
                <w:sz w:val="16"/>
                <w:szCs w:val="16"/>
                <w:color w:val="auto"/>
              </w:rPr>
            </w:pPr>
          </w:p>
        </w:tc>
      </w:tr>
      <w:tr>
        <w:trPr>
          <w:trHeight w:val="247"/>
        </w:trPr>
        <w:tc>
          <w:tcPr>
            <w:tcW w:w="20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ind w:left="240"/>
              <w:spacing w:after="0"/>
              <w:rPr>
                <w:sz w:val="20"/>
                <w:szCs w:val="20"/>
                <w:color w:val="auto"/>
              </w:rPr>
            </w:pPr>
            <w:r>
              <w:rPr>
                <w:rFonts w:ascii="Arial" w:cs="Arial" w:eastAsia="Arial" w:hAnsi="Arial"/>
                <w:sz w:val="14"/>
                <w:szCs w:val="14"/>
                <w:color w:val="auto"/>
              </w:rPr>
              <w:t>Toh-Seng Ng</w:t>
            </w:r>
          </w:p>
        </w:tc>
      </w:tr>
      <w:tr>
        <w:trPr>
          <w:trHeight w:val="98"/>
        </w:trPr>
        <w:tc>
          <w:tcPr>
            <w:tcW w:w="2060" w:type="dxa"/>
            <w:vAlign w:val="bottom"/>
            <w:shd w:val="clear" w:color="auto" w:fill="819F7C"/>
          </w:tcPr>
          <w:p>
            <w:pPr>
              <w:spacing w:after="0"/>
              <w:rPr>
                <w:sz w:val="8"/>
                <w:szCs w:val="8"/>
                <w:color w:val="auto"/>
              </w:rPr>
            </w:pPr>
          </w:p>
        </w:tc>
        <w:tc>
          <w:tcPr>
            <w:tcW w:w="2100" w:type="dxa"/>
            <w:vAlign w:val="bottom"/>
            <w:shd w:val="clear" w:color="auto" w:fill="819F7C"/>
          </w:tcPr>
          <w:p>
            <w:pPr>
              <w:spacing w:after="0"/>
              <w:rPr>
                <w:sz w:val="8"/>
                <w:szCs w:val="8"/>
                <w:color w:val="auto"/>
              </w:rPr>
            </w:pPr>
          </w:p>
        </w:tc>
        <w:tc>
          <w:tcPr>
            <w:tcW w:w="1400" w:type="dxa"/>
            <w:vAlign w:val="bottom"/>
            <w:shd w:val="clear" w:color="auto" w:fill="819F7C"/>
          </w:tcPr>
          <w:p>
            <w:pPr>
              <w:spacing w:after="0"/>
              <w:rPr>
                <w:sz w:val="8"/>
                <w:szCs w:val="8"/>
                <w:color w:val="auto"/>
              </w:rPr>
            </w:pPr>
          </w:p>
        </w:tc>
        <w:tc>
          <w:tcPr>
            <w:tcW w:w="1420" w:type="dxa"/>
            <w:vAlign w:val="bottom"/>
            <w:shd w:val="clear" w:color="auto" w:fill="819F7C"/>
          </w:tcPr>
          <w:p>
            <w:pPr>
              <w:spacing w:after="0"/>
              <w:rPr>
                <w:sz w:val="8"/>
                <w:szCs w:val="8"/>
                <w:color w:val="auto"/>
              </w:rPr>
            </w:pPr>
          </w:p>
        </w:tc>
        <w:tc>
          <w:tcPr>
            <w:tcW w:w="1460" w:type="dxa"/>
            <w:vAlign w:val="bottom"/>
            <w:shd w:val="clear" w:color="auto" w:fill="819F7C"/>
          </w:tcPr>
          <w:p>
            <w:pPr>
              <w:spacing w:after="0"/>
              <w:rPr>
                <w:sz w:val="8"/>
                <w:szCs w:val="8"/>
                <w:color w:val="auto"/>
              </w:rPr>
            </w:pPr>
          </w:p>
        </w:tc>
      </w:tr>
    </w:tbl>
    <w:p>
      <w:pPr>
        <w:spacing w:after="0" w:line="82" w:lineRule="exact"/>
        <w:rPr>
          <w:sz w:val="20"/>
          <w:szCs w:val="20"/>
          <w:color w:val="auto"/>
        </w:rPr>
      </w:pPr>
    </w:p>
    <w:p>
      <w:pPr>
        <w:ind w:left="340" w:right="20" w:hanging="286"/>
        <w:spacing w:after="0" w:line="281" w:lineRule="auto"/>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dollar amounts reported in this column are the amounts of total compensation reported for our PEO in the “Total” column of the Summary Compensation Table for the applicable fiscal year.</w:t>
      </w:r>
    </w:p>
    <w:p>
      <w:pPr>
        <w:jc w:val="both"/>
        <w:ind w:left="340" w:hanging="286"/>
        <w:spacing w:after="0" w:line="246" w:lineRule="auto"/>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CAP does not mean that our PEO was actually paid the amounts reported in this column, but is a dollar amount derived from the starting point of total compensation reported for our PEO in the “Total” column of the Summary Compensation Table for the applicable fiscal year, as adjusted in accordance with SEC rules. For purposes of calculating CAP, the fair value of equity awards is calculated in accordance with Financial Accounting Standards Board Accounting Standards Codification Topic 718 (FASB ASC Topic 718) using the same assumption methodologies used to calculate the grant date fair value of awards for purposes of the Summary Compensation Table. In accordance with SEC rules, the following adjustments were made to determine CAP to our PEO for fiscal year 2024, which consisted solely of adjustments to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67310</wp:posOffset>
            </wp:positionV>
            <wp:extent cx="5597525" cy="2057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97525" cy="205740"/>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p>
      <w:pPr>
        <w:spacing w:after="0" w:line="20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FFFFFF"/>
        </w:rPr>
        <w:t>Adjustment Table for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40640</wp:posOffset>
            </wp:positionV>
            <wp:extent cx="5597525"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97525" cy="188595"/>
                    </a:xfrm>
                    <a:prstGeom prst="rect">
                      <a:avLst/>
                    </a:prstGeom>
                    <a:noFill/>
                  </pic:spPr>
                </pic:pic>
              </a:graphicData>
            </a:graphic>
          </wp:anchor>
        </w:drawing>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Summary Compensation Table Total for PEO</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Subtract</w:t>
      </w:r>
      <w:r>
        <w:rPr>
          <w:rFonts w:ascii="Arial" w:cs="Arial" w:eastAsia="Arial" w:hAnsi="Arial"/>
          <w:sz w:val="14"/>
          <w:szCs w:val="14"/>
          <w:color w:val="auto"/>
        </w:rPr>
        <w:t xml:space="preserve"> grant date fair value of equity awards reported in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40640</wp:posOffset>
            </wp:positionV>
            <wp:extent cx="5597525" cy="265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97525" cy="265430"/>
                    </a:xfrm>
                    <a:prstGeom prst="rect">
                      <a:avLst/>
                    </a:prstGeom>
                    <a:noFill/>
                  </pic:spPr>
                </pic:pic>
              </a:graphicData>
            </a:graphic>
          </wp:anchor>
        </w:drawing>
      </w:r>
    </w:p>
    <w:p>
      <w:pPr>
        <w:spacing w:after="0" w:line="76" w:lineRule="exact"/>
        <w:rPr>
          <w:sz w:val="20"/>
          <w:szCs w:val="20"/>
          <w:color w:val="auto"/>
        </w:rPr>
      </w:pPr>
    </w:p>
    <w:p>
      <w:pPr>
        <w:ind w:left="620" w:right="740"/>
        <w:spacing w:after="0" w:line="285"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xml:space="preserve"> the fair value as of the end of the covered fiscal year of equity awards granted in the covered fiscal year that are outstanding and unvested as of the end of the covered fiscal year</w:t>
      </w:r>
    </w:p>
    <w:p>
      <w:pPr>
        <w:spacing w:after="0" w:line="36" w:lineRule="exact"/>
        <w:rPr>
          <w:sz w:val="20"/>
          <w:szCs w:val="20"/>
          <w:color w:val="auto"/>
        </w:rPr>
      </w:pPr>
    </w:p>
    <w:p>
      <w:pPr>
        <w:ind w:left="620" w:right="820"/>
        <w:spacing w:after="0" w:line="263"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the change in fair value as of the end of covered fiscal year (from the end of the prior fiscal year) of equity awards granted in prior fiscal years that are outstanding and unvested as of the end of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12700</wp:posOffset>
            </wp:positionV>
            <wp:extent cx="5597525" cy="2660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97525" cy="266065"/>
                    </a:xfrm>
                    <a:prstGeom prst="rect">
                      <a:avLst/>
                    </a:prstGeom>
                    <a:noFill/>
                  </pic:spPr>
                </pic:pic>
              </a:graphicData>
            </a:graphic>
          </wp:anchor>
        </w:drawing>
      </w:r>
    </w:p>
    <w:p>
      <w:pPr>
        <w:spacing w:after="0" w:line="31" w:lineRule="exact"/>
        <w:rPr>
          <w:sz w:val="20"/>
          <w:szCs w:val="20"/>
          <w:color w:val="auto"/>
        </w:rPr>
      </w:pPr>
    </w:p>
    <w:p>
      <w:pPr>
        <w:ind w:left="620" w:right="760"/>
        <w:spacing w:after="0" w:line="285"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for equity awards that are granted and vest in the same covered fiscal year, the fair value as of the vesting date</w:t>
      </w:r>
    </w:p>
    <w:p>
      <w:pPr>
        <w:spacing w:after="0" w:line="36" w:lineRule="exact"/>
        <w:rPr>
          <w:sz w:val="20"/>
          <w:szCs w:val="20"/>
          <w:color w:val="auto"/>
        </w:rPr>
      </w:pPr>
    </w:p>
    <w:p>
      <w:pPr>
        <w:jc w:val="both"/>
        <w:ind w:left="620" w:right="680"/>
        <w:spacing w:after="0" w:line="263"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the change in fair value as of vesting date (from the end of the prior fiscal year) of equity awards granted in prior fiscal years for which all applicable vesting conditions were satisfied at the end of or during the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12700</wp:posOffset>
            </wp:positionV>
            <wp:extent cx="5597525" cy="265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97525" cy="265430"/>
                    </a:xfrm>
                    <a:prstGeom prst="rect">
                      <a:avLst/>
                    </a:prstGeom>
                    <a:noFill/>
                  </pic:spPr>
                </pic:pic>
              </a:graphicData>
            </a:graphic>
          </wp:anchor>
        </w:drawing>
      </w:r>
    </w:p>
    <w:p>
      <w:pPr>
        <w:spacing w:after="0" w:line="31" w:lineRule="exact"/>
        <w:rPr>
          <w:sz w:val="20"/>
          <w:szCs w:val="20"/>
          <w:color w:val="auto"/>
        </w:rPr>
      </w:pPr>
    </w:p>
    <w:p>
      <w:pPr>
        <w:ind w:left="620" w:right="800"/>
        <w:spacing w:after="0" w:line="285" w:lineRule="auto"/>
        <w:rPr>
          <w:sz w:val="20"/>
          <w:szCs w:val="20"/>
          <w:color w:val="auto"/>
        </w:rPr>
      </w:pPr>
      <w:r>
        <w:rPr>
          <w:rFonts w:ascii="Arial" w:cs="Arial" w:eastAsia="Arial" w:hAnsi="Arial"/>
          <w:sz w:val="14"/>
          <w:szCs w:val="14"/>
          <w:u w:val="single" w:color="auto"/>
          <w:color w:val="auto"/>
        </w:rPr>
        <w:t>Subtract</w:t>
      </w:r>
      <w:r>
        <w:rPr>
          <w:rFonts w:ascii="Arial" w:cs="Arial" w:eastAsia="Arial" w:hAnsi="Arial"/>
          <w:sz w:val="14"/>
          <w:szCs w:val="14"/>
          <w:color w:val="auto"/>
        </w:rPr>
        <w:t>, for equity awards granted in any prior fiscal year that fail to meet the applicable vesting conditions during the covered fiscal year, the fair value as of the end of prior fiscal year</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Total Equity Adjustments (subtotal)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39370</wp:posOffset>
            </wp:positionV>
            <wp:extent cx="5597525"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Compensation Actually Paid to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23495</wp:posOffset>
            </wp:positionV>
            <wp:extent cx="5597525" cy="603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9752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Fiscal 2024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$11,082,191</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(7,799,780)</w:t>
      </w:r>
    </w:p>
    <w:p>
      <w:pPr>
        <w:spacing w:after="0" w:line="258" w:lineRule="exact"/>
        <w:rPr>
          <w:sz w:val="20"/>
          <w:szCs w:val="20"/>
          <w:color w:val="auto"/>
        </w:rPr>
      </w:pPr>
    </w:p>
    <w:p>
      <w:pPr>
        <w:ind w:left="60"/>
        <w:spacing w:after="0"/>
        <w:rPr>
          <w:sz w:val="20"/>
          <w:szCs w:val="20"/>
          <w:color w:val="auto"/>
        </w:rPr>
      </w:pPr>
      <w:r>
        <w:rPr>
          <w:rFonts w:ascii="Arial" w:cs="Arial" w:eastAsia="Arial" w:hAnsi="Arial"/>
          <w:sz w:val="14"/>
          <w:szCs w:val="14"/>
          <w:color w:val="auto"/>
        </w:rPr>
        <w:t>12,015,028</w:t>
      </w:r>
    </w:p>
    <w:p>
      <w:pPr>
        <w:spacing w:after="0" w:line="200" w:lineRule="exact"/>
        <w:rPr>
          <w:sz w:val="20"/>
          <w:szCs w:val="20"/>
          <w:color w:val="auto"/>
        </w:rPr>
      </w:pPr>
    </w:p>
    <w:p>
      <w:pPr>
        <w:spacing w:after="0" w:line="2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7,437,549</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2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(710,293)</w:t>
      </w:r>
    </w:p>
    <w:p>
      <w:pPr>
        <w:spacing w:after="0" w:line="25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4972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9"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10,942,504</w:t>
      </w:r>
    </w:p>
    <w:p>
      <w:pPr>
        <w:spacing w:after="0" w:line="109"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$22,024,695</w:t>
      </w:r>
    </w:p>
    <w:p>
      <w:pPr>
        <w:spacing w:after="0" w:line="200" w:lineRule="exact"/>
        <w:rPr>
          <w:sz w:val="20"/>
          <w:szCs w:val="20"/>
          <w:color w:val="auto"/>
        </w:rPr>
      </w:pPr>
    </w:p>
    <w:p>
      <w:pPr>
        <w:sectPr>
          <w:pgSz w:w="11900" w:h="16838" w:orient="portrait"/>
          <w:cols w:equalWidth="0" w:num="2">
            <w:col w:w="7560" w:space="720"/>
            <w:col w:w="960"/>
          </w:cols>
          <w:pgMar w:left="1300" w:top="114" w:right="1359" w:bottom="1440" w:gutter="0" w:footer="0" w:header="0"/>
          <w:type w:val="continuous"/>
        </w:sectPr>
      </w:pPr>
    </w:p>
    <w:p>
      <w:pPr>
        <w:spacing w:after="0" w:line="14" w:lineRule="exact"/>
        <w:rPr>
          <w:sz w:val="20"/>
          <w:szCs w:val="20"/>
          <w:color w:val="auto"/>
        </w:rPr>
      </w:pPr>
    </w:p>
    <w:p>
      <w:pPr>
        <w:ind w:left="340" w:hanging="286"/>
        <w:spacing w:after="0" w:line="281" w:lineRule="auto"/>
        <w:tabs>
          <w:tab w:leader="none" w:pos="3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dollar amounts reported in this column are the average of the amounts of total compensation reported for our non-PEO NEOs in the “Total” column of the Summary Compensation Table for the applicable fiscal year.</w:t>
      </w:r>
    </w:p>
    <w:p>
      <w:pPr>
        <w:spacing w:after="0" w:line="266" w:lineRule="exact"/>
        <w:rPr>
          <w:sz w:val="20"/>
          <w:szCs w:val="20"/>
          <w:color w:val="auto"/>
        </w:rPr>
      </w:pPr>
    </w:p>
    <w:p>
      <w:pPr>
        <w:ind w:left="60"/>
        <w:spacing w:after="0"/>
        <w:tabs>
          <w:tab w:leader="none" w:pos="6730" w:val="left"/>
        </w:tabs>
        <w:rPr>
          <w:sz w:val="20"/>
          <w:szCs w:val="20"/>
          <w:color w:val="auto"/>
        </w:rPr>
      </w:pPr>
      <w:r>
        <w:rPr>
          <w:rFonts w:ascii="Arial" w:cs="Arial" w:eastAsia="Arial" w:hAnsi="Arial"/>
          <w:sz w:val="13"/>
          <w:szCs w:val="13"/>
          <w:color w:val="auto"/>
        </w:rPr>
        <w:t>60</w:t>
      </w:r>
      <w:r>
        <w:rPr>
          <w:sz w:val="20"/>
          <w:szCs w:val="20"/>
          <w:color w:val="auto"/>
        </w:rPr>
        <w:tab/>
      </w:r>
      <w:r>
        <w:rPr>
          <w:sz w:val="1"/>
          <w:szCs w:val="1"/>
          <w:color w:val="auto"/>
        </w:rPr>
        <w:drawing>
          <wp:inline distT="0" distB="0" distL="0" distR="0">
            <wp:extent cx="342900" cy="7683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type w:val="continuous"/>
        </w:sectPr>
      </w:pPr>
    </w:p>
    <w:bookmarkStart w:id="66" w:name="page67"/>
    <w:bookmarkEnd w:id="66"/>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ADDITIONAL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left="1200" w:right="920" w:hanging="286"/>
        <w:spacing w:after="0" w:line="245" w:lineRule="auto"/>
        <w:tabs>
          <w:tab w:leader="none" w:pos="12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CAP does not mean that our non-PEO NEOs were actually paid the amounts reported in this column, but is a dollar amount derived from the starting point of the average total compensation reported for our non-PEO NEOs in the “Total” column of the Summary Compensation Table for the applicable fiscal year, as adjusted in accordance with SEC rules. For purposes of calculating CAP, the fair value of equity awards is calculated in accordance with Financial Accounting Standards Board Accounting Standards Codification Topic 718 (FASB ASC Topic 718) using the same assumption methodologies used to calculate the grant date fair value of awards for purposes of the Summary Compensation Table. In accordance with SEC rules, the following adjustments were made to determine the average CAP to our non-PEO NEOs during fiscal 2024, which consisted solely of adjustments to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163830</wp:posOffset>
            </wp:positionV>
            <wp:extent cx="5597525" cy="2057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97525" cy="20574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p>
      <w:pPr>
        <w:spacing w:after="0" w:line="35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FFFFFF"/>
        </w:rPr>
        <w:t>Adjustment Table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40640</wp:posOffset>
            </wp:positionV>
            <wp:extent cx="5597525" cy="1885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97525" cy="188595"/>
                    </a:xfrm>
                    <a:prstGeom prst="rect">
                      <a:avLst/>
                    </a:prstGeom>
                    <a:noFill/>
                  </pic:spPr>
                </pic:pic>
              </a:graphicData>
            </a:graphic>
          </wp:anchor>
        </w:drawing>
      </w:r>
    </w:p>
    <w:p>
      <w:pPr>
        <w:spacing w:after="0" w:line="76"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Average Summary Compensation Table Total for non-PEO NEOS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4"/>
          <w:szCs w:val="14"/>
          <w:u w:val="single" w:color="auto"/>
          <w:color w:val="auto"/>
        </w:rPr>
        <w:t>Subtract</w:t>
      </w:r>
      <w:r>
        <w:rPr>
          <w:rFonts w:ascii="Arial" w:cs="Arial" w:eastAsia="Arial" w:hAnsi="Arial"/>
          <w:sz w:val="14"/>
          <w:szCs w:val="14"/>
          <w:color w:val="auto"/>
        </w:rPr>
        <w:t xml:space="preserve"> grant date fair value of equity awards reported in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40640</wp:posOffset>
            </wp:positionV>
            <wp:extent cx="5597525" cy="265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97525" cy="265430"/>
                    </a:xfrm>
                    <a:prstGeom prst="rect">
                      <a:avLst/>
                    </a:prstGeom>
                    <a:noFill/>
                  </pic:spPr>
                </pic:pic>
              </a:graphicData>
            </a:graphic>
          </wp:anchor>
        </w:drawing>
      </w:r>
    </w:p>
    <w:p>
      <w:pPr>
        <w:spacing w:after="0" w:line="76" w:lineRule="exact"/>
        <w:rPr>
          <w:sz w:val="20"/>
          <w:szCs w:val="20"/>
          <w:color w:val="auto"/>
        </w:rPr>
      </w:pPr>
    </w:p>
    <w:p>
      <w:pPr>
        <w:ind w:left="1480" w:right="731"/>
        <w:spacing w:after="0" w:line="285"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xml:space="preserve"> the fair value as of the end of the covered fiscal year of equity awards granted in the covered fiscal year that are outstanding and unvested as of the end of the covered fiscal year</w:t>
      </w:r>
    </w:p>
    <w:p>
      <w:pPr>
        <w:spacing w:after="0" w:line="36" w:lineRule="exact"/>
        <w:rPr>
          <w:sz w:val="20"/>
          <w:szCs w:val="20"/>
          <w:color w:val="auto"/>
        </w:rPr>
      </w:pPr>
    </w:p>
    <w:p>
      <w:pPr>
        <w:ind w:left="1480" w:right="811"/>
        <w:spacing w:after="0" w:line="263"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the change in fair value as of the end of covered fiscal year (from the end of the prior fiscal year) of equity awards granted in prior fiscal years that are outstanding and unvested as of the end of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12700</wp:posOffset>
            </wp:positionV>
            <wp:extent cx="5597525" cy="2660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97525" cy="266065"/>
                    </a:xfrm>
                    <a:prstGeom prst="rect">
                      <a:avLst/>
                    </a:prstGeom>
                    <a:noFill/>
                  </pic:spPr>
                </pic:pic>
              </a:graphicData>
            </a:graphic>
          </wp:anchor>
        </w:drawing>
      </w:r>
    </w:p>
    <w:p>
      <w:pPr>
        <w:spacing w:after="0" w:line="31" w:lineRule="exact"/>
        <w:rPr>
          <w:sz w:val="20"/>
          <w:szCs w:val="20"/>
          <w:color w:val="auto"/>
        </w:rPr>
      </w:pPr>
    </w:p>
    <w:p>
      <w:pPr>
        <w:ind w:left="1480" w:right="751"/>
        <w:spacing w:after="0" w:line="285" w:lineRule="auto"/>
        <w:rPr>
          <w:sz w:val="20"/>
          <w:szCs w:val="20"/>
          <w:color w:val="auto"/>
        </w:rPr>
      </w:pPr>
      <w:r>
        <w:rPr>
          <w:rFonts w:ascii="Arial" w:cs="Arial" w:eastAsia="Arial" w:hAnsi="Arial"/>
          <w:sz w:val="14"/>
          <w:szCs w:val="14"/>
          <w:u w:val="single" w:color="auto"/>
          <w:color w:val="auto"/>
        </w:rPr>
        <w:t>Add</w:t>
      </w:r>
      <w:r>
        <w:rPr>
          <w:rFonts w:ascii="Arial" w:cs="Arial" w:eastAsia="Arial" w:hAnsi="Arial"/>
          <w:sz w:val="14"/>
          <w:szCs w:val="14"/>
          <w:color w:val="auto"/>
        </w:rPr>
        <w:t>, for equity awards that are granted and vest in the same covered fiscal year, the fair value as of the vesting date</w:t>
      </w:r>
    </w:p>
    <w:p>
      <w:pPr>
        <w:spacing w:after="0" w:line="36" w:lineRule="exact"/>
        <w:rPr>
          <w:sz w:val="20"/>
          <w:szCs w:val="20"/>
          <w:color w:val="auto"/>
        </w:rPr>
      </w:pPr>
    </w:p>
    <w:p>
      <w:pPr>
        <w:jc w:val="both"/>
        <w:ind w:left="1480" w:right="671"/>
        <w:spacing w:after="0" w:line="263" w:lineRule="auto"/>
        <w:rPr>
          <w:sz w:val="20"/>
          <w:szCs w:val="20"/>
          <w:color w:val="auto"/>
        </w:rPr>
      </w:pPr>
      <w:r>
        <w:rPr>
          <w:rFonts w:ascii="Arial" w:cs="Arial" w:eastAsia="Arial" w:hAnsi="Arial"/>
          <w:sz w:val="14"/>
          <w:szCs w:val="14"/>
          <w:u w:val="single" w:color="auto"/>
          <w:color w:val="auto"/>
        </w:rPr>
        <w:t>Adjust for</w:t>
      </w:r>
      <w:r>
        <w:rPr>
          <w:rFonts w:ascii="Arial" w:cs="Arial" w:eastAsia="Arial" w:hAnsi="Arial"/>
          <w:sz w:val="14"/>
          <w:szCs w:val="14"/>
          <w:color w:val="auto"/>
        </w:rPr>
        <w:t xml:space="preserve"> the change in fair value as of vesting date (from the end of the prior fiscal year) of equity awards granted in prior fiscal years for which all applicable vesting conditions were satisfied at the end of or during the covered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12700</wp:posOffset>
            </wp:positionV>
            <wp:extent cx="5597525" cy="265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97525" cy="265430"/>
                    </a:xfrm>
                    <a:prstGeom prst="rect">
                      <a:avLst/>
                    </a:prstGeom>
                    <a:noFill/>
                  </pic:spPr>
                </pic:pic>
              </a:graphicData>
            </a:graphic>
          </wp:anchor>
        </w:drawing>
      </w:r>
    </w:p>
    <w:p>
      <w:pPr>
        <w:spacing w:after="0" w:line="31" w:lineRule="exact"/>
        <w:rPr>
          <w:sz w:val="20"/>
          <w:szCs w:val="20"/>
          <w:color w:val="auto"/>
        </w:rPr>
      </w:pPr>
    </w:p>
    <w:p>
      <w:pPr>
        <w:ind w:left="1480" w:right="791"/>
        <w:spacing w:after="0" w:line="285" w:lineRule="auto"/>
        <w:rPr>
          <w:sz w:val="20"/>
          <w:szCs w:val="20"/>
          <w:color w:val="auto"/>
        </w:rPr>
      </w:pPr>
      <w:r>
        <w:rPr>
          <w:rFonts w:ascii="Arial" w:cs="Arial" w:eastAsia="Arial" w:hAnsi="Arial"/>
          <w:sz w:val="14"/>
          <w:szCs w:val="14"/>
          <w:u w:val="single" w:color="auto"/>
          <w:color w:val="auto"/>
        </w:rPr>
        <w:t>Subtract</w:t>
      </w:r>
      <w:r>
        <w:rPr>
          <w:rFonts w:ascii="Arial" w:cs="Arial" w:eastAsia="Arial" w:hAnsi="Arial"/>
          <w:sz w:val="14"/>
          <w:szCs w:val="14"/>
          <w:color w:val="auto"/>
        </w:rPr>
        <w:t>, for equity awards granted in any prior fiscal year that fail to meet the applicable vesting conditions during the covered fiscal year, the fair value as of the end of prior fiscal year</w:t>
      </w:r>
    </w:p>
    <w:p>
      <w:pPr>
        <w:spacing w:after="0" w:line="52" w:lineRule="exact"/>
        <w:rPr>
          <w:sz w:val="20"/>
          <w:szCs w:val="20"/>
          <w:color w:val="auto"/>
        </w:rPr>
      </w:pPr>
    </w:p>
    <w:p>
      <w:pPr>
        <w:ind w:left="1480"/>
        <w:spacing w:after="0"/>
        <w:rPr>
          <w:sz w:val="20"/>
          <w:szCs w:val="20"/>
          <w:color w:val="auto"/>
        </w:rPr>
      </w:pPr>
      <w:r>
        <w:rPr>
          <w:rFonts w:ascii="Arial" w:cs="Arial" w:eastAsia="Arial" w:hAnsi="Arial"/>
          <w:sz w:val="14"/>
          <w:szCs w:val="14"/>
          <w:b w:val="1"/>
          <w:bCs w:val="1"/>
          <w:i w:val="1"/>
          <w:iCs w:val="1"/>
          <w:color w:val="auto"/>
        </w:rPr>
        <w:t>Total Equity Adjustments (subtotal)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39370</wp:posOffset>
            </wp:positionV>
            <wp:extent cx="5597525"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spacing w:after="0" w:line="8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Average Compensation Actually Paid to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23495</wp:posOffset>
            </wp:positionV>
            <wp:extent cx="5597525"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97525"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49"/>
        <w:spacing w:after="0"/>
        <w:rPr>
          <w:sz w:val="20"/>
          <w:szCs w:val="20"/>
          <w:color w:val="auto"/>
        </w:rPr>
      </w:pPr>
      <w:r>
        <w:rPr>
          <w:rFonts w:ascii="Arial" w:cs="Arial" w:eastAsia="Arial" w:hAnsi="Arial"/>
          <w:sz w:val="14"/>
          <w:szCs w:val="14"/>
          <w:b w:val="1"/>
          <w:bCs w:val="1"/>
          <w:color w:val="FFFFFF"/>
        </w:rPr>
        <w:t>Fiscal 2024</w:t>
      </w:r>
    </w:p>
    <w:p>
      <w:pPr>
        <w:spacing w:after="0" w:line="96" w:lineRule="exact"/>
        <w:rPr>
          <w:sz w:val="20"/>
          <w:szCs w:val="20"/>
          <w:color w:val="auto"/>
        </w:rPr>
      </w:pPr>
    </w:p>
    <w:p>
      <w:pPr>
        <w:ind w:left="149" w:hanging="149"/>
        <w:spacing w:after="0"/>
        <w:tabs>
          <w:tab w:leader="none" w:pos="149" w:val="left"/>
        </w:tabs>
        <w:numPr>
          <w:ilvl w:val="0"/>
          <w:numId w:val="8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5,460,058</w:t>
      </w:r>
    </w:p>
    <w:p>
      <w:pPr>
        <w:spacing w:after="0" w:line="176" w:lineRule="exact"/>
        <w:rPr>
          <w:rFonts w:ascii="Arial" w:cs="Arial" w:eastAsia="Arial" w:hAnsi="Arial"/>
          <w:sz w:val="14"/>
          <w:szCs w:val="14"/>
          <w:u w:val="single" w:color="auto"/>
          <w:color w:val="auto"/>
        </w:rPr>
      </w:pPr>
    </w:p>
    <w:p>
      <w:pPr>
        <w:ind w:left="89"/>
        <w:spacing w:after="0"/>
        <w:rPr>
          <w:rFonts w:ascii="Arial" w:cs="Arial" w:eastAsia="Arial" w:hAnsi="Arial"/>
          <w:sz w:val="14"/>
          <w:szCs w:val="14"/>
          <w:u w:val="single" w:color="auto"/>
          <w:color w:val="auto"/>
        </w:rPr>
      </w:pPr>
      <w:r>
        <w:rPr>
          <w:rFonts w:ascii="Arial" w:cs="Arial" w:eastAsia="Arial" w:hAnsi="Arial"/>
          <w:sz w:val="14"/>
          <w:szCs w:val="14"/>
          <w:color w:val="auto"/>
        </w:rPr>
        <w:t>(3,274,658)</w:t>
      </w:r>
    </w:p>
    <w:p>
      <w:pPr>
        <w:spacing w:after="0" w:line="257" w:lineRule="exact"/>
        <w:rPr>
          <w:rFonts w:ascii="Arial" w:cs="Arial" w:eastAsia="Arial" w:hAnsi="Arial"/>
          <w:sz w:val="14"/>
          <w:szCs w:val="14"/>
          <w:u w:val="single" w:color="auto"/>
          <w:color w:val="auto"/>
        </w:rPr>
      </w:pPr>
    </w:p>
    <w:p>
      <w:pPr>
        <w:ind w:left="149"/>
        <w:spacing w:after="0"/>
        <w:rPr>
          <w:rFonts w:ascii="Arial" w:cs="Arial" w:eastAsia="Arial" w:hAnsi="Arial"/>
          <w:sz w:val="14"/>
          <w:szCs w:val="14"/>
          <w:u w:val="single" w:color="auto"/>
          <w:color w:val="auto"/>
        </w:rPr>
      </w:pPr>
      <w:r>
        <w:rPr>
          <w:rFonts w:ascii="Arial" w:cs="Arial" w:eastAsia="Arial" w:hAnsi="Arial"/>
          <w:sz w:val="14"/>
          <w:szCs w:val="14"/>
          <w:color w:val="auto"/>
        </w:rPr>
        <w:t>5,044,387</w:t>
      </w:r>
    </w:p>
    <w:p>
      <w:pPr>
        <w:spacing w:after="0" w:line="200" w:lineRule="exact"/>
        <w:rPr>
          <w:sz w:val="20"/>
          <w:szCs w:val="20"/>
          <w:color w:val="auto"/>
        </w:rPr>
      </w:pPr>
    </w:p>
    <w:p>
      <w:pPr>
        <w:spacing w:after="0" w:line="220" w:lineRule="exact"/>
        <w:rPr>
          <w:sz w:val="20"/>
          <w:szCs w:val="20"/>
          <w:color w:val="auto"/>
        </w:rPr>
      </w:pPr>
    </w:p>
    <w:p>
      <w:pPr>
        <w:ind w:left="149"/>
        <w:spacing w:after="0"/>
        <w:rPr>
          <w:sz w:val="20"/>
          <w:szCs w:val="20"/>
          <w:color w:val="auto"/>
        </w:rPr>
      </w:pPr>
      <w:r>
        <w:rPr>
          <w:rFonts w:ascii="Arial" w:cs="Arial" w:eastAsia="Arial" w:hAnsi="Arial"/>
          <w:sz w:val="14"/>
          <w:szCs w:val="14"/>
          <w:color w:val="auto"/>
        </w:rPr>
        <w:t>3,180,632</w:t>
      </w:r>
    </w:p>
    <w:p>
      <w:pPr>
        <w:spacing w:after="0" w:line="258" w:lineRule="exact"/>
        <w:rPr>
          <w:sz w:val="20"/>
          <w:szCs w:val="20"/>
          <w:color w:val="auto"/>
        </w:rPr>
      </w:pPr>
    </w:p>
    <w:p>
      <w:pPr>
        <w:ind w:left="629"/>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20" w:lineRule="exact"/>
        <w:rPr>
          <w:sz w:val="20"/>
          <w:szCs w:val="20"/>
          <w:color w:val="auto"/>
        </w:rPr>
      </w:pPr>
    </w:p>
    <w:p>
      <w:pPr>
        <w:jc w:val="right"/>
        <w:ind w:right="1060"/>
        <w:spacing w:after="0"/>
        <w:rPr>
          <w:sz w:val="20"/>
          <w:szCs w:val="20"/>
          <w:color w:val="auto"/>
        </w:rPr>
      </w:pPr>
      <w:r>
        <w:rPr>
          <w:rFonts w:ascii="Arial" w:cs="Arial" w:eastAsia="Arial" w:hAnsi="Arial"/>
          <w:sz w:val="14"/>
          <w:szCs w:val="14"/>
          <w:color w:val="auto"/>
        </w:rPr>
        <w:t>(295,703)</w:t>
      </w:r>
    </w:p>
    <w:p>
      <w:pPr>
        <w:spacing w:after="0" w:line="258" w:lineRule="exact"/>
        <w:rPr>
          <w:sz w:val="20"/>
          <w:szCs w:val="20"/>
          <w:color w:val="auto"/>
        </w:rPr>
      </w:pPr>
    </w:p>
    <w:p>
      <w:pPr>
        <w:ind w:left="629"/>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4889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89" w:lineRule="exact"/>
        <w:rPr>
          <w:sz w:val="20"/>
          <w:szCs w:val="20"/>
          <w:color w:val="auto"/>
        </w:rPr>
      </w:pPr>
    </w:p>
    <w:p>
      <w:pPr>
        <w:ind w:left="149"/>
        <w:spacing w:after="0"/>
        <w:rPr>
          <w:sz w:val="20"/>
          <w:szCs w:val="20"/>
          <w:color w:val="auto"/>
        </w:rPr>
      </w:pPr>
      <w:r>
        <w:rPr>
          <w:rFonts w:ascii="Arial" w:cs="Arial" w:eastAsia="Arial" w:hAnsi="Arial"/>
          <w:sz w:val="14"/>
          <w:szCs w:val="14"/>
          <w:color w:val="auto"/>
        </w:rPr>
        <w:t>4,654,658</w:t>
      </w:r>
    </w:p>
    <w:p>
      <w:pPr>
        <w:spacing w:after="0" w:line="109" w:lineRule="exact"/>
        <w:rPr>
          <w:sz w:val="20"/>
          <w:szCs w:val="20"/>
          <w:color w:val="auto"/>
        </w:rPr>
      </w:pPr>
    </w:p>
    <w:p>
      <w:pPr>
        <w:ind w:left="9"/>
        <w:spacing w:after="0"/>
        <w:rPr>
          <w:sz w:val="20"/>
          <w:szCs w:val="20"/>
          <w:color w:val="auto"/>
        </w:rPr>
      </w:pPr>
      <w:r>
        <w:rPr>
          <w:rFonts w:ascii="Arial" w:cs="Arial" w:eastAsia="Arial" w:hAnsi="Arial"/>
          <w:sz w:val="14"/>
          <w:szCs w:val="14"/>
          <w:color w:val="auto"/>
        </w:rPr>
        <w:t>$10,114,716</w:t>
      </w:r>
    </w:p>
    <w:p>
      <w:pPr>
        <w:spacing w:after="0" w:line="200" w:lineRule="exact"/>
        <w:rPr>
          <w:sz w:val="20"/>
          <w:szCs w:val="20"/>
          <w:color w:val="auto"/>
        </w:rPr>
      </w:pPr>
    </w:p>
    <w:p>
      <w:pPr>
        <w:sectPr>
          <w:pgSz w:w="11900" w:h="16838" w:orient="portrait"/>
          <w:cols w:equalWidth="0" w:num="2">
            <w:col w:w="8411" w:space="720"/>
            <w:col w:w="1889"/>
          </w:cols>
          <w:pgMar w:left="440" w:top="114" w:right="439" w:bottom="1440" w:gutter="0" w:footer="0" w:header="0"/>
          <w:type w:val="continuous"/>
        </w:sectPr>
      </w:pPr>
    </w:p>
    <w:p>
      <w:pPr>
        <w:spacing w:after="0" w:line="14" w:lineRule="exact"/>
        <w:rPr>
          <w:sz w:val="20"/>
          <w:szCs w:val="20"/>
          <w:color w:val="auto"/>
        </w:rPr>
      </w:pPr>
    </w:p>
    <w:p>
      <w:pPr>
        <w:ind w:left="1200" w:right="940" w:hanging="286"/>
        <w:spacing w:after="0" w:line="281" w:lineRule="auto"/>
        <w:tabs>
          <w:tab w:leader="none" w:pos="12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Total shareholder return is calculated by assuming that a $100 investment was made on the day prior to the first fiscal year reported and reinvesting all dividends until the last day of each reported fiscal year.</w:t>
      </w:r>
    </w:p>
    <w:p>
      <w:pPr>
        <w:jc w:val="both"/>
        <w:ind w:left="1200" w:right="940" w:hanging="286"/>
        <w:spacing w:after="0" w:line="252" w:lineRule="auto"/>
        <w:tabs>
          <w:tab w:leader="none" w:pos="12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peer group used is the NASDAQ Telecommunications Index, which we also use in the stock performance graph required by Item 201(e) of Regulation S-K under the Securities Exchange Act of 1934, as amended, and included in our Annual Report on Form 10-K for the fiscal year ended June 28, 2024. Peer group total shareholder return is calculated by assuming that a $100 investment was made on the day prior to the first fiscal year reported and reinvesting all dividends until the last day of each reported fiscal year.</w:t>
      </w:r>
    </w:p>
    <w:p>
      <w:pPr>
        <w:spacing w:after="0" w:line="20" w:lineRule="exact"/>
        <w:rPr>
          <w:rFonts w:ascii="Arial" w:cs="Arial" w:eastAsia="Arial" w:hAnsi="Arial"/>
          <w:sz w:val="13"/>
          <w:szCs w:val="13"/>
          <w:color w:val="auto"/>
        </w:rPr>
      </w:pPr>
    </w:p>
    <w:p>
      <w:pPr>
        <w:ind w:left="1200" w:hanging="286"/>
        <w:spacing w:after="0"/>
        <w:tabs>
          <w:tab w:leader="none" w:pos="12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dollar amounts reported in this column are the amounts of net income reflected in our audited financial statements for the reported fiscal year.</w:t>
      </w:r>
    </w:p>
    <w:p>
      <w:pPr>
        <w:spacing w:after="0" w:line="53" w:lineRule="exact"/>
        <w:rPr>
          <w:rFonts w:ascii="Arial" w:cs="Arial" w:eastAsia="Arial" w:hAnsi="Arial"/>
          <w:sz w:val="13"/>
          <w:szCs w:val="13"/>
          <w:color w:val="auto"/>
        </w:rPr>
      </w:pPr>
    </w:p>
    <w:p>
      <w:pPr>
        <w:ind w:left="1200" w:right="940" w:hanging="286"/>
        <w:spacing w:after="0" w:line="281" w:lineRule="auto"/>
        <w:tabs>
          <w:tab w:leader="none" w:pos="12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 our assessment, revenue is the most important financial performance measure used by Fabrinet in fiscal 2024 to link CAP to performance. The dollar amounts reported in this column are the amounts of revenue reflected in our audited financial statements for the reported fiscal year.</w:t>
      </w:r>
    </w:p>
    <w:p>
      <w:pPr>
        <w:spacing w:after="0" w:line="28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578255"/>
        </w:rPr>
        <w:t>Fiscal 2024 Performance Measures</w:t>
      </w:r>
    </w:p>
    <w:p>
      <w:pPr>
        <w:spacing w:after="0" w:line="108" w:lineRule="exact"/>
        <w:rPr>
          <w:sz w:val="20"/>
          <w:szCs w:val="20"/>
          <w:color w:val="auto"/>
        </w:rPr>
      </w:pPr>
    </w:p>
    <w:p>
      <w:pPr>
        <w:ind w:left="920" w:right="920"/>
        <w:spacing w:after="0" w:line="271" w:lineRule="auto"/>
        <w:rPr>
          <w:sz w:val="20"/>
          <w:szCs w:val="20"/>
          <w:color w:val="auto"/>
        </w:rPr>
      </w:pPr>
      <w:r>
        <w:rPr>
          <w:rFonts w:ascii="Arial" w:cs="Arial" w:eastAsia="Arial" w:hAnsi="Arial"/>
          <w:sz w:val="18"/>
          <w:szCs w:val="18"/>
          <w:color w:val="auto"/>
        </w:rPr>
        <w:t>In accordance with SEC rules, the financial performance measures listed below represent, in our assessment, the most important financial performance measures used in fiscal 2024 to link CAP to company performance.</w:t>
      </w:r>
    </w:p>
    <w:p>
      <w:pPr>
        <w:spacing w:after="0" w:line="46" w:lineRule="exact"/>
        <w:rPr>
          <w:sz w:val="20"/>
          <w:szCs w:val="20"/>
          <w:color w:val="auto"/>
        </w:rPr>
      </w:pPr>
    </w:p>
    <w:p>
      <w:pPr>
        <w:ind w:left="1260" w:hanging="166"/>
        <w:spacing w:after="0"/>
        <w:tabs>
          <w:tab w:leader="none" w:pos="1260" w:val="left"/>
        </w:tabs>
        <w:numPr>
          <w:ilvl w:val="0"/>
          <w:numId w:val="90"/>
        </w:numPr>
        <w:rPr>
          <w:rFonts w:ascii="Arial" w:cs="Arial" w:eastAsia="Arial" w:hAnsi="Arial"/>
          <w:sz w:val="18"/>
          <w:szCs w:val="18"/>
          <w:color w:val="578255"/>
        </w:rPr>
      </w:pPr>
      <w:r>
        <w:rPr>
          <w:rFonts w:ascii="Arial" w:cs="Arial" w:eastAsia="Arial" w:hAnsi="Arial"/>
          <w:sz w:val="18"/>
          <w:szCs w:val="18"/>
          <w:color w:val="auto"/>
        </w:rPr>
        <w:t>Revenue</w:t>
      </w:r>
    </w:p>
    <w:p>
      <w:pPr>
        <w:spacing w:after="0" w:line="103" w:lineRule="exact"/>
        <w:rPr>
          <w:rFonts w:ascii="Arial" w:cs="Arial" w:eastAsia="Arial" w:hAnsi="Arial"/>
          <w:sz w:val="18"/>
          <w:szCs w:val="18"/>
          <w:color w:val="578255"/>
        </w:rPr>
      </w:pPr>
    </w:p>
    <w:p>
      <w:pPr>
        <w:ind w:left="1260" w:hanging="166"/>
        <w:spacing w:after="0"/>
        <w:tabs>
          <w:tab w:leader="none" w:pos="1260" w:val="left"/>
        </w:tabs>
        <w:numPr>
          <w:ilvl w:val="0"/>
          <w:numId w:val="90"/>
        </w:numPr>
        <w:rPr>
          <w:rFonts w:ascii="Arial" w:cs="Arial" w:eastAsia="Arial" w:hAnsi="Arial"/>
          <w:sz w:val="18"/>
          <w:szCs w:val="18"/>
          <w:color w:val="578255"/>
        </w:rPr>
      </w:pPr>
      <w:r>
        <w:rPr>
          <w:rFonts w:ascii="Arial" w:cs="Arial" w:eastAsia="Arial" w:hAnsi="Arial"/>
          <w:sz w:val="18"/>
          <w:szCs w:val="18"/>
          <w:color w:val="auto"/>
        </w:rPr>
        <w:t>Gross margin percentage (non-GAAP)</w:t>
      </w:r>
    </w:p>
    <w:p>
      <w:pPr>
        <w:spacing w:after="0" w:line="103" w:lineRule="exact"/>
        <w:rPr>
          <w:rFonts w:ascii="Arial" w:cs="Arial" w:eastAsia="Arial" w:hAnsi="Arial"/>
          <w:sz w:val="18"/>
          <w:szCs w:val="18"/>
          <w:color w:val="578255"/>
        </w:rPr>
      </w:pPr>
    </w:p>
    <w:p>
      <w:pPr>
        <w:ind w:left="1260" w:hanging="166"/>
        <w:spacing w:after="0"/>
        <w:tabs>
          <w:tab w:leader="none" w:pos="1260" w:val="left"/>
        </w:tabs>
        <w:numPr>
          <w:ilvl w:val="0"/>
          <w:numId w:val="90"/>
        </w:numPr>
        <w:rPr>
          <w:rFonts w:ascii="Arial" w:cs="Arial" w:eastAsia="Arial" w:hAnsi="Arial"/>
          <w:sz w:val="18"/>
          <w:szCs w:val="18"/>
          <w:color w:val="578255"/>
        </w:rPr>
      </w:pPr>
      <w:r>
        <w:rPr>
          <w:rFonts w:ascii="Arial" w:cs="Arial" w:eastAsia="Arial" w:hAnsi="Arial"/>
          <w:sz w:val="18"/>
          <w:szCs w:val="18"/>
          <w:color w:val="auto"/>
        </w:rPr>
        <w:t>Operating margin percentage (non-GAAP)</w:t>
      </w:r>
    </w:p>
    <w:p>
      <w:pPr>
        <w:spacing w:after="0" w:line="103" w:lineRule="exact"/>
        <w:rPr>
          <w:rFonts w:ascii="Arial" w:cs="Arial" w:eastAsia="Arial" w:hAnsi="Arial"/>
          <w:sz w:val="18"/>
          <w:szCs w:val="18"/>
          <w:color w:val="578255"/>
        </w:rPr>
      </w:pPr>
    </w:p>
    <w:p>
      <w:pPr>
        <w:ind w:left="1260" w:hanging="166"/>
        <w:spacing w:after="0"/>
        <w:tabs>
          <w:tab w:leader="none" w:pos="1260" w:val="left"/>
        </w:tabs>
        <w:numPr>
          <w:ilvl w:val="0"/>
          <w:numId w:val="90"/>
        </w:numPr>
        <w:rPr>
          <w:rFonts w:ascii="Arial" w:cs="Arial" w:eastAsia="Arial" w:hAnsi="Arial"/>
          <w:sz w:val="18"/>
          <w:szCs w:val="18"/>
          <w:color w:val="578255"/>
        </w:rPr>
      </w:pPr>
      <w:r>
        <w:rPr>
          <w:rFonts w:ascii="Arial" w:cs="Arial" w:eastAsia="Arial" w:hAnsi="Arial"/>
          <w:sz w:val="18"/>
          <w:szCs w:val="18"/>
          <w:color w:val="auto"/>
        </w:rPr>
        <w:t>Earnings per diluted share (non-GAAP)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61</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ADDITIONAL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58978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78255"/>
        </w:rPr>
        <w:t>Relationship Between Compensation Actually Paid and Performance Measures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 Versus Total Shareholder Return</w:t>
      </w:r>
    </w:p>
    <w:p>
      <w:pPr>
        <w:spacing w:after="0" w:line="102"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following graph reflects the relationship between CAP, our cumulative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and the TSR of the NASDAQ Telecommunications Index (“</w:t>
      </w:r>
      <w:r>
        <w:rPr>
          <w:rFonts w:ascii="Arial" w:cs="Arial" w:eastAsia="Arial" w:hAnsi="Arial"/>
          <w:sz w:val="18"/>
          <w:szCs w:val="18"/>
          <w:b w:val="1"/>
          <w:bCs w:val="1"/>
          <w:color w:val="auto"/>
        </w:rPr>
        <w:t>Peer TSR</w:t>
      </w:r>
      <w:r>
        <w:rPr>
          <w:rFonts w:ascii="Arial" w:cs="Arial" w:eastAsia="Arial" w:hAnsi="Arial"/>
          <w:sz w:val="18"/>
          <w:szCs w:val="18"/>
          <w:color w:val="auto"/>
        </w:rPr>
        <w:t>”), assuming an initial fixed investment on June 26, 2020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153670</wp:posOffset>
            </wp:positionV>
            <wp:extent cx="4620260" cy="2700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62026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 Versus Net Income and Revenue</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graph reflects the relationship between CAP, our net income and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180340</wp:posOffset>
            </wp:positionV>
            <wp:extent cx="4620260" cy="2700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62026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p>
      <w:pPr>
        <w:ind w:left="60"/>
        <w:spacing w:after="0"/>
        <w:tabs>
          <w:tab w:leader="none" w:pos="6729" w:val="left"/>
        </w:tabs>
        <w:rPr>
          <w:sz w:val="20"/>
          <w:szCs w:val="20"/>
          <w:color w:val="auto"/>
        </w:rPr>
      </w:pPr>
      <w:r>
        <w:rPr>
          <w:rFonts w:ascii="Arial" w:cs="Arial" w:eastAsia="Arial" w:hAnsi="Arial"/>
          <w:sz w:val="13"/>
          <w:szCs w:val="13"/>
          <w:color w:val="auto"/>
        </w:rPr>
        <w:t>62</w:t>
      </w:r>
      <w:r>
        <w:rPr>
          <w:sz w:val="20"/>
          <w:szCs w:val="20"/>
          <w:color w:val="auto"/>
        </w:rPr>
        <w:tab/>
      </w:r>
      <w:r>
        <w:rPr>
          <w:sz w:val="1"/>
          <w:szCs w:val="1"/>
          <w:color w:val="auto"/>
        </w:rPr>
        <w:drawing>
          <wp:inline distT="0" distB="0" distL="0" distR="0">
            <wp:extent cx="342900" cy="7683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147955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300" w:top="114" w:right="1359" w:bottom="1440" w:gutter="0" w:footer="0" w:header="0"/>
        </w:sectPr>
      </w:pPr>
    </w:p>
    <w:bookmarkStart w:id="68" w:name="page69"/>
    <w:bookmarkEnd w:id="68"/>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96"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ADDITIONAL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83820</wp:posOffset>
            </wp:positionV>
            <wp:extent cx="58978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Policies and Practices Related to the Grant of Certain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38735</wp:posOffset>
            </wp:positionV>
            <wp:extent cx="58293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4" w:lineRule="exact"/>
        <w:rPr>
          <w:sz w:val="20"/>
          <w:szCs w:val="20"/>
          <w:color w:val="auto"/>
        </w:rPr>
      </w:pPr>
    </w:p>
    <w:p>
      <w:pPr>
        <w:jc w:val="both"/>
        <w:ind w:left="920" w:right="920"/>
        <w:spacing w:after="0" w:line="242" w:lineRule="auto"/>
        <w:rPr>
          <w:sz w:val="20"/>
          <w:szCs w:val="20"/>
          <w:color w:val="auto"/>
        </w:rPr>
      </w:pPr>
      <w:r>
        <w:rPr>
          <w:rFonts w:ascii="Arial" w:cs="Arial" w:eastAsia="Arial" w:hAnsi="Arial"/>
          <w:sz w:val="18"/>
          <w:szCs w:val="18"/>
          <w:color w:val="auto"/>
        </w:rPr>
        <w:t>Since 2013, the only equity awards we have granted are time-based restricted share units (RSUs) and performance-based restricted share units (PSUs). Our Compensation Committee approves equity award grants in accordance with a predetermined schedule, which coincides with regularly scheduled Compensation Committee meetings that are scheduled more than one year in advance. We do not grant equity awards in anticipation of the release of material nonpublic information. Similarly, we do not time the release of material nonpublic information based on equity award grant dates.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63</w:t>
            </w:r>
          </w:p>
        </w:tc>
      </w:tr>
      <w:tr>
        <w:trPr>
          <w:trHeight w:val="223"/>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69" w:name="page70"/>
    <w:bookmarkEnd w:id="69"/>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6" w:right="1240"/>
        <w:spacing w:after="0" w:line="284" w:lineRule="auto"/>
        <w:rPr>
          <w:sz w:val="20"/>
          <w:szCs w:val="20"/>
          <w:color w:val="auto"/>
        </w:rPr>
      </w:pPr>
      <w:r>
        <w:rPr>
          <w:rFonts w:ascii="Arial" w:cs="Arial" w:eastAsia="Arial" w:hAnsi="Arial"/>
          <w:sz w:val="40"/>
          <w:szCs w:val="40"/>
          <w:b w:val="1"/>
          <w:bCs w:val="1"/>
          <w:color w:val="578255"/>
        </w:rPr>
        <w:t>CERTAIN RELATIONSHIPS AND RELATED TRANSACTIONS</w:t>
      </w:r>
    </w:p>
    <w:p>
      <w:pPr>
        <w:spacing w:after="0" w:line="82"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auto"/>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p>
      <w:pPr>
        <w:spacing w:after="0" w:line="218" w:lineRule="exact"/>
        <w:rPr>
          <w:sz w:val="20"/>
          <w:szCs w:val="20"/>
          <w:color w:val="auto"/>
        </w:rPr>
      </w:pPr>
    </w:p>
    <w:p>
      <w:pPr>
        <w:jc w:val="both"/>
        <w:ind w:left="6"/>
        <w:spacing w:after="0" w:line="244" w:lineRule="auto"/>
        <w:rPr>
          <w:sz w:val="20"/>
          <w:szCs w:val="20"/>
          <w:color w:val="auto"/>
        </w:rPr>
      </w:pPr>
      <w:r>
        <w:rPr>
          <w:rFonts w:ascii="Arial" w:cs="Arial" w:eastAsia="Arial" w:hAnsi="Arial"/>
          <w:sz w:val="18"/>
          <w:szCs w:val="18"/>
          <w:color w:val="auto"/>
        </w:rPr>
        <w:t>This section describes transactions since the beginning of fiscal 2024 to which we were a party or will be a party, in which the amounts involved exceeded or will exceed $120,000 and in which the following persons had or will have a direct or indirect material interest:</w:t>
      </w:r>
    </w:p>
    <w:p>
      <w:pPr>
        <w:spacing w:after="0" w:line="68" w:lineRule="exact"/>
        <w:rPr>
          <w:sz w:val="20"/>
          <w:szCs w:val="20"/>
          <w:color w:val="auto"/>
        </w:rPr>
      </w:pPr>
    </w:p>
    <w:p>
      <w:pPr>
        <w:ind w:left="166" w:hanging="166"/>
        <w:spacing w:after="0"/>
        <w:tabs>
          <w:tab w:leader="none" w:pos="166" w:val="left"/>
        </w:tabs>
        <w:numPr>
          <w:ilvl w:val="0"/>
          <w:numId w:val="91"/>
        </w:numPr>
        <w:rPr>
          <w:rFonts w:ascii="Arial" w:cs="Arial" w:eastAsia="Arial" w:hAnsi="Arial"/>
          <w:sz w:val="18"/>
          <w:szCs w:val="18"/>
          <w:color w:val="578255"/>
        </w:rPr>
      </w:pPr>
      <w:r>
        <w:rPr>
          <w:rFonts w:ascii="Arial" w:cs="Arial" w:eastAsia="Arial" w:hAnsi="Arial"/>
          <w:sz w:val="18"/>
          <w:szCs w:val="18"/>
          <w:color w:val="auto"/>
        </w:rPr>
        <w:t>any of our directors or executive officers;</w:t>
      </w:r>
    </w:p>
    <w:p>
      <w:pPr>
        <w:spacing w:after="0" w:line="103" w:lineRule="exact"/>
        <w:rPr>
          <w:rFonts w:ascii="Arial" w:cs="Arial" w:eastAsia="Arial" w:hAnsi="Arial"/>
          <w:sz w:val="18"/>
          <w:szCs w:val="18"/>
          <w:color w:val="578255"/>
        </w:rPr>
      </w:pPr>
    </w:p>
    <w:p>
      <w:pPr>
        <w:ind w:left="166" w:hanging="166"/>
        <w:spacing w:after="0"/>
        <w:tabs>
          <w:tab w:leader="none" w:pos="166" w:val="left"/>
        </w:tabs>
        <w:numPr>
          <w:ilvl w:val="0"/>
          <w:numId w:val="91"/>
        </w:numPr>
        <w:rPr>
          <w:rFonts w:ascii="Arial" w:cs="Arial" w:eastAsia="Arial" w:hAnsi="Arial"/>
          <w:sz w:val="18"/>
          <w:szCs w:val="18"/>
          <w:color w:val="578255"/>
        </w:rPr>
      </w:pPr>
      <w:r>
        <w:rPr>
          <w:rFonts w:ascii="Arial" w:cs="Arial" w:eastAsia="Arial" w:hAnsi="Arial"/>
          <w:sz w:val="18"/>
          <w:szCs w:val="18"/>
          <w:color w:val="auto"/>
        </w:rPr>
        <w:t>any nominee for election as one of our directors;</w:t>
      </w:r>
    </w:p>
    <w:p>
      <w:pPr>
        <w:spacing w:after="0" w:line="103" w:lineRule="exact"/>
        <w:rPr>
          <w:rFonts w:ascii="Arial" w:cs="Arial" w:eastAsia="Arial" w:hAnsi="Arial"/>
          <w:sz w:val="18"/>
          <w:szCs w:val="18"/>
          <w:color w:val="578255"/>
        </w:rPr>
      </w:pPr>
    </w:p>
    <w:p>
      <w:pPr>
        <w:ind w:left="166" w:hanging="166"/>
        <w:spacing w:after="0" w:line="271" w:lineRule="auto"/>
        <w:tabs>
          <w:tab w:leader="none" w:pos="166" w:val="left"/>
        </w:tabs>
        <w:numPr>
          <w:ilvl w:val="0"/>
          <w:numId w:val="91"/>
        </w:numPr>
        <w:rPr>
          <w:rFonts w:ascii="Arial" w:cs="Arial" w:eastAsia="Arial" w:hAnsi="Arial"/>
          <w:sz w:val="18"/>
          <w:szCs w:val="18"/>
          <w:color w:val="578255"/>
        </w:rPr>
      </w:pPr>
      <w:r>
        <w:rPr>
          <w:rFonts w:ascii="Arial" w:cs="Arial" w:eastAsia="Arial" w:hAnsi="Arial"/>
          <w:sz w:val="18"/>
          <w:szCs w:val="18"/>
          <w:color w:val="auto"/>
        </w:rPr>
        <w:t>any person or entity that beneficially owns more than five percent of our outstanding shares; or</w:t>
      </w:r>
    </w:p>
    <w:p>
      <w:pPr>
        <w:spacing w:after="0" w:line="45" w:lineRule="exact"/>
        <w:rPr>
          <w:rFonts w:ascii="Arial" w:cs="Arial" w:eastAsia="Arial" w:hAnsi="Arial"/>
          <w:sz w:val="18"/>
          <w:szCs w:val="18"/>
          <w:color w:val="578255"/>
        </w:rPr>
      </w:pPr>
    </w:p>
    <w:p>
      <w:pPr>
        <w:ind w:left="166" w:hanging="166"/>
        <w:spacing w:after="0" w:line="271" w:lineRule="auto"/>
        <w:tabs>
          <w:tab w:leader="none" w:pos="166" w:val="left"/>
        </w:tabs>
        <w:numPr>
          <w:ilvl w:val="0"/>
          <w:numId w:val="91"/>
        </w:numPr>
        <w:rPr>
          <w:rFonts w:ascii="Arial" w:cs="Arial" w:eastAsia="Arial" w:hAnsi="Arial"/>
          <w:sz w:val="18"/>
          <w:szCs w:val="18"/>
          <w:color w:val="578255"/>
        </w:rPr>
      </w:pPr>
      <w:r>
        <w:rPr>
          <w:rFonts w:ascii="Arial" w:cs="Arial" w:eastAsia="Arial" w:hAnsi="Arial"/>
          <w:sz w:val="18"/>
          <w:szCs w:val="18"/>
          <w:color w:val="auto"/>
        </w:rPr>
        <w:t>any member of the immediate family of any of the foregoing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of Family Member</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Dr. Soon Kaewchansilp, father-in-law of David T. (Tom) Mitchell, was appointed in March 2015 as the first Fabrinet Fellow in recognition of his many years of exemplary service to Fabrinet. As a Fabrinet Fellow, Dr. Kaewchansilp will continue to serve as Fabrinet’s ambassador to the Thai-American Chamber of Commerce, liaise with Thai government officials on behalf of Fabrinet, and mentor our employees in Thailand. In fiscal 2024, Dr. Kaewchansilp received</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cash compensation of $180,000. Dr. Kaewchansilp will receive a lump sum payment of $500,000 when his relationship with Fabrinet concludes.</w:t>
      </w:r>
    </w:p>
    <w:p>
      <w:pPr>
        <w:spacing w:after="0" w:line="200" w:lineRule="exact"/>
        <w:rPr>
          <w:sz w:val="20"/>
          <w:szCs w:val="20"/>
          <w:color w:val="auto"/>
        </w:rPr>
      </w:pPr>
    </w:p>
    <w:p>
      <w:pPr>
        <w:sectPr>
          <w:pgSz w:w="11900" w:h="16838" w:orient="portrait"/>
          <w:cols w:equalWidth="0" w:num="2">
            <w:col w:w="4426" w:space="320"/>
            <w:col w:w="4440"/>
          </w:cols>
          <w:pgMar w:left="1354" w:top="114" w:right="1359" w:bottom="1440" w:gutter="0" w:footer="0" w:header="0"/>
          <w:type w:val="continuous"/>
        </w:sectPr>
      </w:pPr>
    </w:p>
    <w:p>
      <w:pPr>
        <w:spacing w:after="0" w:line="13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auto"/>
        </w:rPr>
        <w:t>Policy for Approval of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58293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p>
      <w:pPr>
        <w:spacing w:after="0" w:line="218"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In accordance with the Audit Committee’s charter, the Audit Committee reviews and pre-approves in writing any proposed related person transactions. The most significant related person transactions, particularly those involving our directors and officers, will be reviewed and pre-approved in writing by the Board. We will report all such material related person transactions under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applicable accounting rules, federal securities laws and SEC rules and regulations. Any dealings with a related person must be conducted in such a way that does not give us or the related person preferential treatment. For purposes of these procedures, “related person” and “transaction” have the meanings contained in Item 404 of Regulation S-K.</w:t>
      </w:r>
    </w:p>
    <w:p>
      <w:pPr>
        <w:spacing w:after="0" w:line="406" w:lineRule="exact"/>
        <w:rPr>
          <w:sz w:val="20"/>
          <w:szCs w:val="20"/>
          <w:color w:val="auto"/>
        </w:rPr>
      </w:pPr>
    </w:p>
    <w:p>
      <w:pPr>
        <w:sectPr>
          <w:pgSz w:w="11900" w:h="16838" w:orient="portrait"/>
          <w:cols w:equalWidth="0" w:num="2">
            <w:col w:w="4426" w:space="320"/>
            <w:col w:w="4440"/>
          </w:cols>
          <w:pgMar w:left="1354" w:top="114" w:right="1359" w:bottom="1440" w:gutter="0" w:footer="0" w:header="0"/>
          <w:type w:val="continuous"/>
        </w:sectPr>
      </w:pPr>
    </w:p>
    <w:p>
      <w:pPr>
        <w:spacing w:after="0" w:line="89" w:lineRule="exact"/>
        <w:rPr>
          <w:sz w:val="20"/>
          <w:szCs w:val="20"/>
          <w:color w:val="auto"/>
        </w:rPr>
      </w:pPr>
    </w:p>
    <w:p>
      <w:pPr>
        <w:ind w:left="6"/>
        <w:spacing w:after="0"/>
        <w:tabs>
          <w:tab w:leader="none" w:pos="6676" w:val="left"/>
        </w:tabs>
        <w:rPr>
          <w:sz w:val="20"/>
          <w:szCs w:val="20"/>
          <w:color w:val="auto"/>
        </w:rPr>
      </w:pPr>
      <w:r>
        <w:rPr>
          <w:rFonts w:ascii="Arial" w:cs="Arial" w:eastAsia="Arial" w:hAnsi="Arial"/>
          <w:sz w:val="12"/>
          <w:szCs w:val="12"/>
          <w:color w:val="auto"/>
        </w:rPr>
        <w:t>64</w:t>
      </w:r>
      <w:r>
        <w:rPr>
          <w:sz w:val="20"/>
          <w:szCs w:val="20"/>
          <w:color w:val="auto"/>
        </w:rPr>
        <w:tab/>
      </w:r>
      <w:r>
        <w:rPr>
          <w:sz w:val="1"/>
          <w:szCs w:val="1"/>
          <w:color w:val="auto"/>
        </w:rPr>
        <w:drawing>
          <wp:inline distT="0" distB="0" distL="0" distR="0">
            <wp:extent cx="342900" cy="7683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2"/>
          <w:szCs w:val="12"/>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149860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type w:val="continuous"/>
        </w:sectPr>
      </w:pPr>
    </w:p>
    <w:bookmarkStart w:id="70" w:name="page71"/>
    <w:bookmarkEnd w:id="7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40"/>
          <w:szCs w:val="40"/>
          <w:b w:val="1"/>
          <w:bCs w:val="1"/>
          <w:color w:val="578255"/>
        </w:rPr>
        <w:t>SECURITY OWNERSHIP BY PRINCIPAL</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40"/>
          <w:szCs w:val="40"/>
          <w:b w:val="1"/>
          <w:bCs w:val="1"/>
          <w:color w:val="578255"/>
        </w:rPr>
        <w:t>SHAREHOLDERS AND MANAGEMENT</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September 30, 2024, for:</w:t>
      </w:r>
    </w:p>
    <w:p>
      <w:pPr>
        <w:spacing w:after="0" w:line="59" w:lineRule="exact"/>
        <w:rPr>
          <w:sz w:val="20"/>
          <w:szCs w:val="20"/>
          <w:color w:val="auto"/>
        </w:rPr>
      </w:pPr>
    </w:p>
    <w:p>
      <w:pPr>
        <w:ind w:left="1080" w:right="920" w:hanging="166"/>
        <w:spacing w:after="0" w:line="271" w:lineRule="auto"/>
        <w:tabs>
          <w:tab w:leader="none" w:pos="1080" w:val="left"/>
        </w:tabs>
        <w:numPr>
          <w:ilvl w:val="0"/>
          <w:numId w:val="92"/>
        </w:numPr>
        <w:rPr>
          <w:rFonts w:ascii="Arial" w:cs="Arial" w:eastAsia="Arial" w:hAnsi="Arial"/>
          <w:sz w:val="18"/>
          <w:szCs w:val="18"/>
          <w:color w:val="578255"/>
        </w:rPr>
      </w:pPr>
      <w:r>
        <w:rPr>
          <w:rFonts w:ascii="Arial" w:cs="Arial" w:eastAsia="Arial" w:hAnsi="Arial"/>
          <w:sz w:val="18"/>
          <w:szCs w:val="18"/>
          <w:color w:val="auto"/>
        </w:rPr>
        <w:t>each person (or group of affiliated persons) who is known by us to beneficially own more than 5% of our ordinary shares;</w:t>
      </w:r>
    </w:p>
    <w:p>
      <w:pPr>
        <w:spacing w:after="0" w:line="5" w:lineRule="exact"/>
        <w:rPr>
          <w:rFonts w:ascii="Arial" w:cs="Arial" w:eastAsia="Arial" w:hAnsi="Arial"/>
          <w:sz w:val="18"/>
          <w:szCs w:val="18"/>
          <w:color w:val="578255"/>
        </w:rPr>
      </w:pPr>
    </w:p>
    <w:p>
      <w:pPr>
        <w:ind w:left="1080" w:hanging="166"/>
        <w:spacing w:after="0"/>
        <w:tabs>
          <w:tab w:leader="none" w:pos="1080" w:val="left"/>
        </w:tabs>
        <w:numPr>
          <w:ilvl w:val="0"/>
          <w:numId w:val="92"/>
        </w:numPr>
        <w:rPr>
          <w:rFonts w:ascii="Arial" w:cs="Arial" w:eastAsia="Arial" w:hAnsi="Arial"/>
          <w:sz w:val="18"/>
          <w:szCs w:val="18"/>
          <w:color w:val="578255"/>
        </w:rPr>
      </w:pPr>
      <w:r>
        <w:rPr>
          <w:rFonts w:ascii="Arial" w:cs="Arial" w:eastAsia="Arial" w:hAnsi="Arial"/>
          <w:sz w:val="18"/>
          <w:szCs w:val="18"/>
          <w:color w:val="auto"/>
        </w:rPr>
        <w:t>each of our Named Officers;</w:t>
      </w:r>
    </w:p>
    <w:p>
      <w:pPr>
        <w:spacing w:after="0" w:line="76" w:lineRule="exact"/>
        <w:rPr>
          <w:rFonts w:ascii="Arial" w:cs="Arial" w:eastAsia="Arial" w:hAnsi="Arial"/>
          <w:sz w:val="18"/>
          <w:szCs w:val="18"/>
          <w:color w:val="578255"/>
        </w:rPr>
      </w:pPr>
    </w:p>
    <w:p>
      <w:pPr>
        <w:ind w:left="1080" w:hanging="166"/>
        <w:spacing w:after="0"/>
        <w:tabs>
          <w:tab w:leader="none" w:pos="1080" w:val="left"/>
        </w:tabs>
        <w:numPr>
          <w:ilvl w:val="0"/>
          <w:numId w:val="92"/>
        </w:numPr>
        <w:rPr>
          <w:rFonts w:ascii="Arial" w:cs="Arial" w:eastAsia="Arial" w:hAnsi="Arial"/>
          <w:sz w:val="18"/>
          <w:szCs w:val="18"/>
          <w:color w:val="578255"/>
        </w:rPr>
      </w:pPr>
      <w:r>
        <w:rPr>
          <w:rFonts w:ascii="Arial" w:cs="Arial" w:eastAsia="Arial" w:hAnsi="Arial"/>
          <w:sz w:val="18"/>
          <w:szCs w:val="18"/>
          <w:color w:val="auto"/>
        </w:rPr>
        <w:t>each of our directors and director nominees; and</w:t>
      </w:r>
    </w:p>
    <w:p>
      <w:pPr>
        <w:spacing w:after="0" w:line="63" w:lineRule="exact"/>
        <w:rPr>
          <w:rFonts w:ascii="Arial" w:cs="Arial" w:eastAsia="Arial" w:hAnsi="Arial"/>
          <w:sz w:val="18"/>
          <w:szCs w:val="18"/>
          <w:color w:val="578255"/>
        </w:rPr>
      </w:pPr>
    </w:p>
    <w:p>
      <w:pPr>
        <w:ind w:left="1080" w:hanging="166"/>
        <w:spacing w:after="0"/>
        <w:tabs>
          <w:tab w:leader="none" w:pos="1080" w:val="left"/>
        </w:tabs>
        <w:numPr>
          <w:ilvl w:val="0"/>
          <w:numId w:val="92"/>
        </w:numPr>
        <w:rPr>
          <w:rFonts w:ascii="Arial" w:cs="Arial" w:eastAsia="Arial" w:hAnsi="Arial"/>
          <w:sz w:val="18"/>
          <w:szCs w:val="18"/>
          <w:color w:val="578255"/>
        </w:rPr>
      </w:pPr>
      <w:r>
        <w:rPr>
          <w:rFonts w:ascii="Arial" w:cs="Arial" w:eastAsia="Arial" w:hAnsi="Arial"/>
          <w:sz w:val="18"/>
          <w:szCs w:val="18"/>
          <w:color w:val="auto"/>
        </w:rPr>
        <w:t>all of our directors and current executive officers as a group.</w:t>
      </w:r>
    </w:p>
    <w:p>
      <w:pPr>
        <w:spacing w:after="0" w:line="63" w:lineRule="exact"/>
        <w:rPr>
          <w:sz w:val="20"/>
          <w:szCs w:val="20"/>
          <w:color w:val="auto"/>
        </w:rPr>
      </w:pPr>
    </w:p>
    <w:p>
      <w:pPr>
        <w:jc w:val="both"/>
        <w:ind w:left="920" w:right="920"/>
        <w:spacing w:after="0" w:line="254" w:lineRule="auto"/>
        <w:rPr>
          <w:sz w:val="20"/>
          <w:szCs w:val="20"/>
          <w:color w:val="auto"/>
        </w:rPr>
      </w:pPr>
      <w:r>
        <w:rPr>
          <w:rFonts w:ascii="Arial" w:cs="Arial" w:eastAsia="Arial" w:hAnsi="Arial"/>
          <w:sz w:val="18"/>
          <w:szCs w:val="18"/>
          <w:color w:val="auto"/>
        </w:rPr>
        <w:t>We have determined beneficial ownership in accordance with SEC rules. Except as indicated in the footnotes below, and subject to applicable community property laws, we believe, based on the information furnished to us, the persons and entities named in the table below have sole voting and investment power with respect to all ordinary shares shown as beneficially owned by them. Percentage of beneficial ownership is based on 36,267,639 ordinary shares outstanding as of September 30, 2024 (which excludes 3,312,220 ordinary shares held by us as treasury shares). In computing the number of ordinary shares beneficially owned by a person or entity and the percentage ownership of that person or entity, we deemed to be outstanding all ordinary shares as to which such person or entity has the right to acquire within 60 days of September 30, 2024, through the exercise of any option or other right. We did not deem these shares outstanding, however, for the purpose of computing the percentage ownership of any other person or entity. Unless otherwise noted below, the address of each beneficial owner named below is c/o Fabrinet USA, Inc., 4900 Patrick Henry Drive, Santa Clara, CA 95054.</w:t>
      </w:r>
    </w:p>
    <w:p>
      <w:pPr>
        <w:spacing w:after="0" w:line="66" w:lineRule="exact"/>
        <w:rPr>
          <w:sz w:val="20"/>
          <w:szCs w:val="20"/>
          <w:color w:val="auto"/>
        </w:rPr>
      </w:pPr>
    </w:p>
    <w:tbl>
      <w:tblPr>
        <w:tblLayout w:type="fixed"/>
        <w:tblInd w:w="920" w:type="dxa"/>
        <w:tblCellMar>
          <w:top w:w="0" w:type="dxa"/>
          <w:left w:w="0" w:type="dxa"/>
          <w:bottom w:w="0" w:type="dxa"/>
          <w:right w:w="0" w:type="dxa"/>
        </w:tblCellMar>
      </w:tblPr>
      <w:tr>
        <w:trPr>
          <w:trHeight w:val="261"/>
        </w:trPr>
        <w:tc>
          <w:tcPr>
            <w:tcW w:w="5480" w:type="dxa"/>
            <w:vAlign w:val="bottom"/>
            <w:shd w:val="clear" w:color="auto" w:fill="819F7C"/>
          </w:tcPr>
          <w:p>
            <w:pPr>
              <w:spacing w:after="0"/>
              <w:rPr>
                <w:sz w:val="22"/>
                <w:szCs w:val="22"/>
                <w:color w:val="auto"/>
              </w:rPr>
            </w:pPr>
          </w:p>
        </w:tc>
        <w:tc>
          <w:tcPr>
            <w:tcW w:w="2220" w:type="dxa"/>
            <w:vAlign w:val="bottom"/>
            <w:shd w:val="clear" w:color="auto" w:fill="819F7C"/>
          </w:tcPr>
          <w:p>
            <w:pPr>
              <w:jc w:val="right"/>
              <w:ind w:right="528"/>
              <w:spacing w:after="0"/>
              <w:rPr>
                <w:sz w:val="20"/>
                <w:szCs w:val="20"/>
                <w:color w:val="auto"/>
              </w:rPr>
            </w:pPr>
            <w:r>
              <w:rPr>
                <w:rFonts w:ascii="Arial" w:cs="Arial" w:eastAsia="Arial" w:hAnsi="Arial"/>
                <w:sz w:val="14"/>
                <w:szCs w:val="14"/>
                <w:b w:val="1"/>
                <w:bCs w:val="1"/>
                <w:color w:val="FFFFFF"/>
              </w:rPr>
              <w:t>Shares</w:t>
            </w:r>
          </w:p>
        </w:tc>
        <w:tc>
          <w:tcPr>
            <w:tcW w:w="1480" w:type="dxa"/>
            <w:vAlign w:val="bottom"/>
            <w:shd w:val="clear" w:color="auto" w:fill="819F7C"/>
          </w:tcPr>
          <w:p>
            <w:pPr>
              <w:jc w:val="right"/>
              <w:ind w:right="48"/>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5480" w:type="dxa"/>
            <w:vAlign w:val="bottom"/>
            <w:shd w:val="clear" w:color="auto" w:fill="819F7C"/>
          </w:tcPr>
          <w:p>
            <w:pPr>
              <w:spacing w:after="0"/>
              <w:rPr>
                <w:sz w:val="14"/>
                <w:szCs w:val="14"/>
                <w:color w:val="auto"/>
              </w:rPr>
            </w:pPr>
          </w:p>
        </w:tc>
        <w:tc>
          <w:tcPr>
            <w:tcW w:w="2220" w:type="dxa"/>
            <w:vAlign w:val="bottom"/>
            <w:shd w:val="clear" w:color="auto" w:fill="819F7C"/>
          </w:tcPr>
          <w:p>
            <w:pPr>
              <w:jc w:val="right"/>
              <w:ind w:right="488"/>
              <w:spacing w:after="0"/>
              <w:rPr>
                <w:sz w:val="20"/>
                <w:szCs w:val="20"/>
                <w:color w:val="auto"/>
              </w:rPr>
            </w:pPr>
            <w:r>
              <w:rPr>
                <w:rFonts w:ascii="Arial" w:cs="Arial" w:eastAsia="Arial" w:hAnsi="Arial"/>
                <w:sz w:val="14"/>
                <w:szCs w:val="14"/>
                <w:b w:val="1"/>
                <w:bCs w:val="1"/>
                <w:color w:val="FFFFFF"/>
              </w:rPr>
              <w:t>Beneficially</w:t>
            </w:r>
          </w:p>
        </w:tc>
        <w:tc>
          <w:tcPr>
            <w:tcW w:w="1480" w:type="dxa"/>
            <w:vAlign w:val="bottom"/>
            <w:shd w:val="clear" w:color="auto" w:fill="819F7C"/>
          </w:tcPr>
          <w:p>
            <w:pPr>
              <w:jc w:val="right"/>
              <w:ind w:right="48"/>
              <w:spacing w:after="0"/>
              <w:rPr>
                <w:sz w:val="20"/>
                <w:szCs w:val="20"/>
                <w:color w:val="auto"/>
              </w:rPr>
            </w:pPr>
            <w:r>
              <w:rPr>
                <w:rFonts w:ascii="Arial" w:cs="Arial" w:eastAsia="Arial" w:hAnsi="Arial"/>
                <w:sz w:val="14"/>
                <w:szCs w:val="14"/>
                <w:b w:val="1"/>
                <w:bCs w:val="1"/>
                <w:color w:val="FFFFFF"/>
              </w:rPr>
              <w:t>Beneficially</w:t>
            </w:r>
          </w:p>
        </w:tc>
      </w:tr>
      <w:tr>
        <w:trPr>
          <w:trHeight w:val="162"/>
        </w:trPr>
        <w:tc>
          <w:tcPr>
            <w:tcW w:w="5480" w:type="dxa"/>
            <w:vAlign w:val="bottom"/>
            <w:shd w:val="clear" w:color="auto" w:fill="819F7C"/>
          </w:tcPr>
          <w:p>
            <w:pPr>
              <w:spacing w:after="0"/>
              <w:rPr>
                <w:sz w:val="14"/>
                <w:szCs w:val="14"/>
                <w:color w:val="auto"/>
              </w:rPr>
            </w:pPr>
          </w:p>
        </w:tc>
        <w:tc>
          <w:tcPr>
            <w:tcW w:w="2220" w:type="dxa"/>
            <w:vAlign w:val="bottom"/>
            <w:shd w:val="clear" w:color="auto" w:fill="819F7C"/>
          </w:tcPr>
          <w:p>
            <w:pPr>
              <w:jc w:val="right"/>
              <w:ind w:right="528"/>
              <w:spacing w:after="0"/>
              <w:rPr>
                <w:sz w:val="20"/>
                <w:szCs w:val="20"/>
                <w:color w:val="auto"/>
              </w:rPr>
            </w:pPr>
            <w:r>
              <w:rPr>
                <w:rFonts w:ascii="Arial" w:cs="Arial" w:eastAsia="Arial" w:hAnsi="Arial"/>
                <w:sz w:val="14"/>
                <w:szCs w:val="14"/>
                <w:b w:val="1"/>
                <w:bCs w:val="1"/>
                <w:color w:val="FFFFFF"/>
              </w:rPr>
              <w:t>Owned</w:t>
            </w:r>
          </w:p>
        </w:tc>
        <w:tc>
          <w:tcPr>
            <w:tcW w:w="1480" w:type="dxa"/>
            <w:vAlign w:val="bottom"/>
            <w:shd w:val="clear" w:color="auto" w:fill="819F7C"/>
          </w:tcPr>
          <w:p>
            <w:pPr>
              <w:jc w:val="right"/>
              <w:ind w:right="88"/>
              <w:spacing w:after="0"/>
              <w:rPr>
                <w:sz w:val="20"/>
                <w:szCs w:val="20"/>
                <w:color w:val="auto"/>
              </w:rPr>
            </w:pPr>
            <w:r>
              <w:rPr>
                <w:rFonts w:ascii="Arial" w:cs="Arial" w:eastAsia="Arial" w:hAnsi="Arial"/>
                <w:sz w:val="14"/>
                <w:szCs w:val="14"/>
                <w:b w:val="1"/>
                <w:bCs w:val="1"/>
                <w:color w:val="FFFFFF"/>
              </w:rPr>
              <w:t>Owned</w:t>
            </w:r>
          </w:p>
        </w:tc>
      </w:tr>
      <w:tr>
        <w:trPr>
          <w:trHeight w:val="198"/>
        </w:trPr>
        <w:tc>
          <w:tcPr>
            <w:tcW w:w="5480" w:type="dxa"/>
            <w:vAlign w:val="bottom"/>
            <w:shd w:val="clear" w:color="auto" w:fill="819F7C"/>
          </w:tcPr>
          <w:p>
            <w:pPr>
              <w:ind w:left="80"/>
              <w:spacing w:after="0"/>
              <w:rPr>
                <w:sz w:val="20"/>
                <w:szCs w:val="20"/>
                <w:color w:val="auto"/>
              </w:rPr>
            </w:pPr>
            <w:r>
              <w:rPr>
                <w:rFonts w:ascii="Arial" w:cs="Arial" w:eastAsia="Arial" w:hAnsi="Arial"/>
                <w:sz w:val="14"/>
                <w:szCs w:val="14"/>
                <w:b w:val="1"/>
                <w:bCs w:val="1"/>
                <w:color w:val="FFFFFF"/>
              </w:rPr>
              <w:t>Name of Beneficial Owner</w:t>
            </w:r>
          </w:p>
        </w:tc>
        <w:tc>
          <w:tcPr>
            <w:tcW w:w="2220" w:type="dxa"/>
            <w:vAlign w:val="bottom"/>
            <w:shd w:val="clear" w:color="auto" w:fill="819F7C"/>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819F7C"/>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203"/>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b w:val="1"/>
                <w:bCs w:val="1"/>
                <w:color w:val="auto"/>
              </w:rPr>
              <w:t>5% Shareholders:</w:t>
            </w:r>
          </w:p>
        </w:tc>
        <w:tc>
          <w:tcPr>
            <w:tcW w:w="2220" w:type="dxa"/>
            <w:vAlign w:val="bottom"/>
            <w:shd w:val="clear" w:color="auto" w:fill="E5E9E3"/>
          </w:tcPr>
          <w:p>
            <w:pPr>
              <w:spacing w:after="0"/>
              <w:rPr>
                <w:sz w:val="17"/>
                <w:szCs w:val="17"/>
                <w:color w:val="auto"/>
              </w:rPr>
            </w:pPr>
          </w:p>
        </w:tc>
        <w:tc>
          <w:tcPr>
            <w:tcW w:w="1480" w:type="dxa"/>
            <w:vAlign w:val="bottom"/>
            <w:shd w:val="clear" w:color="auto" w:fill="E5E9E3"/>
          </w:tcPr>
          <w:p>
            <w:pPr>
              <w:spacing w:after="0"/>
              <w:rPr>
                <w:sz w:val="17"/>
                <w:szCs w:val="17"/>
                <w:color w:val="auto"/>
              </w:rPr>
            </w:pPr>
          </w:p>
        </w:tc>
      </w:tr>
      <w:tr>
        <w:trPr>
          <w:trHeight w:val="230"/>
        </w:trPr>
        <w:tc>
          <w:tcPr>
            <w:tcW w:w="5480" w:type="dxa"/>
            <w:vAlign w:val="bottom"/>
          </w:tcPr>
          <w:p>
            <w:pPr>
              <w:ind w:left="80"/>
              <w:spacing w:after="0" w:line="230"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(1)</w:t>
            </w:r>
          </w:p>
        </w:tc>
        <w:tc>
          <w:tcPr>
            <w:tcW w:w="2220" w:type="dxa"/>
            <w:vAlign w:val="bottom"/>
          </w:tcPr>
          <w:p>
            <w:pPr>
              <w:jc w:val="right"/>
              <w:ind w:right="488"/>
              <w:spacing w:after="0"/>
              <w:rPr>
                <w:sz w:val="20"/>
                <w:szCs w:val="20"/>
                <w:color w:val="auto"/>
              </w:rPr>
            </w:pPr>
            <w:r>
              <w:rPr>
                <w:rFonts w:ascii="Arial" w:cs="Arial" w:eastAsia="Arial" w:hAnsi="Arial"/>
                <w:sz w:val="14"/>
                <w:szCs w:val="14"/>
                <w:color w:val="auto"/>
              </w:rPr>
              <w:t>5,843,453</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16.11</w:t>
            </w:r>
          </w:p>
        </w:tc>
      </w:tr>
      <w:tr>
        <w:trPr>
          <w:trHeight w:val="229"/>
        </w:trPr>
        <w:tc>
          <w:tcPr>
            <w:tcW w:w="5480" w:type="dxa"/>
            <w:vAlign w:val="bottom"/>
            <w:shd w:val="clear" w:color="auto" w:fill="E5E9E3"/>
          </w:tcPr>
          <w:p>
            <w:pPr>
              <w:ind w:left="80"/>
              <w:spacing w:after="0" w:line="230" w:lineRule="exact"/>
              <w:rPr>
                <w:sz w:val="20"/>
                <w:szCs w:val="20"/>
                <w:color w:val="auto"/>
              </w:rPr>
            </w:pPr>
            <w:r>
              <w:rPr>
                <w:rFonts w:ascii="Arial" w:cs="Arial" w:eastAsia="Arial" w:hAnsi="Arial"/>
                <w:sz w:val="14"/>
                <w:szCs w:val="14"/>
                <w:color w:val="auto"/>
              </w:rPr>
              <w:t>The Vanguard Group</w:t>
            </w:r>
            <w:r>
              <w:rPr>
                <w:rFonts w:ascii="Arial" w:cs="Arial" w:eastAsia="Arial" w:hAnsi="Arial"/>
                <w:sz w:val="23"/>
                <w:szCs w:val="23"/>
                <w:color w:val="auto"/>
                <w:vertAlign w:val="superscript"/>
              </w:rPr>
              <w:t>(2)</w:t>
            </w:r>
          </w:p>
        </w:tc>
        <w:tc>
          <w:tcPr>
            <w:tcW w:w="2220" w:type="dxa"/>
            <w:vAlign w:val="bottom"/>
            <w:shd w:val="clear" w:color="auto" w:fill="E5E9E3"/>
          </w:tcPr>
          <w:p>
            <w:pPr>
              <w:jc w:val="right"/>
              <w:ind w:right="488"/>
              <w:spacing w:after="0"/>
              <w:rPr>
                <w:sz w:val="20"/>
                <w:szCs w:val="20"/>
                <w:color w:val="auto"/>
              </w:rPr>
            </w:pPr>
            <w:r>
              <w:rPr>
                <w:rFonts w:ascii="Arial" w:cs="Arial" w:eastAsia="Arial" w:hAnsi="Arial"/>
                <w:sz w:val="14"/>
                <w:szCs w:val="14"/>
                <w:color w:val="auto"/>
              </w:rPr>
              <w:t>4,309,672</w:t>
            </w:r>
          </w:p>
        </w:tc>
        <w:tc>
          <w:tcPr>
            <w:tcW w:w="1480" w:type="dxa"/>
            <w:vAlign w:val="bottom"/>
            <w:shd w:val="clear" w:color="auto" w:fill="E5E9E3"/>
          </w:tcPr>
          <w:p>
            <w:pPr>
              <w:jc w:val="right"/>
              <w:ind w:right="48"/>
              <w:spacing w:after="0"/>
              <w:rPr>
                <w:sz w:val="20"/>
                <w:szCs w:val="20"/>
                <w:color w:val="auto"/>
              </w:rPr>
            </w:pPr>
            <w:r>
              <w:rPr>
                <w:rFonts w:ascii="Arial" w:cs="Arial" w:eastAsia="Arial" w:hAnsi="Arial"/>
                <w:sz w:val="14"/>
                <w:szCs w:val="14"/>
                <w:color w:val="auto"/>
              </w:rPr>
              <w:t>11.88</w:t>
            </w:r>
          </w:p>
        </w:tc>
      </w:tr>
      <w:tr>
        <w:trPr>
          <w:trHeight w:val="230"/>
        </w:trPr>
        <w:tc>
          <w:tcPr>
            <w:tcW w:w="5480" w:type="dxa"/>
            <w:vAlign w:val="bottom"/>
          </w:tcPr>
          <w:p>
            <w:pPr>
              <w:ind w:left="80"/>
              <w:spacing w:after="0" w:line="230" w:lineRule="exact"/>
              <w:rPr>
                <w:sz w:val="20"/>
                <w:szCs w:val="20"/>
                <w:color w:val="auto"/>
              </w:rPr>
            </w:pPr>
            <w:r>
              <w:rPr>
                <w:rFonts w:ascii="Arial" w:cs="Arial" w:eastAsia="Arial" w:hAnsi="Arial"/>
                <w:sz w:val="14"/>
                <w:szCs w:val="14"/>
                <w:color w:val="auto"/>
              </w:rPr>
              <w:t>FMR LLC</w:t>
            </w:r>
            <w:r>
              <w:rPr>
                <w:rFonts w:ascii="Arial" w:cs="Arial" w:eastAsia="Arial" w:hAnsi="Arial"/>
                <w:sz w:val="23"/>
                <w:szCs w:val="23"/>
                <w:color w:val="auto"/>
                <w:vertAlign w:val="superscript"/>
              </w:rPr>
              <w:t>(3)</w:t>
            </w:r>
          </w:p>
        </w:tc>
        <w:tc>
          <w:tcPr>
            <w:tcW w:w="2220" w:type="dxa"/>
            <w:vAlign w:val="bottom"/>
          </w:tcPr>
          <w:p>
            <w:pPr>
              <w:jc w:val="right"/>
              <w:ind w:right="488"/>
              <w:spacing w:after="0"/>
              <w:rPr>
                <w:sz w:val="20"/>
                <w:szCs w:val="20"/>
                <w:color w:val="auto"/>
              </w:rPr>
            </w:pPr>
            <w:r>
              <w:rPr>
                <w:rFonts w:ascii="Arial" w:cs="Arial" w:eastAsia="Arial" w:hAnsi="Arial"/>
                <w:sz w:val="14"/>
                <w:szCs w:val="14"/>
                <w:color w:val="auto"/>
              </w:rPr>
              <w:t>1,893,983</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5.22</w:t>
            </w:r>
          </w:p>
        </w:tc>
      </w:tr>
      <w:tr>
        <w:trPr>
          <w:trHeight w:val="203"/>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 </w:t>
            </w:r>
          </w:p>
        </w:tc>
        <w:tc>
          <w:tcPr>
            <w:tcW w:w="2220" w:type="dxa"/>
            <w:vAlign w:val="bottom"/>
            <w:shd w:val="clear" w:color="auto" w:fill="E5E9E3"/>
          </w:tcPr>
          <w:p>
            <w:pPr>
              <w:spacing w:after="0"/>
              <w:rPr>
                <w:sz w:val="17"/>
                <w:szCs w:val="17"/>
                <w:color w:val="auto"/>
              </w:rPr>
            </w:pPr>
          </w:p>
        </w:tc>
        <w:tc>
          <w:tcPr>
            <w:tcW w:w="1480" w:type="dxa"/>
            <w:vAlign w:val="bottom"/>
            <w:shd w:val="clear" w:color="auto" w:fill="E5E9E3"/>
          </w:tcPr>
          <w:p>
            <w:pPr>
              <w:spacing w:after="0"/>
              <w:rPr>
                <w:sz w:val="17"/>
                <w:szCs w:val="17"/>
                <w:color w:val="auto"/>
              </w:rPr>
            </w:pPr>
          </w:p>
        </w:tc>
      </w:tr>
      <w:tr>
        <w:trPr>
          <w:trHeight w:val="202"/>
        </w:trPr>
        <w:tc>
          <w:tcPr>
            <w:tcW w:w="5480" w:type="dxa"/>
            <w:vAlign w:val="bottom"/>
          </w:tcPr>
          <w:p>
            <w:pPr>
              <w:ind w:left="80"/>
              <w:spacing w:after="0"/>
              <w:rPr>
                <w:sz w:val="20"/>
                <w:szCs w:val="20"/>
                <w:color w:val="auto"/>
              </w:rPr>
            </w:pPr>
            <w:r>
              <w:rPr>
                <w:rFonts w:ascii="Arial" w:cs="Arial" w:eastAsia="Arial" w:hAnsi="Arial"/>
                <w:sz w:val="14"/>
                <w:szCs w:val="14"/>
                <w:b w:val="1"/>
                <w:bCs w:val="1"/>
                <w:color w:val="auto"/>
              </w:rPr>
              <w:t>Named Officers:</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Seamus Grady</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9,513</w:t>
            </w:r>
          </w:p>
        </w:tc>
        <w:tc>
          <w:tcPr>
            <w:tcW w:w="14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80"/>
              <w:spacing w:after="0"/>
              <w:rPr>
                <w:sz w:val="20"/>
                <w:szCs w:val="20"/>
                <w:color w:val="auto"/>
              </w:rPr>
            </w:pPr>
            <w:r>
              <w:rPr>
                <w:rFonts w:ascii="Arial" w:cs="Arial" w:eastAsia="Arial" w:hAnsi="Arial"/>
                <w:sz w:val="14"/>
                <w:szCs w:val="14"/>
                <w:color w:val="auto"/>
              </w:rPr>
              <w:t>Dr. Harpal Gill</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18,675</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7"/>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Csaba Sverha</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9,336</w:t>
            </w:r>
          </w:p>
        </w:tc>
        <w:tc>
          <w:tcPr>
            <w:tcW w:w="14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80"/>
              <w:spacing w:after="0"/>
              <w:rPr>
                <w:sz w:val="20"/>
                <w:szCs w:val="20"/>
                <w:color w:val="auto"/>
              </w:rPr>
            </w:pPr>
            <w:r>
              <w:rPr>
                <w:rFonts w:ascii="Arial" w:cs="Arial" w:eastAsia="Arial" w:hAnsi="Arial"/>
                <w:sz w:val="14"/>
                <w:szCs w:val="14"/>
                <w:color w:val="auto"/>
              </w:rPr>
              <w:t>Edward T. Archer</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7"/>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 </w:t>
            </w:r>
          </w:p>
        </w:tc>
        <w:tc>
          <w:tcPr>
            <w:tcW w:w="2220" w:type="dxa"/>
            <w:vAlign w:val="bottom"/>
            <w:shd w:val="clear" w:color="auto" w:fill="E5E9E3"/>
          </w:tcPr>
          <w:p>
            <w:pPr>
              <w:spacing w:after="0"/>
              <w:rPr>
                <w:sz w:val="17"/>
                <w:szCs w:val="17"/>
                <w:color w:val="auto"/>
              </w:rPr>
            </w:pPr>
          </w:p>
        </w:tc>
        <w:tc>
          <w:tcPr>
            <w:tcW w:w="1480" w:type="dxa"/>
            <w:vAlign w:val="bottom"/>
            <w:shd w:val="clear" w:color="auto" w:fill="E5E9E3"/>
          </w:tcPr>
          <w:p>
            <w:pPr>
              <w:spacing w:after="0"/>
              <w:rPr>
                <w:sz w:val="17"/>
                <w:szCs w:val="17"/>
                <w:color w:val="auto"/>
              </w:rPr>
            </w:pPr>
          </w:p>
        </w:tc>
      </w:tr>
      <w:tr>
        <w:trPr>
          <w:trHeight w:val="202"/>
        </w:trPr>
        <w:tc>
          <w:tcPr>
            <w:tcW w:w="5480" w:type="dxa"/>
            <w:vAlign w:val="bottom"/>
          </w:tcPr>
          <w:p>
            <w:pPr>
              <w:ind w:left="80"/>
              <w:spacing w:after="0"/>
              <w:rPr>
                <w:sz w:val="20"/>
                <w:szCs w:val="20"/>
                <w:color w:val="auto"/>
              </w:rPr>
            </w:pPr>
            <w:r>
              <w:rPr>
                <w:rFonts w:ascii="Arial" w:cs="Arial" w:eastAsia="Arial" w:hAnsi="Arial"/>
                <w:sz w:val="14"/>
                <w:szCs w:val="14"/>
                <w:b w:val="1"/>
                <w:bCs w:val="1"/>
                <w:color w:val="auto"/>
              </w:rPr>
              <w:t>Non-Employee Directors:</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Forbes I.J. Alexander</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E5E9E3"/>
          </w:tcPr>
          <w:p>
            <w:pPr>
              <w:jc w:val="right"/>
              <w:ind w:right="48"/>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80"/>
              <w:spacing w:after="0"/>
              <w:rPr>
                <w:sz w:val="20"/>
                <w:szCs w:val="20"/>
                <w:color w:val="auto"/>
              </w:rPr>
            </w:pPr>
            <w:r>
              <w:rPr>
                <w:rFonts w:ascii="Arial" w:cs="Arial" w:eastAsia="Arial" w:hAnsi="Arial"/>
                <w:sz w:val="14"/>
                <w:szCs w:val="14"/>
                <w:color w:val="auto"/>
              </w:rPr>
              <w:t>Dr. Homa Bahrami</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19,639</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7"/>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Thomas F. Kelly</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19,292</w:t>
            </w:r>
          </w:p>
        </w:tc>
        <w:tc>
          <w:tcPr>
            <w:tcW w:w="14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80"/>
              <w:spacing w:after="0"/>
              <w:rPr>
                <w:sz w:val="20"/>
                <w:szCs w:val="20"/>
                <w:color w:val="auto"/>
              </w:rPr>
            </w:pPr>
            <w:r>
              <w:rPr>
                <w:rFonts w:ascii="Arial" w:cs="Arial" w:eastAsia="Arial" w:hAnsi="Arial"/>
                <w:sz w:val="14"/>
                <w:szCs w:val="14"/>
                <w:color w:val="auto"/>
              </w:rPr>
              <w:t>Darlene S. Knight</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3,186</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7"/>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Dr. Frank H. Levinson</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4,427</w:t>
            </w:r>
          </w:p>
        </w:tc>
        <w:tc>
          <w:tcPr>
            <w:tcW w:w="14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r>
      <w:tr>
        <w:trPr>
          <w:trHeight w:val="229"/>
        </w:trPr>
        <w:tc>
          <w:tcPr>
            <w:tcW w:w="5480" w:type="dxa"/>
            <w:vAlign w:val="bottom"/>
          </w:tcPr>
          <w:p>
            <w:pPr>
              <w:ind w:left="80"/>
              <w:spacing w:after="0" w:line="230" w:lineRule="exact"/>
              <w:rPr>
                <w:sz w:val="20"/>
                <w:szCs w:val="20"/>
                <w:color w:val="auto"/>
              </w:rPr>
            </w:pPr>
            <w:r>
              <w:rPr>
                <w:rFonts w:ascii="Arial" w:cs="Arial" w:eastAsia="Arial" w:hAnsi="Arial"/>
                <w:sz w:val="14"/>
                <w:szCs w:val="14"/>
                <w:color w:val="auto"/>
              </w:rPr>
              <w:t>David T. (Tom) Mitchell</w:t>
            </w:r>
            <w:r>
              <w:rPr>
                <w:rFonts w:ascii="Arial" w:cs="Arial" w:eastAsia="Arial" w:hAnsi="Arial"/>
                <w:sz w:val="23"/>
                <w:szCs w:val="23"/>
                <w:color w:val="auto"/>
                <w:vertAlign w:val="superscript"/>
              </w:rPr>
              <w:t>(4)</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31,378</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color w:val="auto"/>
              </w:rPr>
              <w:t>Rollance E. Olson</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23,524</w:t>
            </w:r>
          </w:p>
        </w:tc>
        <w:tc>
          <w:tcPr>
            <w:tcW w:w="14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r>
      <w:tr>
        <w:trPr>
          <w:trHeight w:val="198"/>
        </w:trPr>
        <w:tc>
          <w:tcPr>
            <w:tcW w:w="5480" w:type="dxa"/>
            <w:vAlign w:val="bottom"/>
          </w:tcPr>
          <w:p>
            <w:pPr>
              <w:ind w:left="80"/>
              <w:spacing w:after="0"/>
              <w:rPr>
                <w:sz w:val="20"/>
                <w:szCs w:val="20"/>
                <w:color w:val="auto"/>
              </w:rPr>
            </w:pPr>
            <w:r>
              <w:rPr>
                <w:rFonts w:ascii="Arial" w:cs="Arial" w:eastAsia="Arial" w:hAnsi="Arial"/>
                <w:sz w:val="14"/>
                <w:szCs w:val="14"/>
                <w:color w:val="auto"/>
              </w:rPr>
              <w:t> </w:t>
            </w:r>
          </w:p>
        </w:tc>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6"/>
        </w:trPr>
        <w:tc>
          <w:tcPr>
            <w:tcW w:w="5480" w:type="dxa"/>
            <w:vAlign w:val="bottom"/>
            <w:shd w:val="clear" w:color="auto" w:fill="E5E9E3"/>
          </w:tcPr>
          <w:p>
            <w:pPr>
              <w:ind w:left="80"/>
              <w:spacing w:after="0"/>
              <w:rPr>
                <w:sz w:val="20"/>
                <w:szCs w:val="20"/>
                <w:color w:val="auto"/>
              </w:rPr>
            </w:pPr>
            <w:r>
              <w:rPr>
                <w:rFonts w:ascii="Arial" w:cs="Arial" w:eastAsia="Arial" w:hAnsi="Arial"/>
                <w:sz w:val="14"/>
                <w:szCs w:val="14"/>
                <w:b w:val="1"/>
                <w:bCs w:val="1"/>
                <w:color w:val="auto"/>
              </w:rPr>
              <w:t xml:space="preserve">All directors and current executive officers as a group </w:t>
            </w:r>
            <w:r>
              <w:rPr>
                <w:rFonts w:ascii="Arial" w:cs="Arial" w:eastAsia="Arial" w:hAnsi="Arial"/>
                <w:sz w:val="14"/>
                <w:szCs w:val="14"/>
                <w:color w:val="auto"/>
              </w:rPr>
              <w:t>(11 persons)</w:t>
            </w:r>
          </w:p>
        </w:tc>
        <w:tc>
          <w:tcPr>
            <w:tcW w:w="2220" w:type="dxa"/>
            <w:vAlign w:val="bottom"/>
            <w:shd w:val="clear" w:color="auto" w:fill="E5E9E3"/>
          </w:tcPr>
          <w:p>
            <w:pPr>
              <w:jc w:val="right"/>
              <w:ind w:right="508"/>
              <w:spacing w:after="0"/>
              <w:rPr>
                <w:sz w:val="20"/>
                <w:szCs w:val="20"/>
                <w:color w:val="auto"/>
              </w:rPr>
            </w:pPr>
            <w:r>
              <w:rPr>
                <w:rFonts w:ascii="Arial" w:cs="Arial" w:eastAsia="Arial" w:hAnsi="Arial"/>
                <w:sz w:val="14"/>
                <w:szCs w:val="14"/>
                <w:color w:val="auto"/>
              </w:rPr>
              <w:t>​ 138,970</w:t>
            </w:r>
          </w:p>
        </w:tc>
        <w:tc>
          <w:tcPr>
            <w:tcW w:w="14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r>
      <w:tr>
        <w:trPr>
          <w:trHeight w:val="101"/>
        </w:trPr>
        <w:tc>
          <w:tcPr>
            <w:tcW w:w="5480" w:type="dxa"/>
            <w:vAlign w:val="bottom"/>
            <w:shd w:val="clear" w:color="auto" w:fill="819F7C"/>
          </w:tcPr>
          <w:p>
            <w:pPr>
              <w:spacing w:after="0"/>
              <w:rPr>
                <w:sz w:val="8"/>
                <w:szCs w:val="8"/>
                <w:color w:val="auto"/>
              </w:rPr>
            </w:pPr>
          </w:p>
        </w:tc>
        <w:tc>
          <w:tcPr>
            <w:tcW w:w="2220" w:type="dxa"/>
            <w:vAlign w:val="bottom"/>
            <w:shd w:val="clear" w:color="auto" w:fill="819F7C"/>
          </w:tcPr>
          <w:p>
            <w:pPr>
              <w:spacing w:after="0"/>
              <w:rPr>
                <w:sz w:val="8"/>
                <w:szCs w:val="8"/>
                <w:color w:val="auto"/>
              </w:rPr>
            </w:pPr>
          </w:p>
        </w:tc>
        <w:tc>
          <w:tcPr>
            <w:tcW w:w="1480" w:type="dxa"/>
            <w:vAlign w:val="bottom"/>
            <w:shd w:val="clear" w:color="auto" w:fill="819F7C"/>
          </w:tcPr>
          <w:p>
            <w:pPr>
              <w:spacing w:after="0"/>
              <w:rPr>
                <w:sz w:val="8"/>
                <w:szCs w:val="8"/>
                <w:color w:val="auto"/>
              </w:rPr>
            </w:pPr>
          </w:p>
        </w:tc>
      </w:tr>
    </w:tbl>
    <w:p>
      <w:pPr>
        <w:spacing w:after="0" w:line="68" w:lineRule="exact"/>
        <w:rPr>
          <w:sz w:val="20"/>
          <w:szCs w:val="20"/>
          <w:color w:val="auto"/>
        </w:rPr>
      </w:pPr>
    </w:p>
    <w:p>
      <w:pPr>
        <w:ind w:left="1260" w:hanging="346"/>
        <w:spacing w:after="0"/>
        <w:tabs>
          <w:tab w:leader="none" w:pos="1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less than 1% of the total.</w:t>
      </w:r>
    </w:p>
    <w:p>
      <w:pPr>
        <w:spacing w:after="0" w:line="38" w:lineRule="exact"/>
        <w:rPr>
          <w:sz w:val="20"/>
          <w:szCs w:val="20"/>
          <w:color w:val="auto"/>
        </w:rPr>
      </w:pPr>
    </w:p>
    <w:p>
      <w:pPr>
        <w:ind w:left="1260" w:right="940" w:hanging="346"/>
        <w:spacing w:after="0" w:line="270" w:lineRule="auto"/>
        <w:tabs>
          <w:tab w:leader="none" w:pos="1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a Schedule 13G/A filed with the SEC on January 22, 2024, BlackRock, Inc. (“</w:t>
      </w:r>
      <w:r>
        <w:rPr>
          <w:rFonts w:ascii="Arial" w:cs="Arial" w:eastAsia="Arial" w:hAnsi="Arial"/>
          <w:sz w:val="13"/>
          <w:szCs w:val="13"/>
          <w:b w:val="1"/>
          <w:bCs w:val="1"/>
          <w:color w:val="auto"/>
        </w:rPr>
        <w:t>BlackRock</w:t>
      </w:r>
      <w:r>
        <w:rPr>
          <w:rFonts w:ascii="Arial" w:cs="Arial" w:eastAsia="Arial" w:hAnsi="Arial"/>
          <w:sz w:val="13"/>
          <w:szCs w:val="13"/>
          <w:color w:val="auto"/>
        </w:rPr>
        <w:t>”) has sole voting power as to 5,758,575 shares and sole dispositive power as to 5,843,453 shares. BlackRock’s address is 50 Hudson Yards, New York, NY 10001.</w:t>
      </w:r>
    </w:p>
    <w:p>
      <w:pPr>
        <w:spacing w:after="0" w:line="1" w:lineRule="exact"/>
        <w:rPr>
          <w:rFonts w:ascii="Arial" w:cs="Arial" w:eastAsia="Arial" w:hAnsi="Arial"/>
          <w:sz w:val="13"/>
          <w:szCs w:val="13"/>
          <w:color w:val="auto"/>
        </w:rPr>
      </w:pPr>
    </w:p>
    <w:p>
      <w:pPr>
        <w:jc w:val="both"/>
        <w:ind w:left="1260" w:right="940" w:hanging="346"/>
        <w:spacing w:after="0" w:line="254" w:lineRule="auto"/>
        <w:tabs>
          <w:tab w:leader="none" w:pos="1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a Schedule 13G/A filed with the SEC on February 13, 2024, The Vanguard Group (“</w:t>
      </w:r>
      <w:r>
        <w:rPr>
          <w:rFonts w:ascii="Arial" w:cs="Arial" w:eastAsia="Arial" w:hAnsi="Arial"/>
          <w:sz w:val="13"/>
          <w:szCs w:val="13"/>
          <w:b w:val="1"/>
          <w:bCs w:val="1"/>
          <w:color w:val="auto"/>
        </w:rPr>
        <w:t>Vanguard</w:t>
      </w:r>
      <w:r>
        <w:rPr>
          <w:rFonts w:ascii="Arial" w:cs="Arial" w:eastAsia="Arial" w:hAnsi="Arial"/>
          <w:sz w:val="13"/>
          <w:szCs w:val="13"/>
          <w:color w:val="auto"/>
        </w:rPr>
        <w:t>”) has shared voting power as to 67,951 shares, sole dispositive power as to 4,203,015 shares, and shared dispositive power as to 106,657 shares. Vanguard’s address is 100 Vanguard Blvd., Malvern, PA 19355.</w:t>
      </w:r>
    </w:p>
    <w:p>
      <w:pPr>
        <w:ind w:left="1260" w:hanging="346"/>
        <w:spacing w:after="0"/>
        <w:tabs>
          <w:tab w:leader="none" w:pos="1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9, 2024, FMR LLC (“</w:t>
      </w:r>
      <w:r>
        <w:rPr>
          <w:rFonts w:ascii="Arial" w:cs="Arial" w:eastAsia="Arial" w:hAnsi="Arial"/>
          <w:sz w:val="13"/>
          <w:szCs w:val="13"/>
          <w:b w:val="1"/>
          <w:bCs w:val="1"/>
          <w:color w:val="auto"/>
        </w:rPr>
        <w:t>FMR</w:t>
      </w:r>
      <w:r>
        <w:rPr>
          <w:rFonts w:ascii="Arial" w:cs="Arial" w:eastAsia="Arial" w:hAnsi="Arial"/>
          <w:sz w:val="13"/>
          <w:szCs w:val="13"/>
          <w:color w:val="auto"/>
        </w:rPr>
        <w:t>”). FMR’s address is 245 Summer Street, Boston, MA 02210.</w:t>
      </w:r>
    </w:p>
    <w:p>
      <w:pPr>
        <w:spacing w:after="0" w:line="38" w:lineRule="exact"/>
        <w:rPr>
          <w:rFonts w:ascii="Arial" w:cs="Arial" w:eastAsia="Arial" w:hAnsi="Arial"/>
          <w:sz w:val="13"/>
          <w:szCs w:val="13"/>
          <w:color w:val="auto"/>
        </w:rPr>
      </w:pPr>
    </w:p>
    <w:p>
      <w:pPr>
        <w:ind w:left="1260" w:hanging="346"/>
        <w:spacing w:after="0"/>
        <w:tabs>
          <w:tab w:leader="none" w:pos="1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All shares are held by the David T. Mitchell Separate Property Trust, of which Mr. Mitchell is the sole trustee.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40" w:type="dxa"/>
            <w:vAlign w:val="bottom"/>
          </w:tcPr>
          <w:p>
            <w:pPr>
              <w:ind w:left="1780"/>
              <w:spacing w:after="0"/>
              <w:rPr>
                <w:sz w:val="20"/>
                <w:szCs w:val="20"/>
                <w:color w:val="auto"/>
              </w:rPr>
            </w:pPr>
            <w:r>
              <w:rPr>
                <w:rFonts w:ascii="Arial" w:cs="Arial" w:eastAsia="Arial" w:hAnsi="Arial"/>
                <w:sz w:val="13"/>
                <w:szCs w:val="13"/>
                <w:color w:val="auto"/>
              </w:rPr>
              <w:t>2024 PROXY STATEMENT</w:t>
            </w:r>
          </w:p>
        </w:tc>
        <w:tc>
          <w:tcPr>
            <w:tcW w:w="4380" w:type="dxa"/>
            <w:vAlign w:val="bottom"/>
          </w:tcPr>
          <w:p>
            <w:pPr>
              <w:jc w:val="right"/>
              <w:ind w:right="857"/>
              <w:spacing w:after="0"/>
              <w:rPr>
                <w:sz w:val="20"/>
                <w:szCs w:val="20"/>
                <w:color w:val="auto"/>
              </w:rPr>
            </w:pPr>
            <w:r>
              <w:rPr>
                <w:rFonts w:ascii="Arial" w:cs="Arial" w:eastAsia="Arial" w:hAnsi="Arial"/>
                <w:sz w:val="13"/>
                <w:szCs w:val="13"/>
                <w:color w:val="auto"/>
              </w:rPr>
              <w:t>65</w:t>
            </w:r>
          </w:p>
        </w:tc>
      </w:tr>
      <w:tr>
        <w:trPr>
          <w:trHeight w:val="224"/>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68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0" cy="7683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71" w:name="page72"/>
    <w:bookmarkEnd w:id="71"/>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40"/>
          <w:szCs w:val="40"/>
          <w:b w:val="1"/>
          <w:bCs w:val="1"/>
          <w:color w:val="578255"/>
        </w:rPr>
        <w:t>EQUITY COMPENSATION PLAN INFORMATION</w:t>
      </w:r>
    </w:p>
    <w:p>
      <w:pPr>
        <w:spacing w:after="0" w:line="392" w:lineRule="exact"/>
        <w:rPr>
          <w:sz w:val="20"/>
          <w:szCs w:val="20"/>
          <w:color w:val="auto"/>
        </w:rPr>
      </w:pPr>
    </w:p>
    <w:p>
      <w:pPr>
        <w:ind w:left="6" w:right="20"/>
        <w:spacing w:after="0" w:line="271" w:lineRule="auto"/>
        <w:rPr>
          <w:sz w:val="20"/>
          <w:szCs w:val="20"/>
          <w:color w:val="auto"/>
        </w:rPr>
      </w:pPr>
      <w:r>
        <w:rPr>
          <w:rFonts w:ascii="Arial" w:cs="Arial" w:eastAsia="Arial" w:hAnsi="Arial"/>
          <w:sz w:val="18"/>
          <w:szCs w:val="18"/>
          <w:color w:val="auto"/>
        </w:rPr>
        <w:t>The following table provides information as of June 28, 2024 with respect to our ordinary shares that may be issued under our existing equity compensation plans.</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40" w:type="dxa"/>
            <w:vAlign w:val="bottom"/>
            <w:shd w:val="clear" w:color="auto" w:fill="819F7C"/>
          </w:tcPr>
          <w:p>
            <w:pPr>
              <w:spacing w:after="0"/>
              <w:rPr>
                <w:sz w:val="22"/>
                <w:szCs w:val="22"/>
                <w:color w:val="auto"/>
              </w:rPr>
            </w:pPr>
          </w:p>
        </w:tc>
        <w:tc>
          <w:tcPr>
            <w:tcW w:w="4300" w:type="dxa"/>
            <w:vAlign w:val="bottom"/>
            <w:shd w:val="clear" w:color="auto" w:fill="819F7C"/>
          </w:tcPr>
          <w:p>
            <w:pPr>
              <w:spacing w:after="0"/>
              <w:rPr>
                <w:sz w:val="22"/>
                <w:szCs w:val="22"/>
                <w:color w:val="auto"/>
              </w:rPr>
            </w:pPr>
          </w:p>
        </w:tc>
        <w:tc>
          <w:tcPr>
            <w:tcW w:w="1700" w:type="dxa"/>
            <w:vAlign w:val="bottom"/>
            <w:gridSpan w:val="3"/>
            <w:shd w:val="clear" w:color="auto" w:fill="819F7C"/>
          </w:tcPr>
          <w:p>
            <w:pPr>
              <w:jc w:val="right"/>
              <w:ind w:right="740"/>
              <w:spacing w:after="0"/>
              <w:rPr>
                <w:sz w:val="20"/>
                <w:szCs w:val="20"/>
                <w:color w:val="auto"/>
              </w:rPr>
            </w:pPr>
            <w:r>
              <w:rPr>
                <w:rFonts w:ascii="Arial" w:cs="Arial" w:eastAsia="Arial" w:hAnsi="Arial"/>
                <w:sz w:val="14"/>
                <w:szCs w:val="14"/>
                <w:b w:val="1"/>
                <w:bCs w:val="1"/>
                <w:color w:val="FFFFFF"/>
              </w:rPr>
              <w:t>(a)</w:t>
            </w:r>
          </w:p>
        </w:tc>
        <w:tc>
          <w:tcPr>
            <w:tcW w:w="1280" w:type="dxa"/>
            <w:vAlign w:val="bottom"/>
            <w:shd w:val="clear" w:color="auto" w:fill="819F7C"/>
          </w:tcPr>
          <w:p>
            <w:pPr>
              <w:jc w:val="right"/>
              <w:ind w:right="508"/>
              <w:spacing w:after="0"/>
              <w:rPr>
                <w:sz w:val="20"/>
                <w:szCs w:val="20"/>
                <w:color w:val="auto"/>
              </w:rPr>
            </w:pPr>
            <w:r>
              <w:rPr>
                <w:rFonts w:ascii="Arial" w:cs="Arial" w:eastAsia="Arial" w:hAnsi="Arial"/>
                <w:sz w:val="14"/>
                <w:szCs w:val="14"/>
                <w:b w:val="1"/>
                <w:bCs w:val="1"/>
                <w:color w:val="FFFFFF"/>
              </w:rPr>
              <w:t>(b)</w:t>
            </w:r>
          </w:p>
        </w:tc>
        <w:tc>
          <w:tcPr>
            <w:tcW w:w="1860" w:type="dxa"/>
            <w:vAlign w:val="bottom"/>
            <w:gridSpan w:val="3"/>
            <w:shd w:val="clear" w:color="auto" w:fill="819F7C"/>
          </w:tcPr>
          <w:p>
            <w:pPr>
              <w:jc w:val="right"/>
              <w:ind w:right="860"/>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Number of</w:t>
            </w:r>
          </w:p>
        </w:tc>
        <w:tc>
          <w:tcPr>
            <w:tcW w:w="1280" w:type="dxa"/>
            <w:vAlign w:val="bottom"/>
            <w:shd w:val="clear" w:color="auto" w:fill="819F7C"/>
          </w:tcPr>
          <w:p>
            <w:pPr>
              <w:jc w:val="right"/>
              <w:ind w:right="68"/>
              <w:spacing w:after="0"/>
              <w:rPr>
                <w:sz w:val="20"/>
                <w:szCs w:val="20"/>
                <w:color w:val="auto"/>
              </w:rPr>
            </w:pPr>
            <w:r>
              <w:rPr>
                <w:rFonts w:ascii="Arial" w:cs="Arial" w:eastAsia="Arial" w:hAnsi="Arial"/>
                <w:sz w:val="14"/>
                <w:szCs w:val="14"/>
                <w:b w:val="1"/>
                <w:bCs w:val="1"/>
                <w:color w:val="FFFFFF"/>
              </w:rPr>
              <w:t>Weighted-</w:t>
            </w:r>
          </w:p>
        </w:tc>
        <w:tc>
          <w:tcPr>
            <w:tcW w:w="186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Securities to be</w:t>
            </w:r>
          </w:p>
        </w:tc>
        <w:tc>
          <w:tcPr>
            <w:tcW w:w="128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Average</w:t>
            </w:r>
          </w:p>
        </w:tc>
        <w:tc>
          <w:tcPr>
            <w:tcW w:w="1860" w:type="dxa"/>
            <w:vAlign w:val="bottom"/>
            <w:gridSpan w:val="3"/>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Issued Upon</w:t>
            </w:r>
          </w:p>
        </w:tc>
        <w:tc>
          <w:tcPr>
            <w:tcW w:w="128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Exercise Price</w:t>
            </w:r>
          </w:p>
        </w:tc>
        <w:tc>
          <w:tcPr>
            <w:tcW w:w="186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Exercise of</w:t>
            </w:r>
          </w:p>
        </w:tc>
        <w:tc>
          <w:tcPr>
            <w:tcW w:w="1280" w:type="dxa"/>
            <w:vAlign w:val="bottom"/>
            <w:shd w:val="clear" w:color="auto" w:fill="819F7C"/>
          </w:tcPr>
          <w:p>
            <w:pPr>
              <w:jc w:val="right"/>
              <w:ind w:right="68"/>
              <w:spacing w:after="0"/>
              <w:rPr>
                <w:sz w:val="20"/>
                <w:szCs w:val="20"/>
                <w:color w:val="auto"/>
              </w:rPr>
            </w:pPr>
            <w:r>
              <w:rPr>
                <w:rFonts w:ascii="Arial" w:cs="Arial" w:eastAsia="Arial" w:hAnsi="Arial"/>
                <w:sz w:val="14"/>
                <w:szCs w:val="14"/>
                <w:b w:val="1"/>
                <w:bCs w:val="1"/>
                <w:color w:val="FFFFFF"/>
              </w:rPr>
              <w:t>of Outstanding</w:t>
            </w:r>
          </w:p>
        </w:tc>
        <w:tc>
          <w:tcPr>
            <w:tcW w:w="186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Equity Compensation</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Outstanding</w:t>
            </w:r>
          </w:p>
        </w:tc>
        <w:tc>
          <w:tcPr>
            <w:tcW w:w="128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Options,</w:t>
            </w:r>
          </w:p>
        </w:tc>
        <w:tc>
          <w:tcPr>
            <w:tcW w:w="186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Plans (Excluding</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Options, Warrants</w:t>
            </w:r>
          </w:p>
        </w:tc>
        <w:tc>
          <w:tcPr>
            <w:tcW w:w="128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Warrants and</w:t>
            </w:r>
          </w:p>
        </w:tc>
        <w:tc>
          <w:tcPr>
            <w:tcW w:w="186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Securities Reflected in</w:t>
            </w:r>
          </w:p>
        </w:tc>
        <w:tc>
          <w:tcPr>
            <w:tcW w:w="0" w:type="dxa"/>
            <w:vAlign w:val="bottom"/>
          </w:tcPr>
          <w:p>
            <w:pPr>
              <w:spacing w:after="0"/>
              <w:rPr>
                <w:sz w:val="1"/>
                <w:szCs w:val="1"/>
                <w:color w:val="auto"/>
              </w:rPr>
            </w:pPr>
          </w:p>
        </w:tc>
      </w:tr>
      <w:tr>
        <w:trPr>
          <w:trHeight w:val="162"/>
        </w:trPr>
        <w:tc>
          <w:tcPr>
            <w:tcW w:w="40" w:type="dxa"/>
            <w:vAlign w:val="bottom"/>
            <w:shd w:val="clear" w:color="auto" w:fill="819F7C"/>
          </w:tcPr>
          <w:p>
            <w:pPr>
              <w:spacing w:after="0"/>
              <w:rPr>
                <w:sz w:val="14"/>
                <w:szCs w:val="14"/>
                <w:color w:val="auto"/>
              </w:rPr>
            </w:pPr>
          </w:p>
        </w:tc>
        <w:tc>
          <w:tcPr>
            <w:tcW w:w="4300" w:type="dxa"/>
            <w:vAlign w:val="bottom"/>
            <w:shd w:val="clear" w:color="auto" w:fill="819F7C"/>
          </w:tcPr>
          <w:p>
            <w:pPr>
              <w:spacing w:after="0"/>
              <w:rPr>
                <w:sz w:val="14"/>
                <w:szCs w:val="14"/>
                <w:color w:val="auto"/>
              </w:rPr>
            </w:pPr>
          </w:p>
        </w:tc>
        <w:tc>
          <w:tcPr>
            <w:tcW w:w="170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and Rights</w:t>
            </w:r>
          </w:p>
        </w:tc>
        <w:tc>
          <w:tcPr>
            <w:tcW w:w="1280" w:type="dxa"/>
            <w:vAlign w:val="bottom"/>
            <w:shd w:val="clear" w:color="auto" w:fill="819F7C"/>
          </w:tcPr>
          <w:p>
            <w:pPr>
              <w:jc w:val="right"/>
              <w:ind w:right="108"/>
              <w:spacing w:after="0"/>
              <w:rPr>
                <w:sz w:val="20"/>
                <w:szCs w:val="20"/>
                <w:color w:val="auto"/>
              </w:rPr>
            </w:pPr>
            <w:r>
              <w:rPr>
                <w:rFonts w:ascii="Arial" w:cs="Arial" w:eastAsia="Arial" w:hAnsi="Arial"/>
                <w:sz w:val="14"/>
                <w:szCs w:val="14"/>
                <w:b w:val="1"/>
                <w:bCs w:val="1"/>
                <w:color w:val="FFFFFF"/>
              </w:rPr>
              <w:t>Rights</w:t>
            </w:r>
          </w:p>
        </w:tc>
        <w:tc>
          <w:tcPr>
            <w:tcW w:w="1860" w:type="dxa"/>
            <w:vAlign w:val="bottom"/>
            <w:gridSpan w:val="3"/>
            <w:shd w:val="clear" w:color="auto" w:fill="819F7C"/>
          </w:tcPr>
          <w:p>
            <w:pPr>
              <w:jc w:val="right"/>
              <w:ind w:right="160"/>
              <w:spacing w:after="0"/>
              <w:rPr>
                <w:sz w:val="20"/>
                <w:szCs w:val="20"/>
                <w:color w:val="auto"/>
              </w:rPr>
            </w:pPr>
            <w:r>
              <w:rPr>
                <w:rFonts w:ascii="Arial" w:cs="Arial" w:eastAsia="Arial" w:hAnsi="Arial"/>
                <w:sz w:val="14"/>
                <w:szCs w:val="14"/>
                <w:b w:val="1"/>
                <w:bCs w:val="1"/>
                <w:color w:val="FFFFFF"/>
              </w:rPr>
              <w:t>Column (a))</w:t>
            </w:r>
          </w:p>
        </w:tc>
        <w:tc>
          <w:tcPr>
            <w:tcW w:w="0" w:type="dxa"/>
            <w:vAlign w:val="bottom"/>
          </w:tcPr>
          <w:p>
            <w:pPr>
              <w:spacing w:after="0"/>
              <w:rPr>
                <w:sz w:val="1"/>
                <w:szCs w:val="1"/>
                <w:color w:val="auto"/>
              </w:rPr>
            </w:pPr>
          </w:p>
        </w:tc>
      </w:tr>
      <w:tr>
        <w:trPr>
          <w:trHeight w:val="212"/>
        </w:trPr>
        <w:tc>
          <w:tcPr>
            <w:tcW w:w="40" w:type="dxa"/>
            <w:vAlign w:val="bottom"/>
            <w:shd w:val="clear" w:color="auto" w:fill="819F7C"/>
          </w:tcPr>
          <w:p>
            <w:pPr>
              <w:spacing w:after="0"/>
              <w:rPr>
                <w:sz w:val="18"/>
                <w:szCs w:val="18"/>
                <w:color w:val="auto"/>
              </w:rPr>
            </w:pPr>
          </w:p>
        </w:tc>
        <w:tc>
          <w:tcPr>
            <w:tcW w:w="4300" w:type="dxa"/>
            <w:vAlign w:val="bottom"/>
            <w:shd w:val="clear" w:color="auto" w:fill="819F7C"/>
          </w:tcPr>
          <w:p>
            <w:pPr>
              <w:ind w:left="20"/>
              <w:spacing w:after="0"/>
              <w:rPr>
                <w:sz w:val="20"/>
                <w:szCs w:val="20"/>
                <w:color w:val="auto"/>
              </w:rPr>
            </w:pPr>
            <w:r>
              <w:rPr>
                <w:rFonts w:ascii="Arial" w:cs="Arial" w:eastAsia="Arial" w:hAnsi="Arial"/>
                <w:sz w:val="14"/>
                <w:szCs w:val="14"/>
                <w:b w:val="1"/>
                <w:bCs w:val="1"/>
                <w:color w:val="FFFFFF"/>
              </w:rPr>
              <w:t>Plan Category</w:t>
            </w:r>
          </w:p>
        </w:tc>
        <w:tc>
          <w:tcPr>
            <w:tcW w:w="1700" w:type="dxa"/>
            <w:vAlign w:val="bottom"/>
            <w:gridSpan w:val="3"/>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819F7C"/>
          </w:tcPr>
          <w:p>
            <w:pPr>
              <w:jc w:val="right"/>
              <w:ind w:right="68"/>
              <w:spacing w:after="0"/>
              <w:rPr>
                <w:sz w:val="20"/>
                <w:szCs w:val="20"/>
                <w:color w:val="auto"/>
              </w:rPr>
            </w:pPr>
            <w:r>
              <w:rPr>
                <w:rFonts w:ascii="Arial" w:cs="Arial" w:eastAsia="Arial" w:hAnsi="Arial"/>
                <w:sz w:val="14"/>
                <w:szCs w:val="14"/>
                <w:b w:val="1"/>
                <w:bCs w:val="1"/>
                <w:color w:val="FFFFFF"/>
              </w:rPr>
              <w:t>($)</w:t>
            </w:r>
          </w:p>
        </w:tc>
        <w:tc>
          <w:tcPr>
            <w:tcW w:w="1860" w:type="dxa"/>
            <w:vAlign w:val="bottom"/>
            <w:gridSpan w:val="3"/>
            <w:shd w:val="clear" w:color="auto" w:fill="819F7C"/>
          </w:tcPr>
          <w:p>
            <w:pPr>
              <w:jc w:val="right"/>
              <w:ind w:right="1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0"/>
        </w:trPr>
        <w:tc>
          <w:tcPr>
            <w:tcW w:w="40" w:type="dxa"/>
            <w:vAlign w:val="bottom"/>
            <w:shd w:val="clear" w:color="auto" w:fill="E5E9E3"/>
          </w:tcPr>
          <w:p>
            <w:pPr>
              <w:spacing w:after="0"/>
              <w:rPr>
                <w:sz w:val="23"/>
                <w:szCs w:val="23"/>
                <w:color w:val="auto"/>
              </w:rPr>
            </w:pPr>
          </w:p>
        </w:tc>
        <w:tc>
          <w:tcPr>
            <w:tcW w:w="4300" w:type="dxa"/>
            <w:vAlign w:val="bottom"/>
            <w:shd w:val="clear" w:color="auto" w:fill="E5E9E3"/>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1700" w:type="dxa"/>
            <w:vAlign w:val="bottom"/>
            <w:gridSpan w:val="3"/>
            <w:shd w:val="clear" w:color="auto" w:fill="E5E9E3"/>
          </w:tcPr>
          <w:p>
            <w:pPr>
              <w:jc w:val="right"/>
              <w:ind w:right="120"/>
              <w:spacing w:after="0"/>
              <w:rPr>
                <w:sz w:val="20"/>
                <w:szCs w:val="20"/>
                <w:color w:val="auto"/>
              </w:rPr>
            </w:pPr>
            <w:r>
              <w:rPr>
                <w:rFonts w:ascii="Arial" w:cs="Arial" w:eastAsia="Arial" w:hAnsi="Arial"/>
                <w:sz w:val="14"/>
                <w:szCs w:val="14"/>
                <w:color w:val="auto"/>
              </w:rPr>
              <w:t>477,738</w:t>
            </w:r>
            <w:r>
              <w:rPr>
                <w:rFonts w:ascii="Arial" w:cs="Arial" w:eastAsia="Arial" w:hAnsi="Arial"/>
                <w:sz w:val="23"/>
                <w:szCs w:val="23"/>
                <w:color w:val="auto"/>
                <w:vertAlign w:val="superscript"/>
              </w:rPr>
              <w:t>(1)</w:t>
            </w:r>
          </w:p>
        </w:tc>
        <w:tc>
          <w:tcPr>
            <w:tcW w:w="1280" w:type="dxa"/>
            <w:vAlign w:val="bottom"/>
            <w:shd w:val="clear" w:color="auto" w:fill="E5E9E3"/>
          </w:tcPr>
          <w:p>
            <w:pPr>
              <w:jc w:val="right"/>
              <w:ind w:right="68"/>
              <w:spacing w:after="0"/>
              <w:rPr>
                <w:sz w:val="20"/>
                <w:szCs w:val="20"/>
                <w:color w:val="auto"/>
              </w:rPr>
            </w:pPr>
            <w:r>
              <w:rPr>
                <w:rFonts w:ascii="Arial" w:cs="Arial" w:eastAsia="Arial" w:hAnsi="Arial"/>
                <w:sz w:val="14"/>
                <w:szCs w:val="14"/>
                <w:color w:val="auto"/>
              </w:rPr>
              <w:t>—</w:t>
            </w:r>
          </w:p>
        </w:tc>
        <w:tc>
          <w:tcPr>
            <w:tcW w:w="1860" w:type="dxa"/>
            <w:vAlign w:val="bottom"/>
            <w:gridSpan w:val="3"/>
            <w:shd w:val="clear" w:color="auto" w:fill="E5E9E3"/>
          </w:tcPr>
          <w:p>
            <w:pPr>
              <w:jc w:val="right"/>
              <w:ind w:right="120"/>
              <w:spacing w:after="0"/>
              <w:rPr>
                <w:sz w:val="20"/>
                <w:szCs w:val="20"/>
                <w:color w:val="auto"/>
              </w:rPr>
            </w:pPr>
            <w:r>
              <w:rPr>
                <w:rFonts w:ascii="Arial" w:cs="Arial" w:eastAsia="Arial" w:hAnsi="Arial"/>
                <w:sz w:val="14"/>
                <w:szCs w:val="14"/>
                <w:color w:val="auto"/>
              </w:rPr>
              <w:t>1,746,068</w:t>
            </w:r>
          </w:p>
        </w:tc>
        <w:tc>
          <w:tcPr>
            <w:tcW w:w="0" w:type="dxa"/>
            <w:vAlign w:val="bottom"/>
          </w:tcPr>
          <w:p>
            <w:pPr>
              <w:spacing w:after="0"/>
              <w:rPr>
                <w:sz w:val="1"/>
                <w:szCs w:val="1"/>
                <w:color w:val="auto"/>
              </w:rPr>
            </w:pPr>
          </w:p>
        </w:tc>
      </w:tr>
      <w:tr>
        <w:trPr>
          <w:trHeight w:val="291"/>
        </w:trPr>
        <w:tc>
          <w:tcPr>
            <w:tcW w:w="40" w:type="dxa"/>
            <w:vAlign w:val="bottom"/>
            <w:tcBorders>
              <w:bottom w:val="single" w:sz="8" w:color="E5E9E3"/>
            </w:tcBorders>
          </w:tcPr>
          <w:p>
            <w:pPr>
              <w:spacing w:after="0"/>
              <w:rPr>
                <w:sz w:val="24"/>
                <w:szCs w:val="24"/>
                <w:color w:val="auto"/>
              </w:rPr>
            </w:pPr>
          </w:p>
        </w:tc>
        <w:tc>
          <w:tcPr>
            <w:tcW w:w="4300" w:type="dxa"/>
            <w:vAlign w:val="bottom"/>
            <w:tcBorders>
              <w:bottom w:val="single" w:sz="8" w:color="E5E9E3"/>
            </w:tcBorders>
          </w:tcPr>
          <w:p>
            <w:pPr>
              <w:ind w:left="20"/>
              <w:spacing w:after="0"/>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23"/>
                <w:szCs w:val="23"/>
                <w:color w:val="auto"/>
                <w:vertAlign w:val="superscript"/>
              </w:rPr>
              <w:t>(2)</w:t>
            </w:r>
          </w:p>
        </w:tc>
        <w:tc>
          <w:tcPr>
            <w:tcW w:w="920" w:type="dxa"/>
            <w:vAlign w:val="bottom"/>
            <w:tcBorders>
              <w:bottom w:val="single" w:sz="8" w:color="E5E9E3"/>
            </w:tcBorders>
          </w:tcPr>
          <w:p>
            <w:pPr>
              <w:spacing w:after="0"/>
              <w:rPr>
                <w:sz w:val="24"/>
                <w:szCs w:val="24"/>
                <w:color w:val="auto"/>
              </w:rPr>
            </w:pPr>
          </w:p>
        </w:tc>
        <w:tc>
          <w:tcPr>
            <w:tcW w:w="780" w:type="dxa"/>
            <w:vAlign w:val="bottom"/>
            <w:tcBorders>
              <w:bottom w:val="single" w:sz="8" w:color="E5E9E3"/>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9E3"/>
            </w:tcBorders>
          </w:tcPr>
          <w:p>
            <w:pPr>
              <w:jc w:val="right"/>
              <w:ind w:right="6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E5E9E3"/>
            </w:tcBorders>
            <w:gridSpan w:val="3"/>
          </w:tcPr>
          <w:p>
            <w:pPr>
              <w:jc w:val="right"/>
              <w:ind w:right="120"/>
              <w:spacing w:after="0"/>
              <w:rPr>
                <w:sz w:val="20"/>
                <w:szCs w:val="20"/>
                <w:color w:val="auto"/>
              </w:rPr>
            </w:pPr>
            <w:r>
              <w:rPr>
                <w:rFonts w:ascii="Arial" w:cs="Arial" w:eastAsia="Arial" w:hAnsi="Arial"/>
                <w:sz w:val="14"/>
                <w:szCs w:val="14"/>
                <w:color w:val="auto"/>
              </w:rPr>
              <w:t>111,347</w:t>
            </w:r>
          </w:p>
        </w:tc>
        <w:tc>
          <w:tcPr>
            <w:tcW w:w="0" w:type="dxa"/>
            <w:vAlign w:val="bottom"/>
          </w:tcPr>
          <w:p>
            <w:pPr>
              <w:spacing w:after="0"/>
              <w:rPr>
                <w:sz w:val="1"/>
                <w:szCs w:val="1"/>
                <w:color w:val="auto"/>
              </w:rPr>
            </w:pPr>
          </w:p>
        </w:tc>
      </w:tr>
      <w:tr>
        <w:trPr>
          <w:trHeight w:val="20"/>
        </w:trPr>
        <w:tc>
          <w:tcPr>
            <w:tcW w:w="40" w:type="dxa"/>
            <w:vAlign w:val="bottom"/>
            <w:shd w:val="clear" w:color="auto" w:fill="E5E9E3"/>
          </w:tcPr>
          <w:p>
            <w:pPr>
              <w:spacing w:after="0" w:line="20" w:lineRule="exact"/>
              <w:rPr>
                <w:sz w:val="1"/>
                <w:szCs w:val="1"/>
                <w:color w:val="auto"/>
              </w:rPr>
            </w:pPr>
          </w:p>
        </w:tc>
        <w:tc>
          <w:tcPr>
            <w:tcW w:w="4300" w:type="dxa"/>
            <w:vAlign w:val="bottom"/>
            <w:vMerge w:val="restart"/>
            <w:shd w:val="clear" w:color="auto" w:fill="E5E9E3"/>
          </w:tcPr>
          <w:p>
            <w:pPr>
              <w:ind w:left="20"/>
              <w:spacing w:after="0"/>
              <w:rPr>
                <w:sz w:val="20"/>
                <w:szCs w:val="20"/>
                <w:color w:val="auto"/>
              </w:rPr>
            </w:pPr>
            <w:r>
              <w:rPr>
                <w:rFonts w:ascii="Arial" w:cs="Arial" w:eastAsia="Arial" w:hAnsi="Arial"/>
                <w:sz w:val="14"/>
                <w:szCs w:val="14"/>
                <w:color w:val="auto"/>
              </w:rPr>
              <w:t>Total</w:t>
            </w:r>
          </w:p>
        </w:tc>
        <w:tc>
          <w:tcPr>
            <w:tcW w:w="920" w:type="dxa"/>
            <w:vAlign w:val="bottom"/>
            <w:shd w:val="clear" w:color="auto" w:fill="E5E9E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E5E9E3"/>
          </w:tcPr>
          <w:p>
            <w:pPr>
              <w:spacing w:after="0" w:line="20" w:lineRule="exact"/>
              <w:rPr>
                <w:sz w:val="1"/>
                <w:szCs w:val="1"/>
                <w:color w:val="auto"/>
              </w:rPr>
            </w:pPr>
          </w:p>
        </w:tc>
        <w:tc>
          <w:tcPr>
            <w:tcW w:w="1280" w:type="dxa"/>
            <w:vAlign w:val="bottom"/>
            <w:vMerge w:val="restart"/>
            <w:shd w:val="clear" w:color="auto" w:fill="E5E9E3"/>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9E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E5E9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shd w:val="clear" w:color="auto" w:fill="E5E9E3"/>
          </w:tcPr>
          <w:p>
            <w:pPr>
              <w:spacing w:after="0"/>
              <w:rPr>
                <w:sz w:val="15"/>
                <w:szCs w:val="15"/>
                <w:color w:val="auto"/>
              </w:rPr>
            </w:pPr>
          </w:p>
        </w:tc>
        <w:tc>
          <w:tcPr>
            <w:tcW w:w="4300" w:type="dxa"/>
            <w:vAlign w:val="bottom"/>
            <w:vMerge w:val="continue"/>
            <w:shd w:val="clear" w:color="auto" w:fill="E5E9E3"/>
          </w:tcPr>
          <w:p>
            <w:pPr>
              <w:spacing w:after="0"/>
              <w:rPr>
                <w:sz w:val="15"/>
                <w:szCs w:val="15"/>
                <w:color w:val="auto"/>
              </w:rPr>
            </w:pPr>
          </w:p>
        </w:tc>
        <w:tc>
          <w:tcPr>
            <w:tcW w:w="1700" w:type="dxa"/>
            <w:vAlign w:val="bottom"/>
            <w:gridSpan w:val="3"/>
            <w:shd w:val="clear" w:color="auto" w:fill="E5E9E3"/>
          </w:tcPr>
          <w:p>
            <w:pPr>
              <w:jc w:val="right"/>
              <w:ind w:right="260"/>
              <w:spacing w:after="0"/>
              <w:rPr>
                <w:sz w:val="20"/>
                <w:szCs w:val="20"/>
                <w:color w:val="auto"/>
              </w:rPr>
            </w:pPr>
            <w:r>
              <w:rPr>
                <w:rFonts w:ascii="Arial" w:cs="Arial" w:eastAsia="Arial" w:hAnsi="Arial"/>
                <w:sz w:val="14"/>
                <w:szCs w:val="14"/>
                <w:color w:val="auto"/>
              </w:rPr>
              <w:t>477,738</w:t>
            </w:r>
          </w:p>
        </w:tc>
        <w:tc>
          <w:tcPr>
            <w:tcW w:w="1280" w:type="dxa"/>
            <w:vAlign w:val="bottom"/>
            <w:vMerge w:val="continue"/>
            <w:shd w:val="clear" w:color="auto" w:fill="E5E9E3"/>
          </w:tcPr>
          <w:p>
            <w:pPr>
              <w:spacing w:after="0"/>
              <w:rPr>
                <w:sz w:val="15"/>
                <w:szCs w:val="15"/>
                <w:color w:val="auto"/>
              </w:rPr>
            </w:pPr>
          </w:p>
        </w:tc>
        <w:tc>
          <w:tcPr>
            <w:tcW w:w="1860" w:type="dxa"/>
            <w:vAlign w:val="bottom"/>
            <w:gridSpan w:val="3"/>
            <w:shd w:val="clear" w:color="auto" w:fill="E5E9E3"/>
          </w:tcPr>
          <w:p>
            <w:pPr>
              <w:jc w:val="right"/>
              <w:ind w:right="120"/>
              <w:spacing w:after="0"/>
              <w:rPr>
                <w:sz w:val="20"/>
                <w:szCs w:val="20"/>
                <w:color w:val="auto"/>
              </w:rPr>
            </w:pPr>
            <w:r>
              <w:rPr>
                <w:rFonts w:ascii="Arial" w:cs="Arial" w:eastAsia="Arial" w:hAnsi="Arial"/>
                <w:sz w:val="14"/>
                <w:szCs w:val="14"/>
                <w:color w:val="auto"/>
              </w:rPr>
              <w:t>1,857,415</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6" w:hanging="346"/>
        <w:spacing w:after="0" w:line="281" w:lineRule="auto"/>
        <w:tabs>
          <w:tab w:leader="none" w:pos="346"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shares issuable upon outstanding awards under the 2010 Performance Incentive Plan and the 2020 Equity Incentive Plan. This amount represents an aggregate of 306,660 shares subject to RSUs and 171,078 shares subject to PSUs that were outstanding as of June 28, 2024.</w:t>
      </w:r>
    </w:p>
    <w:p>
      <w:pPr>
        <w:jc w:val="both"/>
        <w:ind w:left="346" w:right="20" w:hanging="346"/>
        <w:spacing w:after="0" w:line="259" w:lineRule="auto"/>
        <w:tabs>
          <w:tab w:leader="none" w:pos="346" w:val="left"/>
        </w:tabs>
        <w:numPr>
          <w:ilvl w:val="0"/>
          <w:numId w:val="95"/>
        </w:numPr>
        <w:rPr>
          <w:rFonts w:ascii="Arial" w:cs="Arial" w:eastAsia="Arial" w:hAnsi="Arial"/>
          <w:sz w:val="13"/>
          <w:szCs w:val="13"/>
          <w:color w:val="auto"/>
        </w:rPr>
      </w:pPr>
      <w:r>
        <w:rPr>
          <w:rFonts w:ascii="Arial" w:cs="Arial" w:eastAsia="Arial" w:hAnsi="Arial"/>
          <w:sz w:val="13"/>
          <w:szCs w:val="13"/>
          <w:color w:val="auto"/>
        </w:rPr>
        <w:t>We adopted the 2017 Inducement Equity Incentive Plan on November 2, 2017, with a reserve of 160,000 ordinary shares authorized for future issuance solely for the granting of inducement share options and equity awards to new employees. The plan was adopted without shareholder approval in reliance on the “employment inducement exemption” provided under the NYSE Listed Company Manual.</w:t>
      </w:r>
    </w:p>
    <w:p>
      <w:pPr>
        <w:spacing w:after="0" w:line="291" w:lineRule="exact"/>
        <w:rPr>
          <w:sz w:val="20"/>
          <w:szCs w:val="20"/>
          <w:color w:val="auto"/>
        </w:rPr>
      </w:pPr>
    </w:p>
    <w:p>
      <w:pPr>
        <w:ind w:left="6"/>
        <w:spacing w:after="0"/>
        <w:rPr>
          <w:sz w:val="20"/>
          <w:szCs w:val="20"/>
          <w:color w:val="auto"/>
        </w:rPr>
      </w:pPr>
      <w:r>
        <w:rPr>
          <w:rFonts w:ascii="Arial" w:cs="Arial" w:eastAsia="Arial" w:hAnsi="Arial"/>
          <w:sz w:val="40"/>
          <w:szCs w:val="40"/>
          <w:b w:val="1"/>
          <w:bCs w:val="1"/>
          <w:color w:val="578255"/>
        </w:rPr>
        <w:t>DELINQUENT SECTION 16(a) REPORTS</w:t>
      </w:r>
    </w:p>
    <w:p>
      <w:pPr>
        <w:spacing w:after="0" w:line="392" w:lineRule="exact"/>
        <w:rPr>
          <w:sz w:val="20"/>
          <w:szCs w:val="20"/>
          <w:color w:val="auto"/>
        </w:rPr>
      </w:pPr>
    </w:p>
    <w:p>
      <w:pPr>
        <w:jc w:val="both"/>
        <w:ind w:left="6"/>
        <w:spacing w:after="0" w:line="239" w:lineRule="auto"/>
        <w:rPr>
          <w:sz w:val="20"/>
          <w:szCs w:val="20"/>
          <w:color w:val="auto"/>
        </w:rPr>
      </w:pPr>
      <w:r>
        <w:rPr>
          <w:rFonts w:ascii="Arial" w:cs="Arial" w:eastAsia="Arial" w:hAnsi="Arial"/>
          <w:sz w:val="18"/>
          <w:szCs w:val="18"/>
          <w:color w:val="auto"/>
        </w:rPr>
        <w:t>Section 16(a) of the Exchange Act requires our directors, executive officers and any persons holding more than 10% of a registered class of our equity securities to report initial ownership of such equity shares, and any subsequent changes in ownership to the SEC. Such officers, directors and 10% shareholders also are required by SEC rules to furnish us with copies of all Section 16(a) forms they file. Specific due dates have been established by the SEC, and we are required to disclose in this proxy statement any failure to file required ownership reports by these dates. Based solely on our review of copies of such forms received, or written representations from certain reporting persons that no filings were required for such persons, we believe that during fiscal 2024 our executive officers and directors complied with all Section 16(a) filing requirements applicable to them, except (1) Thomas F. Kelly filed a late Form 4 on March 13, 2024 to report the gift of 240 shares on March 7, 2024, and (2) Rollance E. Olson filed a late Form 4 on June 24, 2024 to report the gift of 175 shares on June 17, 2024.</w:t>
      </w:r>
    </w:p>
    <w:p>
      <w:pPr>
        <w:spacing w:after="0" w:line="313" w:lineRule="exact"/>
        <w:rPr>
          <w:sz w:val="20"/>
          <w:szCs w:val="20"/>
          <w:color w:val="auto"/>
        </w:rPr>
      </w:pPr>
    </w:p>
    <w:p>
      <w:pPr>
        <w:ind w:left="6"/>
        <w:spacing w:after="0"/>
        <w:rPr>
          <w:sz w:val="20"/>
          <w:szCs w:val="20"/>
          <w:color w:val="auto"/>
        </w:rPr>
      </w:pPr>
      <w:r>
        <w:rPr>
          <w:rFonts w:ascii="Arial" w:cs="Arial" w:eastAsia="Arial" w:hAnsi="Arial"/>
          <w:sz w:val="40"/>
          <w:szCs w:val="40"/>
          <w:b w:val="1"/>
          <w:bCs w:val="1"/>
          <w:color w:val="578255"/>
        </w:rPr>
        <w:t>OTHER MATTERS</w:t>
      </w:r>
    </w:p>
    <w:p>
      <w:pPr>
        <w:spacing w:after="0" w:line="392" w:lineRule="exact"/>
        <w:rPr>
          <w:sz w:val="20"/>
          <w:szCs w:val="20"/>
          <w:color w:val="auto"/>
        </w:rPr>
      </w:pPr>
    </w:p>
    <w:p>
      <w:pPr>
        <w:jc w:val="both"/>
        <w:ind w:left="6"/>
        <w:spacing w:after="0" w:line="247"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enclosed proxy card to vote the shares they represent as the Board may recommend. Discretionary authority with respect to such other matters is granted by the execution of the enclosed proxy.</w:t>
      </w:r>
    </w:p>
    <w:p>
      <w:pPr>
        <w:spacing w:after="0" w:line="66"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color w:val="auto"/>
        </w:rPr>
        <w:t>It is important your shares be represented at the Annual Meeting, regardless of the number of shares that you hold. You are, therefore, urged to vote by telephone, by using the Internet as instructed on the enclosed proxy card, or by executing and returning the enclosed proxy card in the envelope provided at your earliest convenience.</w:t>
      </w:r>
    </w:p>
    <w:p>
      <w:pPr>
        <w:spacing w:after="0" w:line="101" w:lineRule="exact"/>
        <w:rPr>
          <w:sz w:val="20"/>
          <w:szCs w:val="20"/>
          <w:color w:val="auto"/>
        </w:rPr>
      </w:pPr>
    </w:p>
    <w:p>
      <w:pPr>
        <w:ind w:left="4606"/>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4606"/>
        <w:spacing w:after="0"/>
        <w:rPr>
          <w:sz w:val="20"/>
          <w:szCs w:val="20"/>
          <w:color w:val="auto"/>
        </w:rPr>
      </w:pPr>
      <w:r>
        <w:rPr>
          <w:rFonts w:ascii="Arial" w:cs="Arial" w:eastAsia="Arial" w:hAnsi="Arial"/>
          <w:sz w:val="18"/>
          <w:szCs w:val="18"/>
          <w:color w:val="auto"/>
        </w:rPr>
        <w:t> </w:t>
      </w:r>
    </w:p>
    <w:p>
      <w:pPr>
        <w:ind w:left="4606"/>
        <w:spacing w:after="0" w:line="234" w:lineRule="auto"/>
        <w:rPr>
          <w:sz w:val="20"/>
          <w:szCs w:val="20"/>
          <w:color w:val="auto"/>
        </w:rPr>
      </w:pPr>
      <w:r>
        <w:rPr>
          <w:rFonts w:ascii="Arial" w:cs="Arial" w:eastAsia="Arial" w:hAnsi="Arial"/>
          <w:sz w:val="18"/>
          <w:szCs w:val="18"/>
          <w:color w:val="auto"/>
        </w:rPr>
        <w:t>Grand Cayman, Cayman Islands</w:t>
      </w:r>
    </w:p>
    <w:p>
      <w:pPr>
        <w:spacing w:after="0" w:line="1" w:lineRule="exact"/>
        <w:rPr>
          <w:sz w:val="20"/>
          <w:szCs w:val="20"/>
          <w:color w:val="auto"/>
        </w:rPr>
      </w:pPr>
    </w:p>
    <w:p>
      <w:pPr>
        <w:ind w:left="4606"/>
        <w:spacing w:after="0"/>
        <w:rPr>
          <w:sz w:val="20"/>
          <w:szCs w:val="20"/>
          <w:color w:val="auto"/>
        </w:rPr>
      </w:pPr>
      <w:r>
        <w:rPr>
          <w:rFonts w:ascii="Arial" w:cs="Arial" w:eastAsia="Arial" w:hAnsi="Arial"/>
          <w:sz w:val="18"/>
          <w:szCs w:val="18"/>
          <w:color w:val="auto"/>
        </w:rPr>
        <w:t>October 23, 2024</w:t>
      </w:r>
    </w:p>
    <w:p>
      <w:pPr>
        <w:spacing w:after="0" w:line="302" w:lineRule="exact"/>
        <w:rPr>
          <w:sz w:val="20"/>
          <w:szCs w:val="20"/>
          <w:color w:val="auto"/>
        </w:rPr>
      </w:pPr>
    </w:p>
    <w:p>
      <w:pPr>
        <w:ind w:left="6"/>
        <w:spacing w:after="0"/>
        <w:tabs>
          <w:tab w:leader="none" w:pos="6676" w:val="left"/>
        </w:tabs>
        <w:rPr>
          <w:sz w:val="20"/>
          <w:szCs w:val="20"/>
          <w:color w:val="auto"/>
        </w:rPr>
      </w:pPr>
      <w:r>
        <w:rPr>
          <w:rFonts w:ascii="Arial" w:cs="Arial" w:eastAsia="Arial" w:hAnsi="Arial"/>
          <w:sz w:val="13"/>
          <w:szCs w:val="13"/>
          <w:color w:val="auto"/>
        </w:rPr>
        <w:t>66</w:t>
      </w:r>
      <w:r>
        <w:rPr>
          <w:sz w:val="20"/>
          <w:szCs w:val="20"/>
          <w:color w:val="auto"/>
        </w:rPr>
        <w:tab/>
      </w:r>
      <w:r>
        <w:rPr>
          <w:sz w:val="1"/>
          <w:szCs w:val="1"/>
          <w:color w:val="auto"/>
        </w:rPr>
        <w:drawing>
          <wp:inline distT="0" distB="0" distL="0" distR="0">
            <wp:extent cx="342900" cy="7683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0" cy="76835"/>
                    </a:xfrm>
                    <a:prstGeom prst="rect">
                      <a:avLst/>
                    </a:prstGeom>
                    <a:noFill/>
                    <a:ln>
                      <a:noFill/>
                    </a:ln>
                  </pic:spPr>
                </pic:pic>
              </a:graphicData>
            </a:graphic>
          </wp:inline>
        </w:drawing>
      </w:r>
      <w:r>
        <w:rPr>
          <w:rFonts w:ascii="Arial" w:cs="Arial" w:eastAsia="Arial" w:hAnsi="Arial"/>
          <w:sz w:val="13"/>
          <w:szCs w:val="13"/>
          <w:color w:val="auto"/>
        </w:rPr>
        <w:t xml:space="preserve">    2024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156210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114" w:right="1359" w:bottom="1440" w:gutter="0" w:footer="0" w:header="0"/>
        </w:sectPr>
      </w:pPr>
    </w:p>
    <w:bookmarkStart w:id="72" w:name="page73"/>
    <w:bookmarkEnd w:id="7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40"/>
          <w:szCs w:val="40"/>
          <w:b w:val="1"/>
          <w:bCs w:val="1"/>
          <w:u w:val="single" w:color="auto"/>
          <w:color w:val="578255"/>
        </w:rPr>
        <w:t>APPENDIX A</w:t>
      </w:r>
    </w:p>
    <w:p>
      <w:pPr>
        <w:spacing w:after="0" w:line="200" w:lineRule="exact"/>
        <w:rPr>
          <w:sz w:val="20"/>
          <w:szCs w:val="20"/>
          <w:color w:val="auto"/>
        </w:rPr>
      </w:pPr>
    </w:p>
    <w:p>
      <w:pPr>
        <w:spacing w:after="0" w:line="393" w:lineRule="exact"/>
        <w:rPr>
          <w:sz w:val="20"/>
          <w:szCs w:val="20"/>
          <w:color w:val="auto"/>
        </w:rPr>
      </w:pPr>
    </w:p>
    <w:p>
      <w:pPr>
        <w:ind w:left="920" w:right="1800"/>
        <w:spacing w:after="0" w:line="284" w:lineRule="auto"/>
        <w:rPr>
          <w:sz w:val="20"/>
          <w:szCs w:val="20"/>
          <w:color w:val="auto"/>
        </w:rPr>
      </w:pPr>
      <w:r>
        <w:rPr>
          <w:rFonts w:ascii="Arial" w:cs="Arial" w:eastAsia="Arial" w:hAnsi="Arial"/>
          <w:sz w:val="40"/>
          <w:szCs w:val="40"/>
          <w:b w:val="1"/>
          <w:bCs w:val="1"/>
          <w:color w:val="578255"/>
        </w:rPr>
        <w:t>RECONCILIATION OF GAAP MEASURES TO NON-GAAP FINANCIAL MEASURES</w:t>
      </w:r>
    </w:p>
    <w:p>
      <w:pPr>
        <w:spacing w:after="0" w:line="222" w:lineRule="exact"/>
        <w:rPr>
          <w:sz w:val="20"/>
          <w:szCs w:val="20"/>
          <w:color w:val="auto"/>
        </w:rPr>
      </w:pPr>
    </w:p>
    <w:p>
      <w:pPr>
        <w:jc w:val="both"/>
        <w:ind w:left="920" w:right="920"/>
        <w:spacing w:after="0" w:line="239" w:lineRule="auto"/>
        <w:rPr>
          <w:sz w:val="20"/>
          <w:szCs w:val="20"/>
          <w:color w:val="auto"/>
        </w:rPr>
      </w:pPr>
      <w:r>
        <w:rPr>
          <w:rFonts w:ascii="Arial" w:cs="Arial" w:eastAsia="Arial" w:hAnsi="Arial"/>
          <w:sz w:val="18"/>
          <w:szCs w:val="18"/>
          <w:color w:val="auto"/>
        </w:rPr>
        <w:t>In addition to disclosing financial results in accordance with U.S. GAAP, this document contains references to the non-GAAP financial measures below. We refer to these non-GAAP financial measures in making operating decisions because they provide meaningful supplemental information regarding our ongoing operational performance. Our non-GAAP financial measures reflect adjustments based on one or more of the following items: share-based compensation expenses; depreciation of fair value uplift; expenses related to reduction in workforce; amortization of intangibles; severance payments; amortization of deferred debt issuance costs. We have excluded these items in order to enhance investors’ understanding of our underlying operations. The use of these non-GAAP financial measures has material limitations because they should not be used to evaluate our company without reference to their corresponding GAAP financial measures. As such, we compensate for these material limitations by using these non-GAAP financial measures in conjunction with GAAP financial measures.</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These non-GAAP financial measures are used to: (1) measure company performance against historical results,</w:t>
      </w:r>
    </w:p>
    <w:p>
      <w:pPr>
        <w:spacing w:after="0" w:line="14" w:lineRule="exact"/>
        <w:rPr>
          <w:sz w:val="20"/>
          <w:szCs w:val="20"/>
          <w:color w:val="auto"/>
        </w:rPr>
      </w:pPr>
    </w:p>
    <w:p>
      <w:pPr>
        <w:jc w:val="both"/>
        <w:ind w:left="920" w:right="920" w:hanging="6"/>
        <w:spacing w:after="0"/>
        <w:tabs>
          <w:tab w:leader="none" w:pos="12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facilitate comparisons to our competitors’ operating results, and (3) allow greater transparency with respect to information used by management in making financial and operational decisions. In addition, these non-GAAP financial measures are used to measure company performance for the purposes of determining employee incentive plan compensation.</w:t>
      </w:r>
    </w:p>
    <w:p>
      <w:pPr>
        <w:spacing w:after="0" w:line="72" w:lineRule="exact"/>
        <w:rPr>
          <w:sz w:val="20"/>
          <w:szCs w:val="20"/>
          <w:color w:val="auto"/>
        </w:rPr>
      </w:pPr>
    </w:p>
    <w:p>
      <w:pPr>
        <w:ind w:left="920" w:right="920"/>
        <w:spacing w:after="0" w:line="271" w:lineRule="auto"/>
        <w:rPr>
          <w:sz w:val="20"/>
          <w:szCs w:val="20"/>
          <w:color w:val="auto"/>
        </w:rPr>
      </w:pPr>
      <w:r>
        <w:rPr>
          <w:rFonts w:ascii="Arial" w:cs="Arial" w:eastAsia="Arial" w:hAnsi="Arial"/>
          <w:sz w:val="18"/>
          <w:szCs w:val="18"/>
          <w:color w:val="auto"/>
        </w:rPr>
        <w:t>The following tables present the reconciliations of our most comparable U.S. GAAP measures to our non-GAAP measures presented:</w:t>
      </w:r>
    </w:p>
    <w:p>
      <w:pPr>
        <w:spacing w:after="0" w:line="202" w:lineRule="exact"/>
        <w:rPr>
          <w:sz w:val="20"/>
          <w:szCs w:val="20"/>
          <w:color w:val="auto"/>
        </w:rPr>
      </w:pPr>
    </w:p>
    <w:p>
      <w:pPr>
        <w:ind w:left="920" w:right="920"/>
        <w:spacing w:after="0" w:line="298" w:lineRule="auto"/>
        <w:rPr>
          <w:sz w:val="20"/>
          <w:szCs w:val="20"/>
          <w:color w:val="auto"/>
        </w:rPr>
      </w:pPr>
      <w:r>
        <w:rPr>
          <w:rFonts w:ascii="Arial" w:cs="Arial" w:eastAsia="Arial" w:hAnsi="Arial"/>
          <w:sz w:val="25"/>
          <w:szCs w:val="25"/>
          <w:b w:val="1"/>
          <w:bCs w:val="1"/>
          <w:color w:val="auto"/>
        </w:rPr>
        <w:t>GAAP gross profit and gross margin to non-GAAP gross profit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-51435</wp:posOffset>
            </wp:positionV>
            <wp:extent cx="58293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960" w:type="dxa"/>
            <w:vAlign w:val="bottom"/>
            <w:tcBorders>
              <w:right w:val="single" w:sz="8" w:color="819F7C"/>
            </w:tcBorders>
          </w:tcPr>
          <w:p>
            <w:pPr>
              <w:spacing w:after="0"/>
              <w:rPr>
                <w:sz w:val="24"/>
                <w:szCs w:val="24"/>
                <w:color w:val="auto"/>
              </w:rPr>
            </w:pPr>
          </w:p>
        </w:tc>
        <w:tc>
          <w:tcPr>
            <w:tcW w:w="6240" w:type="dxa"/>
            <w:vAlign w:val="bottom"/>
            <w:shd w:val="clear" w:color="auto" w:fill="819F7C"/>
          </w:tcPr>
          <w:p>
            <w:pPr>
              <w:ind w:left="20"/>
              <w:spacing w:after="0"/>
              <w:rPr>
                <w:sz w:val="20"/>
                <w:szCs w:val="20"/>
                <w:color w:val="auto"/>
              </w:rPr>
            </w:pPr>
            <w:r>
              <w:rPr>
                <w:rFonts w:ascii="Arial" w:cs="Arial" w:eastAsia="Arial" w:hAnsi="Arial"/>
                <w:sz w:val="14"/>
                <w:szCs w:val="14"/>
                <w:i w:val="1"/>
                <w:iCs w:val="1"/>
                <w:color w:val="FFFFFF"/>
              </w:rPr>
              <w:t>(in thousands of U.S. dollars)</w:t>
            </w:r>
          </w:p>
        </w:tc>
        <w:tc>
          <w:tcPr>
            <w:tcW w:w="540" w:type="dxa"/>
            <w:vAlign w:val="bottom"/>
            <w:shd w:val="clear" w:color="auto" w:fill="819F7C"/>
          </w:tcPr>
          <w:p>
            <w:pPr>
              <w:spacing w:after="0"/>
              <w:rPr>
                <w:sz w:val="24"/>
                <w:szCs w:val="24"/>
                <w:color w:val="auto"/>
              </w:rPr>
            </w:pPr>
          </w:p>
        </w:tc>
        <w:tc>
          <w:tcPr>
            <w:tcW w:w="140" w:type="dxa"/>
            <w:vAlign w:val="bottom"/>
            <w:shd w:val="clear" w:color="auto" w:fill="819F7C"/>
          </w:tcPr>
          <w:p>
            <w:pPr>
              <w:spacing w:after="0"/>
              <w:rPr>
                <w:sz w:val="24"/>
                <w:szCs w:val="24"/>
                <w:color w:val="auto"/>
              </w:rPr>
            </w:pPr>
          </w:p>
        </w:tc>
        <w:tc>
          <w:tcPr>
            <w:tcW w:w="2220" w:type="dxa"/>
            <w:vAlign w:val="bottom"/>
            <w:gridSpan w:val="6"/>
            <w:shd w:val="clear" w:color="auto" w:fill="819F7C"/>
          </w:tcPr>
          <w:p>
            <w:pPr>
              <w:jc w:val="right"/>
              <w:ind w:right="537"/>
              <w:spacing w:after="0"/>
              <w:rPr>
                <w:sz w:val="20"/>
                <w:szCs w:val="20"/>
                <w:color w:val="auto"/>
              </w:rPr>
            </w:pPr>
            <w:r>
              <w:rPr>
                <w:rFonts w:ascii="Arial" w:cs="Arial" w:eastAsia="Arial" w:hAnsi="Arial"/>
                <w:sz w:val="14"/>
                <w:szCs w:val="14"/>
                <w:b w:val="1"/>
                <w:bCs w:val="1"/>
                <w:color w:val="FFFFFF"/>
              </w:rPr>
              <w:t>Twelve Months Ended</w:t>
            </w:r>
          </w:p>
        </w:tc>
        <w:tc>
          <w:tcPr>
            <w:tcW w:w="920" w:type="dxa"/>
            <w:vAlign w:val="bottom"/>
          </w:tcPr>
          <w:p>
            <w:pPr>
              <w:spacing w:after="0"/>
              <w:rPr>
                <w:sz w:val="24"/>
                <w:szCs w:val="24"/>
                <w:color w:val="auto"/>
              </w:rPr>
            </w:pPr>
          </w:p>
        </w:tc>
      </w:tr>
      <w:tr>
        <w:trPr>
          <w:trHeight w:val="265"/>
        </w:trPr>
        <w:tc>
          <w:tcPr>
            <w:tcW w:w="960" w:type="dxa"/>
            <w:vAlign w:val="bottom"/>
            <w:tcBorders>
              <w:right w:val="single" w:sz="8" w:color="819F7C"/>
            </w:tcBorders>
          </w:tcPr>
          <w:p>
            <w:pPr>
              <w:spacing w:after="0"/>
              <w:rPr>
                <w:sz w:val="23"/>
                <w:szCs w:val="23"/>
                <w:color w:val="auto"/>
              </w:rPr>
            </w:pPr>
          </w:p>
        </w:tc>
        <w:tc>
          <w:tcPr>
            <w:tcW w:w="6240" w:type="dxa"/>
            <w:vAlign w:val="bottom"/>
            <w:shd w:val="clear" w:color="auto" w:fill="819F7C"/>
          </w:tcPr>
          <w:p>
            <w:pPr>
              <w:spacing w:after="0"/>
              <w:rPr>
                <w:sz w:val="23"/>
                <w:szCs w:val="23"/>
                <w:color w:val="auto"/>
              </w:rPr>
            </w:pPr>
          </w:p>
        </w:tc>
        <w:tc>
          <w:tcPr>
            <w:tcW w:w="1580" w:type="dxa"/>
            <w:vAlign w:val="bottom"/>
            <w:gridSpan w:val="4"/>
            <w:shd w:val="clear" w:color="auto" w:fill="819F7C"/>
          </w:tcPr>
          <w:p>
            <w:pPr>
              <w:jc w:val="right"/>
              <w:ind w:right="240"/>
              <w:spacing w:after="0"/>
              <w:rPr>
                <w:sz w:val="20"/>
                <w:szCs w:val="20"/>
                <w:color w:val="auto"/>
              </w:rPr>
            </w:pPr>
            <w:r>
              <w:rPr>
                <w:rFonts w:ascii="Arial" w:cs="Arial" w:eastAsia="Arial" w:hAnsi="Arial"/>
                <w:sz w:val="14"/>
                <w:szCs w:val="14"/>
                <w:b w:val="1"/>
                <w:bCs w:val="1"/>
                <w:color w:val="FFFFFF"/>
              </w:rPr>
              <w:t>June 28, 2024</w:t>
            </w:r>
          </w:p>
        </w:tc>
        <w:tc>
          <w:tcPr>
            <w:tcW w:w="1320" w:type="dxa"/>
            <w:vAlign w:val="bottom"/>
            <w:gridSpan w:val="4"/>
            <w:shd w:val="clear" w:color="auto" w:fill="819F7C"/>
          </w:tcPr>
          <w:p>
            <w:pPr>
              <w:ind w:left="200"/>
              <w:spacing w:after="0"/>
              <w:rPr>
                <w:sz w:val="20"/>
                <w:szCs w:val="20"/>
                <w:color w:val="auto"/>
              </w:rPr>
            </w:pPr>
            <w:r>
              <w:rPr>
                <w:rFonts w:ascii="Arial" w:cs="Arial" w:eastAsia="Arial" w:hAnsi="Arial"/>
                <w:sz w:val="14"/>
                <w:szCs w:val="14"/>
                <w:b w:val="1"/>
                <w:bCs w:val="1"/>
                <w:color w:val="FFFFFF"/>
              </w:rPr>
              <w:t>June 30, 2023</w:t>
            </w:r>
          </w:p>
        </w:tc>
        <w:tc>
          <w:tcPr>
            <w:tcW w:w="920" w:type="dxa"/>
            <w:vAlign w:val="bottom"/>
          </w:tcPr>
          <w:p>
            <w:pPr>
              <w:spacing w:after="0"/>
              <w:rPr>
                <w:sz w:val="23"/>
                <w:szCs w:val="23"/>
                <w:color w:val="auto"/>
              </w:rPr>
            </w:pPr>
          </w:p>
        </w:tc>
      </w:tr>
      <w:tr>
        <w:trPr>
          <w:trHeight w:val="216"/>
        </w:trPr>
        <w:tc>
          <w:tcPr>
            <w:tcW w:w="960" w:type="dxa"/>
            <w:vAlign w:val="bottom"/>
            <w:tcBorders>
              <w:right w:val="single" w:sz="8" w:color="E5E9E3"/>
            </w:tcBorders>
          </w:tcPr>
          <w:p>
            <w:pPr>
              <w:spacing w:after="0"/>
              <w:rPr>
                <w:sz w:val="18"/>
                <w:szCs w:val="18"/>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Revenue</w:t>
            </w:r>
          </w:p>
        </w:tc>
        <w:tc>
          <w:tcPr>
            <w:tcW w:w="1580" w:type="dxa"/>
            <w:vAlign w:val="bottom"/>
            <w:gridSpan w:val="4"/>
            <w:shd w:val="clear" w:color="auto" w:fill="E5E9E3"/>
          </w:tcPr>
          <w:p>
            <w:pPr>
              <w:ind w:left="540"/>
              <w:spacing w:after="0"/>
              <w:rPr>
                <w:sz w:val="20"/>
                <w:szCs w:val="20"/>
                <w:color w:val="auto"/>
              </w:rPr>
            </w:pPr>
            <w:r>
              <w:rPr>
                <w:rFonts w:ascii="Arial" w:cs="Arial" w:eastAsia="Arial" w:hAnsi="Arial"/>
                <w:sz w:val="14"/>
                <w:szCs w:val="14"/>
                <w:color w:val="auto"/>
              </w:rPr>
              <w:t>$2,882,967</w:t>
            </w:r>
          </w:p>
        </w:tc>
        <w:tc>
          <w:tcPr>
            <w:tcW w:w="1320" w:type="dxa"/>
            <w:vAlign w:val="bottom"/>
            <w:gridSpan w:val="4"/>
            <w:shd w:val="clear" w:color="auto" w:fill="E5E9E3"/>
          </w:tcPr>
          <w:p>
            <w:pPr>
              <w:ind w:left="360"/>
              <w:spacing w:after="0"/>
              <w:rPr>
                <w:sz w:val="20"/>
                <w:szCs w:val="20"/>
                <w:color w:val="auto"/>
              </w:rPr>
            </w:pPr>
            <w:r>
              <w:rPr>
                <w:rFonts w:ascii="Arial" w:cs="Arial" w:eastAsia="Arial" w:hAnsi="Arial"/>
                <w:sz w:val="14"/>
                <w:szCs w:val="14"/>
                <w:color w:val="auto"/>
              </w:rPr>
              <w:t>$2,645,237</w:t>
            </w:r>
          </w:p>
        </w:tc>
        <w:tc>
          <w:tcPr>
            <w:tcW w:w="9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60" w:type="dxa"/>
            <w:vAlign w:val="bottom"/>
            <w:tcBorders>
              <w:right w:val="single" w:sz="8" w:color="E5E9E3"/>
            </w:tcBorders>
          </w:tcPr>
          <w:p>
            <w:pPr>
              <w:spacing w:after="0"/>
              <w:rPr>
                <w:sz w:val="18"/>
                <w:szCs w:val="18"/>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Gross profit (GAAP)</w:t>
            </w:r>
          </w:p>
        </w:tc>
        <w:tc>
          <w:tcPr>
            <w:tcW w:w="680" w:type="dxa"/>
            <w:vAlign w:val="bottom"/>
            <w:gridSpan w:val="2"/>
            <w:shd w:val="clear" w:color="auto" w:fill="E5E9E3"/>
          </w:tcPr>
          <w:p>
            <w:pPr>
              <w:ind w:left="540"/>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356,118</w:t>
            </w:r>
          </w:p>
        </w:tc>
        <w:tc>
          <w:tcPr>
            <w:tcW w:w="320" w:type="dxa"/>
            <w:vAlign w:val="bottom"/>
            <w:shd w:val="clear" w:color="auto" w:fill="E5E9E3"/>
          </w:tcPr>
          <w:p>
            <w:pPr>
              <w:spacing w:after="0"/>
              <w:rPr>
                <w:sz w:val="18"/>
                <w:szCs w:val="18"/>
                <w:color w:val="auto"/>
              </w:rPr>
            </w:pPr>
          </w:p>
        </w:tc>
        <w:tc>
          <w:tcPr>
            <w:tcW w:w="480" w:type="dxa"/>
            <w:vAlign w:val="bottom"/>
            <w:gridSpan w:val="2"/>
            <w:shd w:val="clear" w:color="auto" w:fill="E5E9E3"/>
          </w:tcPr>
          <w:p>
            <w:pPr>
              <w:ind w:left="3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336,273</w:t>
            </w:r>
          </w:p>
        </w:tc>
        <w:tc>
          <w:tcPr>
            <w:tcW w:w="240" w:type="dxa"/>
            <w:vAlign w:val="bottom"/>
            <w:shd w:val="clear" w:color="auto" w:fill="E5E9E3"/>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7,203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6,664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
        </w:trPr>
        <w:tc>
          <w:tcPr>
            <w:tcW w:w="960" w:type="dxa"/>
            <w:vAlign w:val="bottom"/>
          </w:tcPr>
          <w:p>
            <w:pPr>
              <w:spacing w:after="0"/>
              <w:rPr>
                <w:sz w:val="2"/>
                <w:szCs w:val="2"/>
                <w:color w:val="auto"/>
              </w:rPr>
            </w:pPr>
          </w:p>
        </w:tc>
        <w:tc>
          <w:tcPr>
            <w:tcW w:w="6240" w:type="dxa"/>
            <w:vAlign w:val="bottom"/>
            <w:tcBorders>
              <w:bottom w:val="single" w:sz="8" w:color="E5E9E3"/>
            </w:tcBorders>
          </w:tcPr>
          <w:p>
            <w:pPr>
              <w:spacing w:after="0"/>
              <w:rPr>
                <w:sz w:val="2"/>
                <w:szCs w:val="2"/>
                <w:color w:val="auto"/>
              </w:rPr>
            </w:pPr>
          </w:p>
        </w:tc>
        <w:tc>
          <w:tcPr>
            <w:tcW w:w="540" w:type="dxa"/>
            <w:vAlign w:val="bottom"/>
            <w:tcBorders>
              <w:bottom w:val="single" w:sz="8" w:color="E5E9E3"/>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E5E9E3"/>
            </w:tcBorders>
          </w:tcPr>
          <w:p>
            <w:pPr>
              <w:spacing w:after="0"/>
              <w:rPr>
                <w:sz w:val="2"/>
                <w:szCs w:val="2"/>
                <w:color w:val="auto"/>
              </w:rPr>
            </w:pPr>
          </w:p>
        </w:tc>
        <w:tc>
          <w:tcPr>
            <w:tcW w:w="360" w:type="dxa"/>
            <w:vAlign w:val="bottom"/>
            <w:tcBorders>
              <w:bottom w:val="single" w:sz="8" w:color="E5E9E3"/>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E5E9E3"/>
            </w:tcBorders>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960" w:type="dxa"/>
            <w:vAlign w:val="bottom"/>
            <w:tcBorders>
              <w:right w:val="single" w:sz="8" w:color="E5E9E3"/>
            </w:tcBorders>
          </w:tcPr>
          <w:p>
            <w:pPr>
              <w:spacing w:after="0"/>
              <w:rPr>
                <w:sz w:val="17"/>
                <w:szCs w:val="17"/>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Gross profit (non-GAAP)</w:t>
            </w:r>
          </w:p>
        </w:tc>
        <w:tc>
          <w:tcPr>
            <w:tcW w:w="540" w:type="dxa"/>
            <w:vAlign w:val="bottom"/>
            <w:shd w:val="clear" w:color="auto" w:fill="E5E9E3"/>
          </w:tcPr>
          <w:p>
            <w:pPr>
              <w:spacing w:after="0"/>
              <w:rPr>
                <w:sz w:val="17"/>
                <w:szCs w:val="17"/>
                <w:color w:val="auto"/>
              </w:rPr>
            </w:pPr>
          </w:p>
        </w:tc>
        <w:tc>
          <w:tcPr>
            <w:tcW w:w="140" w:type="dxa"/>
            <w:vAlign w:val="bottom"/>
            <w:shd w:val="clear" w:color="auto" w:fill="E5E9E3"/>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363,321</w:t>
            </w:r>
          </w:p>
        </w:tc>
        <w:tc>
          <w:tcPr>
            <w:tcW w:w="320" w:type="dxa"/>
            <w:vAlign w:val="bottom"/>
            <w:shd w:val="clear" w:color="auto" w:fill="E5E9E3"/>
          </w:tcPr>
          <w:p>
            <w:pPr>
              <w:spacing w:after="0"/>
              <w:rPr>
                <w:sz w:val="17"/>
                <w:szCs w:val="17"/>
                <w:color w:val="auto"/>
              </w:rPr>
            </w:pPr>
          </w:p>
        </w:tc>
        <w:tc>
          <w:tcPr>
            <w:tcW w:w="480" w:type="dxa"/>
            <w:vAlign w:val="bottom"/>
            <w:gridSpan w:val="2"/>
            <w:shd w:val="clear" w:color="auto" w:fill="E5E9E3"/>
          </w:tcPr>
          <w:p>
            <w:pPr>
              <w:ind w:left="3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342,937</w:t>
            </w:r>
          </w:p>
        </w:tc>
        <w:tc>
          <w:tcPr>
            <w:tcW w:w="240" w:type="dxa"/>
            <w:vAlign w:val="bottom"/>
            <w:shd w:val="clear" w:color="auto" w:fill="E5E9E3"/>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60" w:type="dxa"/>
            <w:vAlign w:val="bottom"/>
            <w:tcBorders>
              <w:right w:val="single" w:sz="8" w:color="E5E9E3"/>
            </w:tcBorders>
          </w:tcPr>
          <w:p>
            <w:pPr>
              <w:spacing w:after="0"/>
              <w:rPr>
                <w:sz w:val="18"/>
                <w:szCs w:val="18"/>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Gross margin (GAAP)</w:t>
            </w:r>
          </w:p>
        </w:tc>
        <w:tc>
          <w:tcPr>
            <w:tcW w:w="540" w:type="dxa"/>
            <w:vAlign w:val="bottom"/>
            <w:shd w:val="clear" w:color="auto" w:fill="E5E9E3"/>
          </w:tcPr>
          <w:p>
            <w:pPr>
              <w:spacing w:after="0"/>
              <w:rPr>
                <w:sz w:val="18"/>
                <w:szCs w:val="18"/>
                <w:color w:val="auto"/>
              </w:rPr>
            </w:pPr>
          </w:p>
        </w:tc>
        <w:tc>
          <w:tcPr>
            <w:tcW w:w="140" w:type="dxa"/>
            <w:vAlign w:val="bottom"/>
            <w:shd w:val="clear" w:color="auto" w:fill="E5E9E3"/>
          </w:tcPr>
          <w:p>
            <w:pPr>
              <w:spacing w:after="0"/>
              <w:rPr>
                <w:sz w:val="18"/>
                <w:szCs w:val="18"/>
                <w:color w:val="auto"/>
              </w:rPr>
            </w:pPr>
          </w:p>
        </w:tc>
        <w:tc>
          <w:tcPr>
            <w:tcW w:w="900" w:type="dxa"/>
            <w:vAlign w:val="bottom"/>
            <w:gridSpan w:val="2"/>
            <w:shd w:val="clear" w:color="auto" w:fill="E5E9E3"/>
          </w:tcPr>
          <w:p>
            <w:pPr>
              <w:jc w:val="right"/>
              <w:ind w:right="200"/>
              <w:spacing w:after="0"/>
              <w:rPr>
                <w:sz w:val="20"/>
                <w:szCs w:val="20"/>
                <w:color w:val="auto"/>
              </w:rPr>
            </w:pPr>
            <w:r>
              <w:rPr>
                <w:rFonts w:ascii="Arial" w:cs="Arial" w:eastAsia="Arial" w:hAnsi="Arial"/>
                <w:sz w:val="14"/>
                <w:szCs w:val="14"/>
                <w:color w:val="auto"/>
              </w:rPr>
              <w:t>12.4%</w:t>
            </w:r>
          </w:p>
        </w:tc>
        <w:tc>
          <w:tcPr>
            <w:tcW w:w="360" w:type="dxa"/>
            <w:vAlign w:val="bottom"/>
            <w:shd w:val="clear" w:color="auto" w:fill="E5E9E3"/>
          </w:tcPr>
          <w:p>
            <w:pPr>
              <w:spacing w:after="0"/>
              <w:rPr>
                <w:sz w:val="18"/>
                <w:szCs w:val="18"/>
                <w:color w:val="auto"/>
              </w:rPr>
            </w:pPr>
          </w:p>
        </w:tc>
        <w:tc>
          <w:tcPr>
            <w:tcW w:w="120" w:type="dxa"/>
            <w:vAlign w:val="bottom"/>
            <w:shd w:val="clear" w:color="auto" w:fill="E5E9E3"/>
          </w:tcPr>
          <w:p>
            <w:pPr>
              <w:spacing w:after="0"/>
              <w:rPr>
                <w:sz w:val="18"/>
                <w:szCs w:val="18"/>
                <w:color w:val="auto"/>
              </w:rPr>
            </w:pPr>
          </w:p>
        </w:tc>
        <w:tc>
          <w:tcPr>
            <w:tcW w:w="840" w:type="dxa"/>
            <w:vAlign w:val="bottom"/>
            <w:gridSpan w:val="2"/>
            <w:shd w:val="clear" w:color="auto" w:fill="E5E9E3"/>
          </w:tcPr>
          <w:p>
            <w:pPr>
              <w:jc w:val="right"/>
              <w:ind w:right="57"/>
              <w:spacing w:after="0"/>
              <w:rPr>
                <w:sz w:val="20"/>
                <w:szCs w:val="20"/>
                <w:color w:val="auto"/>
              </w:rPr>
            </w:pPr>
            <w:r>
              <w:rPr>
                <w:rFonts w:ascii="Arial" w:cs="Arial" w:eastAsia="Arial" w:hAnsi="Arial"/>
                <w:sz w:val="14"/>
                <w:szCs w:val="14"/>
                <w:color w:val="auto"/>
              </w:rPr>
              <w:t>12.7%</w:t>
            </w:r>
          </w:p>
        </w:tc>
        <w:tc>
          <w:tcPr>
            <w:tcW w:w="920" w:type="dxa"/>
            <w:vAlign w:val="bottom"/>
          </w:tcPr>
          <w:p>
            <w:pPr>
              <w:spacing w:after="0"/>
              <w:rPr>
                <w:sz w:val="18"/>
                <w:szCs w:val="18"/>
                <w:color w:val="auto"/>
              </w:rPr>
            </w:pPr>
          </w:p>
        </w:tc>
      </w:tr>
      <w:tr>
        <w:trPr>
          <w:trHeight w:val="208"/>
        </w:trPr>
        <w:tc>
          <w:tcPr>
            <w:tcW w:w="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4"/>
                <w:szCs w:val="14"/>
                <w:color w:val="auto"/>
              </w:rPr>
              <w:t>Gross margin (non-GAAP)</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4"/>
                <w:szCs w:val="14"/>
                <w:color w:val="auto"/>
              </w:rPr>
              <w:t>13.0%</w:t>
            </w:r>
          </w:p>
        </w:tc>
        <w:tc>
          <w:tcPr>
            <w:tcW w:w="920" w:type="dxa"/>
            <w:vAlign w:val="bottom"/>
          </w:tcPr>
          <w:p>
            <w:pPr>
              <w:spacing w:after="0"/>
              <w:rPr>
                <w:sz w:val="18"/>
                <w:szCs w:val="18"/>
                <w:color w:val="auto"/>
              </w:rPr>
            </w:pPr>
          </w:p>
        </w:tc>
      </w:tr>
      <w:tr>
        <w:trPr>
          <w:trHeight w:val="467"/>
        </w:trPr>
        <w:tc>
          <w:tcPr>
            <w:tcW w:w="960" w:type="dxa"/>
            <w:vAlign w:val="bottom"/>
          </w:tcPr>
          <w:p>
            <w:pPr>
              <w:spacing w:after="0"/>
              <w:rPr>
                <w:sz w:val="24"/>
                <w:szCs w:val="24"/>
                <w:color w:val="auto"/>
              </w:rPr>
            </w:pPr>
          </w:p>
        </w:tc>
        <w:tc>
          <w:tcPr>
            <w:tcW w:w="6240" w:type="dxa"/>
            <w:vAlign w:val="bottom"/>
          </w:tcPr>
          <w:p>
            <w:pPr>
              <w:ind w:left="820"/>
              <w:spacing w:after="0"/>
              <w:rPr>
                <w:sz w:val="20"/>
                <w:szCs w:val="20"/>
                <w:color w:val="auto"/>
              </w:rPr>
            </w:pPr>
            <w:r>
              <w:rPr>
                <w:rFonts w:ascii="Arial" w:cs="Arial" w:eastAsia="Arial" w:hAnsi="Arial"/>
                <w:sz w:val="13"/>
                <w:szCs w:val="13"/>
                <w:color w:val="auto"/>
              </w:rPr>
              <w:t>2024 PROXY STATEMENT</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A-1</w:t>
            </w:r>
          </w:p>
        </w:tc>
      </w:tr>
      <w:tr>
        <w:trPr>
          <w:trHeight w:val="223"/>
        </w:trPr>
        <w:tc>
          <w:tcPr>
            <w:tcW w:w="960" w:type="dxa"/>
            <w:vAlign w:val="bottom"/>
            <w:tcBorders>
              <w:bottom w:val="single" w:sz="8" w:color="auto"/>
            </w:tcBorders>
          </w:tcPr>
          <w:p>
            <w:pPr>
              <w:spacing w:after="0"/>
              <w:rPr>
                <w:sz w:val="19"/>
                <w:szCs w:val="19"/>
                <w:color w:val="auto"/>
              </w:rPr>
            </w:pPr>
          </w:p>
        </w:tc>
        <w:tc>
          <w:tcPr>
            <w:tcW w:w="6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-1713865</wp:posOffset>
            </wp:positionV>
            <wp:extent cx="15601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-239395</wp:posOffset>
            </wp:positionV>
            <wp:extent cx="342900" cy="774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73" w:name="page74"/>
    <w:bookmarkEnd w:id="7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920" w:right="940"/>
        <w:spacing w:after="0" w:line="298" w:lineRule="auto"/>
        <w:rPr>
          <w:sz w:val="20"/>
          <w:szCs w:val="20"/>
          <w:color w:val="auto"/>
        </w:rPr>
      </w:pPr>
      <w:r>
        <w:rPr>
          <w:rFonts w:ascii="Arial" w:cs="Arial" w:eastAsia="Arial" w:hAnsi="Arial"/>
          <w:sz w:val="25"/>
          <w:szCs w:val="25"/>
          <w:b w:val="1"/>
          <w:bCs w:val="1"/>
          <w:color w:val="auto"/>
        </w:rPr>
        <w:t>GAAP operating profit and operating margin to non-GAAP operating profit and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-51435</wp:posOffset>
            </wp:positionV>
            <wp:extent cx="58293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tbl>
      <w:tblPr>
        <w:tblLayout w:type="fixed"/>
        <w:tblInd w:w="920" w:type="dxa"/>
        <w:tblCellMar>
          <w:top w:w="0" w:type="dxa"/>
          <w:left w:w="0" w:type="dxa"/>
          <w:bottom w:w="0" w:type="dxa"/>
          <w:right w:w="0" w:type="dxa"/>
        </w:tblCellMar>
      </w:tblPr>
      <w:tr>
        <w:trPr>
          <w:trHeight w:val="303"/>
        </w:trPr>
        <w:tc>
          <w:tcPr>
            <w:tcW w:w="40" w:type="dxa"/>
            <w:vAlign w:val="bottom"/>
            <w:shd w:val="clear" w:color="auto" w:fill="819F7C"/>
          </w:tcPr>
          <w:p>
            <w:pPr>
              <w:spacing w:after="0"/>
              <w:rPr>
                <w:sz w:val="24"/>
                <w:szCs w:val="24"/>
                <w:color w:val="auto"/>
              </w:rPr>
            </w:pPr>
          </w:p>
        </w:tc>
        <w:tc>
          <w:tcPr>
            <w:tcW w:w="6240" w:type="dxa"/>
            <w:vAlign w:val="bottom"/>
            <w:shd w:val="clear" w:color="auto" w:fill="819F7C"/>
          </w:tcPr>
          <w:p>
            <w:pPr>
              <w:ind w:left="20"/>
              <w:spacing w:after="0"/>
              <w:rPr>
                <w:sz w:val="20"/>
                <w:szCs w:val="20"/>
                <w:color w:val="auto"/>
              </w:rPr>
            </w:pPr>
            <w:r>
              <w:rPr>
                <w:rFonts w:ascii="Arial" w:cs="Arial" w:eastAsia="Arial" w:hAnsi="Arial"/>
                <w:sz w:val="14"/>
                <w:szCs w:val="14"/>
                <w:i w:val="1"/>
                <w:iCs w:val="1"/>
                <w:color w:val="FFFFFF"/>
              </w:rPr>
              <w:t>(in thousands of U.S. dollars)</w:t>
            </w:r>
          </w:p>
        </w:tc>
        <w:tc>
          <w:tcPr>
            <w:tcW w:w="540" w:type="dxa"/>
            <w:vAlign w:val="bottom"/>
            <w:shd w:val="clear" w:color="auto" w:fill="819F7C"/>
          </w:tcPr>
          <w:p>
            <w:pPr>
              <w:spacing w:after="0"/>
              <w:rPr>
                <w:sz w:val="24"/>
                <w:szCs w:val="24"/>
                <w:color w:val="auto"/>
              </w:rPr>
            </w:pPr>
          </w:p>
        </w:tc>
        <w:tc>
          <w:tcPr>
            <w:tcW w:w="140" w:type="dxa"/>
            <w:vAlign w:val="bottom"/>
            <w:shd w:val="clear" w:color="auto" w:fill="819F7C"/>
          </w:tcPr>
          <w:p>
            <w:pPr>
              <w:spacing w:after="0"/>
              <w:rPr>
                <w:sz w:val="24"/>
                <w:szCs w:val="24"/>
                <w:color w:val="auto"/>
              </w:rPr>
            </w:pPr>
          </w:p>
        </w:tc>
        <w:tc>
          <w:tcPr>
            <w:tcW w:w="2220" w:type="dxa"/>
            <w:vAlign w:val="bottom"/>
            <w:gridSpan w:val="6"/>
            <w:shd w:val="clear" w:color="auto" w:fill="819F7C"/>
          </w:tcPr>
          <w:p>
            <w:pPr>
              <w:jc w:val="right"/>
              <w:ind w:right="600"/>
              <w:spacing w:after="0"/>
              <w:rPr>
                <w:sz w:val="20"/>
                <w:szCs w:val="20"/>
                <w:color w:val="auto"/>
              </w:rPr>
            </w:pPr>
            <w:r>
              <w:rPr>
                <w:rFonts w:ascii="Arial" w:cs="Arial" w:eastAsia="Arial" w:hAnsi="Arial"/>
                <w:sz w:val="14"/>
                <w:szCs w:val="14"/>
                <w:b w:val="1"/>
                <w:bCs w:val="1"/>
                <w:color w:val="FFFFFF"/>
              </w:rPr>
              <w:t>Twelve Months Ended</w:t>
            </w:r>
          </w:p>
        </w:tc>
      </w:tr>
      <w:tr>
        <w:trPr>
          <w:trHeight w:val="265"/>
        </w:trPr>
        <w:tc>
          <w:tcPr>
            <w:tcW w:w="40" w:type="dxa"/>
            <w:vAlign w:val="bottom"/>
            <w:shd w:val="clear" w:color="auto" w:fill="819F7C"/>
          </w:tcPr>
          <w:p>
            <w:pPr>
              <w:spacing w:after="0"/>
              <w:rPr>
                <w:sz w:val="23"/>
                <w:szCs w:val="23"/>
                <w:color w:val="auto"/>
              </w:rPr>
            </w:pPr>
          </w:p>
        </w:tc>
        <w:tc>
          <w:tcPr>
            <w:tcW w:w="6240" w:type="dxa"/>
            <w:vAlign w:val="bottom"/>
            <w:shd w:val="clear" w:color="auto" w:fill="819F7C"/>
          </w:tcPr>
          <w:p>
            <w:pPr>
              <w:spacing w:after="0"/>
              <w:rPr>
                <w:sz w:val="23"/>
                <w:szCs w:val="23"/>
                <w:color w:val="auto"/>
              </w:rPr>
            </w:pPr>
          </w:p>
        </w:tc>
        <w:tc>
          <w:tcPr>
            <w:tcW w:w="1580" w:type="dxa"/>
            <w:vAlign w:val="bottom"/>
            <w:gridSpan w:val="4"/>
            <w:shd w:val="clear" w:color="auto" w:fill="819F7C"/>
          </w:tcPr>
          <w:p>
            <w:pPr>
              <w:jc w:val="right"/>
              <w:ind w:right="240"/>
              <w:spacing w:after="0"/>
              <w:rPr>
                <w:sz w:val="20"/>
                <w:szCs w:val="20"/>
                <w:color w:val="auto"/>
              </w:rPr>
            </w:pPr>
            <w:r>
              <w:rPr>
                <w:rFonts w:ascii="Arial" w:cs="Arial" w:eastAsia="Arial" w:hAnsi="Arial"/>
                <w:sz w:val="14"/>
                <w:szCs w:val="14"/>
                <w:b w:val="1"/>
                <w:bCs w:val="1"/>
                <w:color w:val="FFFFFF"/>
              </w:rPr>
              <w:t>June 28, 2024</w:t>
            </w:r>
          </w:p>
        </w:tc>
        <w:tc>
          <w:tcPr>
            <w:tcW w:w="1320" w:type="dxa"/>
            <w:vAlign w:val="bottom"/>
            <w:gridSpan w:val="4"/>
            <w:shd w:val="clear" w:color="auto" w:fill="819F7C"/>
          </w:tcPr>
          <w:p>
            <w:pPr>
              <w:ind w:left="200"/>
              <w:spacing w:after="0"/>
              <w:rPr>
                <w:sz w:val="20"/>
                <w:szCs w:val="20"/>
                <w:color w:val="auto"/>
              </w:rPr>
            </w:pPr>
            <w:r>
              <w:rPr>
                <w:rFonts w:ascii="Arial" w:cs="Arial" w:eastAsia="Arial" w:hAnsi="Arial"/>
                <w:sz w:val="14"/>
                <w:szCs w:val="14"/>
                <w:b w:val="1"/>
                <w:bCs w:val="1"/>
                <w:color w:val="FFFFFF"/>
              </w:rPr>
              <w:t>June 30, 2023</w:t>
            </w:r>
          </w:p>
        </w:tc>
      </w:tr>
      <w:tr>
        <w:trPr>
          <w:trHeight w:val="216"/>
        </w:trPr>
        <w:tc>
          <w:tcPr>
            <w:tcW w:w="40" w:type="dxa"/>
            <w:vAlign w:val="bottom"/>
            <w:shd w:val="clear" w:color="auto" w:fill="E5E9E3"/>
          </w:tcPr>
          <w:p>
            <w:pPr>
              <w:spacing w:after="0"/>
              <w:rPr>
                <w:sz w:val="18"/>
                <w:szCs w:val="18"/>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Revenue</w:t>
            </w:r>
          </w:p>
        </w:tc>
        <w:tc>
          <w:tcPr>
            <w:tcW w:w="1580" w:type="dxa"/>
            <w:vAlign w:val="bottom"/>
            <w:gridSpan w:val="4"/>
            <w:shd w:val="clear" w:color="auto" w:fill="E5E9E3"/>
          </w:tcPr>
          <w:p>
            <w:pPr>
              <w:jc w:val="right"/>
              <w:ind w:right="320"/>
              <w:spacing w:after="0"/>
              <w:rPr>
                <w:sz w:val="20"/>
                <w:szCs w:val="20"/>
                <w:color w:val="auto"/>
              </w:rPr>
            </w:pPr>
            <w:r>
              <w:rPr>
                <w:rFonts w:ascii="Arial" w:cs="Arial" w:eastAsia="Arial" w:hAnsi="Arial"/>
                <w:sz w:val="14"/>
                <w:szCs w:val="14"/>
                <w:color w:val="auto"/>
              </w:rPr>
              <w:t>$2,882,967</w:t>
            </w:r>
          </w:p>
        </w:tc>
        <w:tc>
          <w:tcPr>
            <w:tcW w:w="1320" w:type="dxa"/>
            <w:vAlign w:val="bottom"/>
            <w:gridSpan w:val="4"/>
            <w:shd w:val="clear" w:color="auto" w:fill="E5E9E3"/>
          </w:tcPr>
          <w:p>
            <w:pPr>
              <w:ind w:left="360"/>
              <w:spacing w:after="0"/>
              <w:rPr>
                <w:sz w:val="20"/>
                <w:szCs w:val="20"/>
                <w:color w:val="auto"/>
              </w:rPr>
            </w:pPr>
            <w:r>
              <w:rPr>
                <w:rFonts w:ascii="Arial" w:cs="Arial" w:eastAsia="Arial" w:hAnsi="Arial"/>
                <w:sz w:val="14"/>
                <w:szCs w:val="14"/>
                <w:color w:val="auto"/>
              </w:rPr>
              <w:t>$2,645,237</w:t>
            </w:r>
          </w:p>
        </w:tc>
      </w:tr>
      <w:tr>
        <w:trPr>
          <w:trHeight w:val="216"/>
        </w:trPr>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 w:type="dxa"/>
            <w:vAlign w:val="bottom"/>
            <w:shd w:val="clear" w:color="auto" w:fill="E5E9E3"/>
          </w:tcPr>
          <w:p>
            <w:pPr>
              <w:spacing w:after="0"/>
              <w:rPr>
                <w:sz w:val="18"/>
                <w:szCs w:val="18"/>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Operating profit (GAAP)</w:t>
            </w:r>
          </w:p>
        </w:tc>
        <w:tc>
          <w:tcPr>
            <w:tcW w:w="680" w:type="dxa"/>
            <w:vAlign w:val="bottom"/>
            <w:gridSpan w:val="2"/>
            <w:shd w:val="clear" w:color="auto" w:fill="E5E9E3"/>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277,605</w:t>
            </w:r>
          </w:p>
        </w:tc>
        <w:tc>
          <w:tcPr>
            <w:tcW w:w="320" w:type="dxa"/>
            <w:vAlign w:val="bottom"/>
            <w:shd w:val="clear" w:color="auto" w:fill="E5E9E3"/>
          </w:tcPr>
          <w:p>
            <w:pPr>
              <w:spacing w:after="0"/>
              <w:rPr>
                <w:sz w:val="18"/>
                <w:szCs w:val="18"/>
                <w:color w:val="auto"/>
              </w:rPr>
            </w:pPr>
          </w:p>
        </w:tc>
        <w:tc>
          <w:tcPr>
            <w:tcW w:w="480" w:type="dxa"/>
            <w:vAlign w:val="bottom"/>
            <w:gridSpan w:val="2"/>
            <w:shd w:val="clear" w:color="auto" w:fill="E5E9E3"/>
          </w:tcPr>
          <w:p>
            <w:pPr>
              <w:ind w:left="3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251,704</w:t>
            </w:r>
          </w:p>
        </w:tc>
        <w:tc>
          <w:tcPr>
            <w:tcW w:w="240" w:type="dxa"/>
            <w:vAlign w:val="bottom"/>
            <w:shd w:val="clear" w:color="auto" w:fill="E5E9E3"/>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4"/>
                <w:szCs w:val="14"/>
                <w:color w:val="auto"/>
              </w:rPr>
              <w:t>Share-based compensation 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28,374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27,603</w:t>
            </w:r>
          </w:p>
        </w:tc>
        <w:tc>
          <w:tcPr>
            <w:tcW w:w="240" w:type="dxa"/>
            <w:vAlign w:val="bottom"/>
          </w:tcPr>
          <w:p>
            <w:pPr>
              <w:spacing w:after="0"/>
              <w:rPr>
                <w:sz w:val="18"/>
                <w:szCs w:val="18"/>
                <w:color w:val="auto"/>
              </w:rPr>
            </w:pPr>
          </w:p>
        </w:tc>
      </w:tr>
      <w:tr>
        <w:trPr>
          <w:trHeight w:val="220"/>
        </w:trPr>
        <w:tc>
          <w:tcPr>
            <w:tcW w:w="40" w:type="dxa"/>
            <w:vAlign w:val="bottom"/>
            <w:shd w:val="clear" w:color="auto" w:fill="E5E9E3"/>
          </w:tcPr>
          <w:p>
            <w:pPr>
              <w:spacing w:after="0"/>
              <w:rPr>
                <w:sz w:val="19"/>
                <w:szCs w:val="19"/>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Restructuring and other related costs</w:t>
            </w:r>
          </w:p>
        </w:tc>
        <w:tc>
          <w:tcPr>
            <w:tcW w:w="540" w:type="dxa"/>
            <w:vAlign w:val="bottom"/>
            <w:shd w:val="clear" w:color="auto" w:fill="E5E9E3"/>
          </w:tcPr>
          <w:p>
            <w:pPr>
              <w:spacing w:after="0"/>
              <w:rPr>
                <w:sz w:val="19"/>
                <w:szCs w:val="19"/>
                <w:color w:val="auto"/>
              </w:rPr>
            </w:pPr>
          </w:p>
        </w:tc>
        <w:tc>
          <w:tcPr>
            <w:tcW w:w="140" w:type="dxa"/>
            <w:vAlign w:val="bottom"/>
            <w:shd w:val="clear" w:color="auto" w:fill="E5E9E3"/>
          </w:tcPr>
          <w:p>
            <w:pPr>
              <w:spacing w:after="0"/>
              <w:rPr>
                <w:sz w:val="19"/>
                <w:szCs w:val="19"/>
                <w:color w:val="auto"/>
              </w:rPr>
            </w:pPr>
          </w:p>
        </w:tc>
        <w:tc>
          <w:tcPr>
            <w:tcW w:w="5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32</w:t>
            </w:r>
          </w:p>
        </w:tc>
        <w:tc>
          <w:tcPr>
            <w:tcW w:w="320" w:type="dxa"/>
            <w:vAlign w:val="bottom"/>
            <w:shd w:val="clear" w:color="auto" w:fill="E5E9E3"/>
          </w:tcPr>
          <w:p>
            <w:pPr>
              <w:spacing w:after="0"/>
              <w:rPr>
                <w:sz w:val="19"/>
                <w:szCs w:val="19"/>
                <w:color w:val="auto"/>
              </w:rPr>
            </w:pPr>
          </w:p>
        </w:tc>
        <w:tc>
          <w:tcPr>
            <w:tcW w:w="360" w:type="dxa"/>
            <w:vAlign w:val="bottom"/>
            <w:shd w:val="clear" w:color="auto" w:fill="E5E9E3"/>
          </w:tcPr>
          <w:p>
            <w:pPr>
              <w:spacing w:after="0"/>
              <w:rPr>
                <w:sz w:val="19"/>
                <w:szCs w:val="19"/>
                <w:color w:val="auto"/>
              </w:rPr>
            </w:pPr>
          </w:p>
        </w:tc>
        <w:tc>
          <w:tcPr>
            <w:tcW w:w="120" w:type="dxa"/>
            <w:vAlign w:val="bottom"/>
            <w:shd w:val="clear" w:color="auto" w:fill="E5E9E3"/>
          </w:tcPr>
          <w:p>
            <w:pPr>
              <w:spacing w:after="0"/>
              <w:rPr>
                <w:sz w:val="19"/>
                <w:szCs w:val="19"/>
                <w:color w:val="auto"/>
              </w:rPr>
            </w:pPr>
          </w:p>
        </w:tc>
        <w:tc>
          <w:tcPr>
            <w:tcW w:w="6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6,896</w:t>
            </w:r>
          </w:p>
        </w:tc>
        <w:tc>
          <w:tcPr>
            <w:tcW w:w="240" w:type="dxa"/>
            <w:vAlign w:val="bottom"/>
            <w:shd w:val="clear" w:color="auto" w:fill="E5E9E3"/>
          </w:tcPr>
          <w:p>
            <w:pPr>
              <w:spacing w:after="0"/>
              <w:rPr>
                <w:sz w:val="19"/>
                <w:szCs w:val="19"/>
                <w:color w:val="auto"/>
              </w:rPr>
            </w:pPr>
          </w:p>
        </w:tc>
      </w:tr>
      <w:tr>
        <w:trPr>
          <w:trHeight w:val="208"/>
        </w:trPr>
        <w:tc>
          <w:tcPr>
            <w:tcW w:w="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4"/>
                <w:szCs w:val="14"/>
                <w:color w:val="auto"/>
              </w:rPr>
              <w:t>Amortization of intangibles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224</w:t>
            </w:r>
          </w:p>
        </w:tc>
        <w:tc>
          <w:tcPr>
            <w:tcW w:w="240" w:type="dxa"/>
            <w:vAlign w:val="bottom"/>
          </w:tcPr>
          <w:p>
            <w:pPr>
              <w:spacing w:after="0"/>
              <w:rPr>
                <w:sz w:val="18"/>
                <w:szCs w:val="18"/>
                <w:color w:val="auto"/>
              </w:rPr>
            </w:pPr>
          </w:p>
        </w:tc>
      </w:tr>
      <w:tr>
        <w:trPr>
          <w:trHeight w:val="28"/>
        </w:trPr>
        <w:tc>
          <w:tcPr>
            <w:tcW w:w="40" w:type="dxa"/>
            <w:vAlign w:val="bottom"/>
            <w:tcBorders>
              <w:bottom w:val="single" w:sz="8" w:color="E5E9E3"/>
            </w:tcBorders>
          </w:tcPr>
          <w:p>
            <w:pPr>
              <w:spacing w:after="0"/>
              <w:rPr>
                <w:sz w:val="2"/>
                <w:szCs w:val="2"/>
                <w:color w:val="auto"/>
              </w:rPr>
            </w:pPr>
          </w:p>
        </w:tc>
        <w:tc>
          <w:tcPr>
            <w:tcW w:w="6240" w:type="dxa"/>
            <w:vAlign w:val="bottom"/>
            <w:tcBorders>
              <w:bottom w:val="single" w:sz="8" w:color="E5E9E3"/>
            </w:tcBorders>
          </w:tcPr>
          <w:p>
            <w:pPr>
              <w:spacing w:after="0"/>
              <w:rPr>
                <w:sz w:val="2"/>
                <w:szCs w:val="2"/>
                <w:color w:val="auto"/>
              </w:rPr>
            </w:pPr>
          </w:p>
        </w:tc>
        <w:tc>
          <w:tcPr>
            <w:tcW w:w="540" w:type="dxa"/>
            <w:vAlign w:val="bottom"/>
            <w:tcBorders>
              <w:bottom w:val="single" w:sz="8" w:color="E5E9E3"/>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E5E9E3"/>
            </w:tcBorders>
          </w:tcPr>
          <w:p>
            <w:pPr>
              <w:spacing w:after="0"/>
              <w:rPr>
                <w:sz w:val="2"/>
                <w:szCs w:val="2"/>
                <w:color w:val="auto"/>
              </w:rPr>
            </w:pPr>
          </w:p>
        </w:tc>
        <w:tc>
          <w:tcPr>
            <w:tcW w:w="360" w:type="dxa"/>
            <w:vAlign w:val="bottom"/>
            <w:tcBorders>
              <w:bottom w:val="single" w:sz="8" w:color="E5E9E3"/>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E5E9E3"/>
            </w:tcBorders>
          </w:tcPr>
          <w:p>
            <w:pPr>
              <w:spacing w:after="0"/>
              <w:rPr>
                <w:sz w:val="2"/>
                <w:szCs w:val="2"/>
                <w:color w:val="auto"/>
              </w:rPr>
            </w:pPr>
          </w:p>
        </w:tc>
      </w:tr>
      <w:tr>
        <w:trPr>
          <w:trHeight w:val="203"/>
        </w:trPr>
        <w:tc>
          <w:tcPr>
            <w:tcW w:w="40" w:type="dxa"/>
            <w:vAlign w:val="bottom"/>
            <w:shd w:val="clear" w:color="auto" w:fill="E5E9E3"/>
          </w:tcPr>
          <w:p>
            <w:pPr>
              <w:spacing w:after="0"/>
              <w:rPr>
                <w:sz w:val="17"/>
                <w:szCs w:val="17"/>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Operating profit (non-GAAP)</w:t>
            </w:r>
          </w:p>
        </w:tc>
        <w:tc>
          <w:tcPr>
            <w:tcW w:w="680" w:type="dxa"/>
            <w:vAlign w:val="bottom"/>
            <w:gridSpan w:val="2"/>
            <w:shd w:val="clear" w:color="auto" w:fill="E5E9E3"/>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5E9E3"/>
          </w:tcPr>
          <w:p>
            <w:pPr>
              <w:jc w:val="right"/>
              <w:spacing w:after="0"/>
              <w:rPr>
                <w:sz w:val="20"/>
                <w:szCs w:val="20"/>
                <w:color w:val="auto"/>
              </w:rPr>
            </w:pPr>
            <w:r>
              <w:rPr>
                <w:rFonts w:ascii="Arial" w:cs="Arial" w:eastAsia="Arial" w:hAnsi="Arial"/>
                <w:sz w:val="14"/>
                <w:szCs w:val="14"/>
                <w:color w:val="auto"/>
              </w:rPr>
              <w:t>306,011</w:t>
            </w:r>
          </w:p>
        </w:tc>
        <w:tc>
          <w:tcPr>
            <w:tcW w:w="320" w:type="dxa"/>
            <w:vAlign w:val="bottom"/>
            <w:shd w:val="clear" w:color="auto" w:fill="E5E9E3"/>
          </w:tcPr>
          <w:p>
            <w:pPr>
              <w:spacing w:after="0"/>
              <w:rPr>
                <w:sz w:val="17"/>
                <w:szCs w:val="17"/>
                <w:color w:val="auto"/>
              </w:rPr>
            </w:pPr>
          </w:p>
        </w:tc>
        <w:tc>
          <w:tcPr>
            <w:tcW w:w="480" w:type="dxa"/>
            <w:vAlign w:val="bottom"/>
            <w:gridSpan w:val="2"/>
            <w:shd w:val="clear" w:color="auto" w:fill="E5E9E3"/>
          </w:tcPr>
          <w:p>
            <w:pPr>
              <w:ind w:left="3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286,427</w:t>
            </w:r>
          </w:p>
        </w:tc>
        <w:tc>
          <w:tcPr>
            <w:tcW w:w="240" w:type="dxa"/>
            <w:vAlign w:val="bottom"/>
            <w:shd w:val="clear" w:color="auto" w:fill="E5E9E3"/>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 w:type="dxa"/>
            <w:vAlign w:val="bottom"/>
            <w:shd w:val="clear" w:color="auto" w:fill="E5E9E3"/>
          </w:tcPr>
          <w:p>
            <w:pPr>
              <w:spacing w:after="0"/>
              <w:rPr>
                <w:sz w:val="18"/>
                <w:szCs w:val="18"/>
                <w:color w:val="auto"/>
              </w:rPr>
            </w:pPr>
          </w:p>
        </w:tc>
        <w:tc>
          <w:tcPr>
            <w:tcW w:w="6240" w:type="dxa"/>
            <w:vAlign w:val="bottom"/>
            <w:shd w:val="clear" w:color="auto" w:fill="E5E9E3"/>
          </w:tcPr>
          <w:p>
            <w:pPr>
              <w:ind w:left="20"/>
              <w:spacing w:after="0"/>
              <w:rPr>
                <w:sz w:val="20"/>
                <w:szCs w:val="20"/>
                <w:color w:val="auto"/>
              </w:rPr>
            </w:pPr>
            <w:r>
              <w:rPr>
                <w:rFonts w:ascii="Arial" w:cs="Arial" w:eastAsia="Arial" w:hAnsi="Arial"/>
                <w:sz w:val="14"/>
                <w:szCs w:val="14"/>
                <w:color w:val="auto"/>
              </w:rPr>
              <w:t>Operating margin (GAAP)</w:t>
            </w:r>
          </w:p>
        </w:tc>
        <w:tc>
          <w:tcPr>
            <w:tcW w:w="540" w:type="dxa"/>
            <w:vAlign w:val="bottom"/>
            <w:shd w:val="clear" w:color="auto" w:fill="E5E9E3"/>
          </w:tcPr>
          <w:p>
            <w:pPr>
              <w:spacing w:after="0"/>
              <w:rPr>
                <w:sz w:val="18"/>
                <w:szCs w:val="18"/>
                <w:color w:val="auto"/>
              </w:rPr>
            </w:pPr>
          </w:p>
        </w:tc>
        <w:tc>
          <w:tcPr>
            <w:tcW w:w="140" w:type="dxa"/>
            <w:vAlign w:val="bottom"/>
            <w:shd w:val="clear" w:color="auto" w:fill="E5E9E3"/>
          </w:tcPr>
          <w:p>
            <w:pPr>
              <w:spacing w:after="0"/>
              <w:rPr>
                <w:sz w:val="18"/>
                <w:szCs w:val="18"/>
                <w:color w:val="auto"/>
              </w:rPr>
            </w:pPr>
          </w:p>
        </w:tc>
        <w:tc>
          <w:tcPr>
            <w:tcW w:w="900" w:type="dxa"/>
            <w:vAlign w:val="bottom"/>
            <w:gridSpan w:val="2"/>
            <w:shd w:val="clear" w:color="auto" w:fill="E5E9E3"/>
          </w:tcPr>
          <w:p>
            <w:pPr>
              <w:jc w:val="right"/>
              <w:ind w:right="200"/>
              <w:spacing w:after="0"/>
              <w:rPr>
                <w:sz w:val="20"/>
                <w:szCs w:val="20"/>
                <w:color w:val="auto"/>
              </w:rPr>
            </w:pPr>
            <w:r>
              <w:rPr>
                <w:rFonts w:ascii="Arial" w:cs="Arial" w:eastAsia="Arial" w:hAnsi="Arial"/>
                <w:sz w:val="14"/>
                <w:szCs w:val="14"/>
                <w:color w:val="auto"/>
              </w:rPr>
              <w:t>9.6%</w:t>
            </w:r>
          </w:p>
        </w:tc>
        <w:tc>
          <w:tcPr>
            <w:tcW w:w="360" w:type="dxa"/>
            <w:vAlign w:val="bottom"/>
            <w:shd w:val="clear" w:color="auto" w:fill="E5E9E3"/>
          </w:tcPr>
          <w:p>
            <w:pPr>
              <w:spacing w:after="0"/>
              <w:rPr>
                <w:sz w:val="18"/>
                <w:szCs w:val="18"/>
                <w:color w:val="auto"/>
              </w:rPr>
            </w:pPr>
          </w:p>
        </w:tc>
        <w:tc>
          <w:tcPr>
            <w:tcW w:w="120" w:type="dxa"/>
            <w:vAlign w:val="bottom"/>
            <w:shd w:val="clear" w:color="auto" w:fill="E5E9E3"/>
          </w:tcPr>
          <w:p>
            <w:pPr>
              <w:spacing w:after="0"/>
              <w:rPr>
                <w:sz w:val="18"/>
                <w:szCs w:val="18"/>
                <w:color w:val="auto"/>
              </w:rPr>
            </w:pPr>
          </w:p>
        </w:tc>
        <w:tc>
          <w:tcPr>
            <w:tcW w:w="840" w:type="dxa"/>
            <w:vAlign w:val="bottom"/>
            <w:gridSpan w:val="2"/>
            <w:shd w:val="clear" w:color="auto" w:fill="E5E9E3"/>
          </w:tcPr>
          <w:p>
            <w:pPr>
              <w:jc w:val="right"/>
              <w:ind w:right="120"/>
              <w:spacing w:after="0"/>
              <w:rPr>
                <w:sz w:val="20"/>
                <w:szCs w:val="20"/>
                <w:color w:val="auto"/>
              </w:rPr>
            </w:pPr>
            <w:r>
              <w:rPr>
                <w:rFonts w:ascii="Arial" w:cs="Arial" w:eastAsia="Arial" w:hAnsi="Arial"/>
                <w:sz w:val="14"/>
                <w:szCs w:val="14"/>
                <w:color w:val="auto"/>
              </w:rPr>
              <w:t>9.5%</w:t>
            </w:r>
          </w:p>
        </w:tc>
      </w:tr>
      <w:tr>
        <w:trPr>
          <w:trHeight w:val="208"/>
        </w:trPr>
        <w:tc>
          <w:tcPr>
            <w:tcW w:w="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4"/>
                <w:szCs w:val="14"/>
                <w:color w:val="auto"/>
              </w:rPr>
              <w:t>Operating margin (non-GAAP)</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-1537335</wp:posOffset>
            </wp:positionV>
            <wp:extent cx="15601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20" w:lineRule="exact"/>
        <w:rPr>
          <w:sz w:val="20"/>
          <w:szCs w:val="20"/>
          <w:color w:val="auto"/>
        </w:rPr>
      </w:pPr>
    </w:p>
    <w:p>
      <w:pPr>
        <w:jc w:val="both"/>
        <w:ind w:left="920" w:right="940"/>
        <w:spacing w:after="0" w:line="298" w:lineRule="auto"/>
        <w:rPr>
          <w:sz w:val="20"/>
          <w:szCs w:val="20"/>
          <w:color w:val="auto"/>
        </w:rPr>
      </w:pPr>
      <w:r>
        <w:rPr>
          <w:rFonts w:ascii="Arial" w:cs="Arial" w:eastAsia="Arial" w:hAnsi="Arial"/>
          <w:sz w:val="25"/>
          <w:szCs w:val="25"/>
          <w:b w:val="1"/>
          <w:bCs w:val="1"/>
          <w:color w:val="auto"/>
        </w:rPr>
        <w:t>GAAP net income and net income per diluted share to non-GAAP net income and net income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-42545</wp:posOffset>
            </wp:positionV>
            <wp:extent cx="58293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960" w:type="dxa"/>
            <w:vAlign w:val="bottom"/>
            <w:tcBorders>
              <w:right w:val="single" w:sz="8" w:color="819F7C"/>
            </w:tcBorders>
          </w:tcPr>
          <w:p>
            <w:pPr>
              <w:spacing w:after="0"/>
              <w:rPr>
                <w:sz w:val="24"/>
                <w:szCs w:val="24"/>
                <w:color w:val="auto"/>
              </w:rPr>
            </w:pPr>
          </w:p>
        </w:tc>
        <w:tc>
          <w:tcPr>
            <w:tcW w:w="5440" w:type="dxa"/>
            <w:vAlign w:val="bottom"/>
            <w:shd w:val="clear" w:color="auto" w:fill="819F7C"/>
          </w:tcPr>
          <w:p>
            <w:pPr>
              <w:ind w:left="40"/>
              <w:spacing w:after="0"/>
              <w:rPr>
                <w:sz w:val="20"/>
                <w:szCs w:val="20"/>
                <w:color w:val="auto"/>
              </w:rPr>
            </w:pPr>
            <w:r>
              <w:rPr>
                <w:rFonts w:ascii="Arial" w:cs="Arial" w:eastAsia="Arial" w:hAnsi="Arial"/>
                <w:sz w:val="14"/>
                <w:szCs w:val="14"/>
                <w:i w:val="1"/>
                <w:iCs w:val="1"/>
                <w:color w:val="FFFFFF"/>
              </w:rPr>
              <w:t>(in thousands of U.S. dollars, except share and per share data)</w:t>
            </w:r>
          </w:p>
        </w:tc>
        <w:tc>
          <w:tcPr>
            <w:tcW w:w="320" w:type="dxa"/>
            <w:vAlign w:val="bottom"/>
            <w:shd w:val="clear" w:color="auto" w:fill="819F7C"/>
          </w:tcPr>
          <w:p>
            <w:pPr>
              <w:spacing w:after="0"/>
              <w:rPr>
                <w:sz w:val="24"/>
                <w:szCs w:val="24"/>
                <w:color w:val="auto"/>
              </w:rPr>
            </w:pPr>
          </w:p>
        </w:tc>
        <w:tc>
          <w:tcPr>
            <w:tcW w:w="600" w:type="dxa"/>
            <w:vAlign w:val="bottom"/>
            <w:shd w:val="clear" w:color="auto" w:fill="819F7C"/>
          </w:tcPr>
          <w:p>
            <w:pPr>
              <w:spacing w:after="0"/>
              <w:rPr>
                <w:sz w:val="24"/>
                <w:szCs w:val="24"/>
                <w:color w:val="auto"/>
              </w:rPr>
            </w:pPr>
          </w:p>
        </w:tc>
        <w:tc>
          <w:tcPr>
            <w:tcW w:w="140" w:type="dxa"/>
            <w:vAlign w:val="bottom"/>
            <w:shd w:val="clear" w:color="auto" w:fill="819F7C"/>
          </w:tcPr>
          <w:p>
            <w:pPr>
              <w:spacing w:after="0"/>
              <w:rPr>
                <w:sz w:val="24"/>
                <w:szCs w:val="24"/>
                <w:color w:val="auto"/>
              </w:rPr>
            </w:pPr>
          </w:p>
        </w:tc>
        <w:tc>
          <w:tcPr>
            <w:tcW w:w="1800" w:type="dxa"/>
            <w:vAlign w:val="bottom"/>
            <w:gridSpan w:val="7"/>
            <w:shd w:val="clear" w:color="auto" w:fill="819F7C"/>
          </w:tcPr>
          <w:p>
            <w:pPr>
              <w:ind w:left="140"/>
              <w:spacing w:after="0"/>
              <w:rPr>
                <w:sz w:val="20"/>
                <w:szCs w:val="20"/>
                <w:color w:val="auto"/>
              </w:rPr>
            </w:pPr>
            <w:r>
              <w:rPr>
                <w:rFonts w:ascii="Arial" w:cs="Arial" w:eastAsia="Arial" w:hAnsi="Arial"/>
                <w:sz w:val="14"/>
                <w:szCs w:val="14"/>
                <w:b w:val="1"/>
                <w:bCs w:val="1"/>
                <w:color w:val="FFFFFF"/>
              </w:rPr>
              <w:t>Twelve Months Ended</w:t>
            </w:r>
          </w:p>
        </w:tc>
        <w:tc>
          <w:tcPr>
            <w:tcW w:w="180" w:type="dxa"/>
            <w:vAlign w:val="bottom"/>
            <w:shd w:val="clear" w:color="auto" w:fill="819F7C"/>
          </w:tcPr>
          <w:p>
            <w:pPr>
              <w:spacing w:after="0"/>
              <w:rPr>
                <w:sz w:val="24"/>
                <w:szCs w:val="24"/>
                <w:color w:val="auto"/>
              </w:rPr>
            </w:pPr>
          </w:p>
        </w:tc>
        <w:tc>
          <w:tcPr>
            <w:tcW w:w="100" w:type="dxa"/>
            <w:vAlign w:val="bottom"/>
            <w:shd w:val="clear" w:color="auto" w:fill="819F7C"/>
          </w:tcPr>
          <w:p>
            <w:pPr>
              <w:spacing w:after="0"/>
              <w:rPr>
                <w:sz w:val="24"/>
                <w:szCs w:val="24"/>
                <w:color w:val="auto"/>
              </w:rPr>
            </w:pPr>
          </w:p>
        </w:tc>
        <w:tc>
          <w:tcPr>
            <w:tcW w:w="400" w:type="dxa"/>
            <w:vAlign w:val="bottom"/>
            <w:shd w:val="clear" w:color="auto" w:fill="819F7C"/>
          </w:tcPr>
          <w:p>
            <w:pPr>
              <w:spacing w:after="0"/>
              <w:rPr>
                <w:sz w:val="24"/>
                <w:szCs w:val="24"/>
                <w:color w:val="auto"/>
              </w:rPr>
            </w:pPr>
          </w:p>
        </w:tc>
        <w:tc>
          <w:tcPr>
            <w:tcW w:w="40" w:type="dxa"/>
            <w:vAlign w:val="bottom"/>
            <w:shd w:val="clear" w:color="auto" w:fill="819F7C"/>
          </w:tcPr>
          <w:p>
            <w:pPr>
              <w:spacing w:after="0"/>
              <w:rPr>
                <w:sz w:val="24"/>
                <w:szCs w:val="24"/>
                <w:color w:val="auto"/>
              </w:rPr>
            </w:pPr>
          </w:p>
        </w:tc>
        <w:tc>
          <w:tcPr>
            <w:tcW w:w="120" w:type="dxa"/>
            <w:vAlign w:val="bottom"/>
            <w:shd w:val="clear" w:color="auto" w:fill="819F7C"/>
          </w:tcPr>
          <w:p>
            <w:pPr>
              <w:spacing w:after="0"/>
              <w:rPr>
                <w:sz w:val="24"/>
                <w:szCs w:val="24"/>
                <w:color w:val="auto"/>
              </w:rPr>
            </w:pPr>
          </w:p>
        </w:tc>
        <w:tc>
          <w:tcPr>
            <w:tcW w:w="920" w:type="dxa"/>
            <w:vAlign w:val="bottom"/>
          </w:tcPr>
          <w:p>
            <w:pPr>
              <w:spacing w:after="0"/>
              <w:rPr>
                <w:sz w:val="24"/>
                <w:szCs w:val="24"/>
                <w:color w:val="auto"/>
              </w:rPr>
            </w:pPr>
          </w:p>
        </w:tc>
      </w:tr>
      <w:tr>
        <w:trPr>
          <w:trHeight w:val="263"/>
        </w:trPr>
        <w:tc>
          <w:tcPr>
            <w:tcW w:w="960" w:type="dxa"/>
            <w:vAlign w:val="bottom"/>
            <w:tcBorders>
              <w:right w:val="single" w:sz="8" w:color="819F7C"/>
            </w:tcBorders>
          </w:tcPr>
          <w:p>
            <w:pPr>
              <w:spacing w:after="0"/>
              <w:rPr>
                <w:sz w:val="22"/>
                <w:szCs w:val="22"/>
                <w:color w:val="auto"/>
              </w:rPr>
            </w:pPr>
          </w:p>
        </w:tc>
        <w:tc>
          <w:tcPr>
            <w:tcW w:w="5440" w:type="dxa"/>
            <w:vAlign w:val="bottom"/>
            <w:shd w:val="clear" w:color="auto" w:fill="819F7C"/>
          </w:tcPr>
          <w:p>
            <w:pPr>
              <w:spacing w:after="0"/>
              <w:rPr>
                <w:sz w:val="22"/>
                <w:szCs w:val="22"/>
                <w:color w:val="auto"/>
              </w:rPr>
            </w:pPr>
          </w:p>
        </w:tc>
        <w:tc>
          <w:tcPr>
            <w:tcW w:w="320" w:type="dxa"/>
            <w:vAlign w:val="bottom"/>
            <w:shd w:val="clear" w:color="auto" w:fill="819F7C"/>
          </w:tcPr>
          <w:p>
            <w:pPr>
              <w:spacing w:after="0"/>
              <w:rPr>
                <w:sz w:val="22"/>
                <w:szCs w:val="22"/>
                <w:color w:val="auto"/>
              </w:rPr>
            </w:pPr>
          </w:p>
        </w:tc>
        <w:tc>
          <w:tcPr>
            <w:tcW w:w="1460" w:type="dxa"/>
            <w:vAlign w:val="bottom"/>
            <w:gridSpan w:val="6"/>
            <w:shd w:val="clear" w:color="auto" w:fill="819F7C"/>
          </w:tcPr>
          <w:p>
            <w:pPr>
              <w:ind w:left="260"/>
              <w:spacing w:after="0"/>
              <w:rPr>
                <w:sz w:val="20"/>
                <w:szCs w:val="20"/>
                <w:color w:val="auto"/>
              </w:rPr>
            </w:pPr>
            <w:r>
              <w:rPr>
                <w:rFonts w:ascii="Arial" w:cs="Arial" w:eastAsia="Arial" w:hAnsi="Arial"/>
                <w:sz w:val="14"/>
                <w:szCs w:val="14"/>
                <w:b w:val="1"/>
                <w:bCs w:val="1"/>
                <w:color w:val="FFFFFF"/>
              </w:rPr>
              <w:t>June 28, 2024</w:t>
            </w:r>
          </w:p>
        </w:tc>
        <w:tc>
          <w:tcPr>
            <w:tcW w:w="320" w:type="dxa"/>
            <w:vAlign w:val="bottom"/>
            <w:shd w:val="clear" w:color="auto" w:fill="819F7C"/>
          </w:tcPr>
          <w:p>
            <w:pPr>
              <w:spacing w:after="0"/>
              <w:rPr>
                <w:sz w:val="22"/>
                <w:szCs w:val="22"/>
                <w:color w:val="auto"/>
              </w:rPr>
            </w:pPr>
          </w:p>
        </w:tc>
        <w:tc>
          <w:tcPr>
            <w:tcW w:w="1480" w:type="dxa"/>
            <w:vAlign w:val="bottom"/>
            <w:gridSpan w:val="6"/>
            <w:shd w:val="clear" w:color="auto" w:fill="819F7C"/>
          </w:tcPr>
          <w:p>
            <w:pPr>
              <w:jc w:val="center"/>
              <w:ind w:right="20"/>
              <w:spacing w:after="0"/>
              <w:rPr>
                <w:sz w:val="20"/>
                <w:szCs w:val="20"/>
                <w:color w:val="auto"/>
              </w:rPr>
            </w:pPr>
            <w:r>
              <w:rPr>
                <w:rFonts w:ascii="Arial" w:cs="Arial" w:eastAsia="Arial" w:hAnsi="Arial"/>
                <w:sz w:val="14"/>
                <w:szCs w:val="14"/>
                <w:b w:val="1"/>
                <w:bCs w:val="1"/>
                <w:color w:val="FFFFFF"/>
              </w:rPr>
              <w:t>June 30, 2023</w:t>
            </w:r>
          </w:p>
        </w:tc>
        <w:tc>
          <w:tcPr>
            <w:tcW w:w="120" w:type="dxa"/>
            <w:vAlign w:val="bottom"/>
            <w:shd w:val="clear" w:color="auto" w:fill="819F7C"/>
          </w:tcPr>
          <w:p>
            <w:pPr>
              <w:spacing w:after="0"/>
              <w:rPr>
                <w:sz w:val="22"/>
                <w:szCs w:val="22"/>
                <w:color w:val="auto"/>
              </w:rPr>
            </w:pPr>
          </w:p>
        </w:tc>
        <w:tc>
          <w:tcPr>
            <w:tcW w:w="920" w:type="dxa"/>
            <w:vAlign w:val="bottom"/>
          </w:tcPr>
          <w:p>
            <w:pPr>
              <w:spacing w:after="0"/>
              <w:rPr>
                <w:sz w:val="22"/>
                <w:szCs w:val="22"/>
                <w:color w:val="auto"/>
              </w:rPr>
            </w:pPr>
          </w:p>
        </w:tc>
      </w:tr>
      <w:tr>
        <w:trPr>
          <w:trHeight w:val="236"/>
        </w:trPr>
        <w:tc>
          <w:tcPr>
            <w:tcW w:w="960" w:type="dxa"/>
            <w:vAlign w:val="bottom"/>
            <w:tcBorders>
              <w:right w:val="single" w:sz="8" w:color="819F7C"/>
            </w:tcBorders>
          </w:tcPr>
          <w:p>
            <w:pPr>
              <w:spacing w:after="0"/>
              <w:rPr>
                <w:sz w:val="20"/>
                <w:szCs w:val="20"/>
                <w:color w:val="auto"/>
              </w:rPr>
            </w:pPr>
          </w:p>
        </w:tc>
        <w:tc>
          <w:tcPr>
            <w:tcW w:w="5440" w:type="dxa"/>
            <w:vAlign w:val="bottom"/>
            <w:shd w:val="clear" w:color="auto" w:fill="819F7C"/>
          </w:tcPr>
          <w:p>
            <w:pPr>
              <w:spacing w:after="0"/>
              <w:rPr>
                <w:sz w:val="20"/>
                <w:szCs w:val="20"/>
                <w:color w:val="auto"/>
              </w:rPr>
            </w:pPr>
          </w:p>
        </w:tc>
        <w:tc>
          <w:tcPr>
            <w:tcW w:w="320" w:type="dxa"/>
            <w:vAlign w:val="bottom"/>
            <w:shd w:val="clear" w:color="auto" w:fill="819F7C"/>
          </w:tcPr>
          <w:p>
            <w:pPr>
              <w:spacing w:after="0"/>
              <w:rPr>
                <w:sz w:val="20"/>
                <w:szCs w:val="20"/>
                <w:color w:val="auto"/>
              </w:rPr>
            </w:pPr>
          </w:p>
        </w:tc>
        <w:tc>
          <w:tcPr>
            <w:tcW w:w="740" w:type="dxa"/>
            <w:vAlign w:val="bottom"/>
            <w:gridSpan w:val="2"/>
            <w:shd w:val="clear" w:color="auto" w:fill="819F7C"/>
          </w:tcPr>
          <w:p>
            <w:pPr>
              <w:jc w:val="center"/>
              <w:ind w:right="180"/>
              <w:spacing w:after="0"/>
              <w:rPr>
                <w:sz w:val="20"/>
                <w:szCs w:val="20"/>
                <w:color w:val="auto"/>
              </w:rPr>
            </w:pPr>
            <w:r>
              <w:rPr>
                <w:rFonts w:ascii="Arial" w:cs="Arial" w:eastAsia="Arial" w:hAnsi="Arial"/>
                <w:sz w:val="14"/>
                <w:szCs w:val="14"/>
                <w:b w:val="1"/>
                <w:bCs w:val="1"/>
                <w:color w:val="FFFFFF"/>
              </w:rPr>
              <w:t>Net</w:t>
            </w:r>
          </w:p>
        </w:tc>
        <w:tc>
          <w:tcPr>
            <w:tcW w:w="200" w:type="dxa"/>
            <w:vAlign w:val="bottom"/>
            <w:shd w:val="clear" w:color="auto" w:fill="819F7C"/>
          </w:tcPr>
          <w:p>
            <w:pPr>
              <w:spacing w:after="0"/>
              <w:rPr>
                <w:sz w:val="20"/>
                <w:szCs w:val="20"/>
                <w:color w:val="auto"/>
              </w:rPr>
            </w:pPr>
          </w:p>
        </w:tc>
        <w:tc>
          <w:tcPr>
            <w:tcW w:w="520" w:type="dxa"/>
            <w:vAlign w:val="bottom"/>
            <w:gridSpan w:val="3"/>
            <w:shd w:val="clear" w:color="auto" w:fill="819F7C"/>
          </w:tcPr>
          <w:p>
            <w:pPr>
              <w:ind w:left="20"/>
              <w:spacing w:after="0"/>
              <w:rPr>
                <w:sz w:val="20"/>
                <w:szCs w:val="20"/>
                <w:color w:val="auto"/>
              </w:rPr>
            </w:pPr>
            <w:r>
              <w:rPr>
                <w:rFonts w:ascii="Arial" w:cs="Arial" w:eastAsia="Arial" w:hAnsi="Arial"/>
                <w:sz w:val="14"/>
                <w:szCs w:val="14"/>
                <w:b w:val="1"/>
                <w:bCs w:val="1"/>
                <w:color w:val="FFFFFF"/>
              </w:rPr>
              <w:t>Diluted</w:t>
            </w:r>
          </w:p>
        </w:tc>
        <w:tc>
          <w:tcPr>
            <w:tcW w:w="320" w:type="dxa"/>
            <w:vAlign w:val="bottom"/>
            <w:shd w:val="clear" w:color="auto" w:fill="819F7C"/>
          </w:tcPr>
          <w:p>
            <w:pPr>
              <w:spacing w:after="0"/>
              <w:rPr>
                <w:sz w:val="20"/>
                <w:szCs w:val="20"/>
                <w:color w:val="auto"/>
              </w:rPr>
            </w:pPr>
          </w:p>
        </w:tc>
        <w:tc>
          <w:tcPr>
            <w:tcW w:w="760" w:type="dxa"/>
            <w:vAlign w:val="bottom"/>
            <w:gridSpan w:val="2"/>
            <w:shd w:val="clear" w:color="auto" w:fill="819F7C"/>
          </w:tcPr>
          <w:p>
            <w:pPr>
              <w:jc w:val="center"/>
              <w:ind w:right="200"/>
              <w:spacing w:after="0"/>
              <w:rPr>
                <w:sz w:val="20"/>
                <w:szCs w:val="20"/>
                <w:color w:val="auto"/>
              </w:rPr>
            </w:pPr>
            <w:r>
              <w:rPr>
                <w:rFonts w:ascii="Arial" w:cs="Arial" w:eastAsia="Arial" w:hAnsi="Arial"/>
                <w:sz w:val="14"/>
                <w:szCs w:val="14"/>
                <w:b w:val="1"/>
                <w:bCs w:val="1"/>
                <w:color w:val="FFFFFF"/>
              </w:rPr>
              <w:t>Net</w:t>
            </w:r>
          </w:p>
        </w:tc>
        <w:tc>
          <w:tcPr>
            <w:tcW w:w="180" w:type="dxa"/>
            <w:vAlign w:val="bottom"/>
            <w:shd w:val="clear" w:color="auto" w:fill="819F7C"/>
          </w:tcPr>
          <w:p>
            <w:pPr>
              <w:spacing w:after="0"/>
              <w:rPr>
                <w:sz w:val="20"/>
                <w:szCs w:val="20"/>
                <w:color w:val="auto"/>
              </w:rPr>
            </w:pPr>
          </w:p>
        </w:tc>
        <w:tc>
          <w:tcPr>
            <w:tcW w:w="540" w:type="dxa"/>
            <w:vAlign w:val="bottom"/>
            <w:gridSpan w:val="3"/>
            <w:shd w:val="clear" w:color="auto" w:fill="819F7C"/>
          </w:tcPr>
          <w:p>
            <w:pPr>
              <w:spacing w:after="0"/>
              <w:rPr>
                <w:sz w:val="20"/>
                <w:szCs w:val="20"/>
                <w:color w:val="auto"/>
              </w:rPr>
            </w:pPr>
            <w:r>
              <w:rPr>
                <w:rFonts w:ascii="Arial" w:cs="Arial" w:eastAsia="Arial" w:hAnsi="Arial"/>
                <w:sz w:val="14"/>
                <w:szCs w:val="14"/>
                <w:b w:val="1"/>
                <w:bCs w:val="1"/>
                <w:color w:val="FFFFFF"/>
              </w:rPr>
              <w:t>Diluted</w:t>
            </w:r>
          </w:p>
        </w:tc>
        <w:tc>
          <w:tcPr>
            <w:tcW w:w="120" w:type="dxa"/>
            <w:vAlign w:val="bottom"/>
            <w:shd w:val="clear" w:color="auto" w:fill="819F7C"/>
          </w:tcPr>
          <w:p>
            <w:pPr>
              <w:spacing w:after="0"/>
              <w:rPr>
                <w:sz w:val="20"/>
                <w:szCs w:val="20"/>
                <w:color w:val="auto"/>
              </w:rPr>
            </w:pPr>
          </w:p>
        </w:tc>
        <w:tc>
          <w:tcPr>
            <w:tcW w:w="920" w:type="dxa"/>
            <w:vAlign w:val="bottom"/>
          </w:tcPr>
          <w:p>
            <w:pPr>
              <w:spacing w:after="0"/>
              <w:rPr>
                <w:sz w:val="20"/>
                <w:szCs w:val="20"/>
                <w:color w:val="auto"/>
              </w:rPr>
            </w:pPr>
          </w:p>
        </w:tc>
      </w:tr>
      <w:tr>
        <w:trPr>
          <w:trHeight w:val="198"/>
        </w:trPr>
        <w:tc>
          <w:tcPr>
            <w:tcW w:w="960" w:type="dxa"/>
            <w:vAlign w:val="bottom"/>
            <w:tcBorders>
              <w:right w:val="single" w:sz="8" w:color="819F7C"/>
            </w:tcBorders>
          </w:tcPr>
          <w:p>
            <w:pPr>
              <w:spacing w:after="0"/>
              <w:rPr>
                <w:sz w:val="17"/>
                <w:szCs w:val="17"/>
                <w:color w:val="auto"/>
              </w:rPr>
            </w:pPr>
          </w:p>
        </w:tc>
        <w:tc>
          <w:tcPr>
            <w:tcW w:w="5440" w:type="dxa"/>
            <w:vAlign w:val="bottom"/>
            <w:shd w:val="clear" w:color="auto" w:fill="819F7C"/>
          </w:tcPr>
          <w:p>
            <w:pPr>
              <w:spacing w:after="0"/>
              <w:rPr>
                <w:sz w:val="17"/>
                <w:szCs w:val="17"/>
                <w:color w:val="auto"/>
              </w:rPr>
            </w:pPr>
          </w:p>
        </w:tc>
        <w:tc>
          <w:tcPr>
            <w:tcW w:w="320" w:type="dxa"/>
            <w:vAlign w:val="bottom"/>
            <w:shd w:val="clear" w:color="auto" w:fill="819F7C"/>
          </w:tcPr>
          <w:p>
            <w:pPr>
              <w:spacing w:after="0"/>
              <w:rPr>
                <w:sz w:val="17"/>
                <w:szCs w:val="17"/>
                <w:color w:val="auto"/>
              </w:rPr>
            </w:pPr>
          </w:p>
        </w:tc>
        <w:tc>
          <w:tcPr>
            <w:tcW w:w="740" w:type="dxa"/>
            <w:vAlign w:val="bottom"/>
            <w:gridSpan w:val="2"/>
            <w:shd w:val="clear" w:color="auto" w:fill="819F7C"/>
          </w:tcPr>
          <w:p>
            <w:pPr>
              <w:jc w:val="center"/>
              <w:ind w:right="120"/>
              <w:spacing w:after="0"/>
              <w:rPr>
                <w:sz w:val="20"/>
                <w:szCs w:val="20"/>
                <w:color w:val="auto"/>
              </w:rPr>
            </w:pPr>
            <w:r>
              <w:rPr>
                <w:rFonts w:ascii="Arial" w:cs="Arial" w:eastAsia="Arial" w:hAnsi="Arial"/>
                <w:sz w:val="14"/>
                <w:szCs w:val="14"/>
                <w:b w:val="1"/>
                <w:bCs w:val="1"/>
                <w:color w:val="FFFFFF"/>
              </w:rPr>
              <w:t>Income</w:t>
            </w:r>
          </w:p>
        </w:tc>
        <w:tc>
          <w:tcPr>
            <w:tcW w:w="200" w:type="dxa"/>
            <w:vAlign w:val="bottom"/>
            <w:shd w:val="clear" w:color="auto" w:fill="819F7C"/>
          </w:tcPr>
          <w:p>
            <w:pPr>
              <w:spacing w:after="0"/>
              <w:rPr>
                <w:sz w:val="17"/>
                <w:szCs w:val="17"/>
                <w:color w:val="auto"/>
              </w:rPr>
            </w:pPr>
          </w:p>
        </w:tc>
        <w:tc>
          <w:tcPr>
            <w:tcW w:w="100" w:type="dxa"/>
            <w:vAlign w:val="bottom"/>
            <w:shd w:val="clear" w:color="auto" w:fill="819F7C"/>
          </w:tcPr>
          <w:p>
            <w:pPr>
              <w:spacing w:after="0"/>
              <w:rPr>
                <w:sz w:val="17"/>
                <w:szCs w:val="17"/>
                <w:color w:val="auto"/>
              </w:rPr>
            </w:pPr>
          </w:p>
        </w:tc>
        <w:tc>
          <w:tcPr>
            <w:tcW w:w="420" w:type="dxa"/>
            <w:vAlign w:val="bottom"/>
            <w:gridSpan w:val="2"/>
            <w:shd w:val="clear" w:color="auto" w:fill="819F7C"/>
          </w:tcPr>
          <w:p>
            <w:pPr>
              <w:spacing w:after="0"/>
              <w:rPr>
                <w:sz w:val="20"/>
                <w:szCs w:val="20"/>
                <w:color w:val="auto"/>
              </w:rPr>
            </w:pPr>
            <w:r>
              <w:rPr>
                <w:rFonts w:ascii="Arial" w:cs="Arial" w:eastAsia="Arial" w:hAnsi="Arial"/>
                <w:sz w:val="14"/>
                <w:szCs w:val="14"/>
                <w:b w:val="1"/>
                <w:bCs w:val="1"/>
                <w:color w:val="FFFFFF"/>
              </w:rPr>
              <w:t>EPS</w:t>
            </w:r>
          </w:p>
        </w:tc>
        <w:tc>
          <w:tcPr>
            <w:tcW w:w="320" w:type="dxa"/>
            <w:vAlign w:val="bottom"/>
            <w:shd w:val="clear" w:color="auto" w:fill="819F7C"/>
          </w:tcPr>
          <w:p>
            <w:pPr>
              <w:spacing w:after="0"/>
              <w:rPr>
                <w:sz w:val="17"/>
                <w:szCs w:val="17"/>
                <w:color w:val="auto"/>
              </w:rPr>
            </w:pPr>
          </w:p>
        </w:tc>
        <w:tc>
          <w:tcPr>
            <w:tcW w:w="760" w:type="dxa"/>
            <w:vAlign w:val="bottom"/>
            <w:gridSpan w:val="2"/>
            <w:shd w:val="clear" w:color="auto" w:fill="819F7C"/>
          </w:tcPr>
          <w:p>
            <w:pPr>
              <w:jc w:val="center"/>
              <w:ind w:right="140"/>
              <w:spacing w:after="0"/>
              <w:rPr>
                <w:sz w:val="20"/>
                <w:szCs w:val="20"/>
                <w:color w:val="auto"/>
              </w:rPr>
            </w:pPr>
            <w:r>
              <w:rPr>
                <w:rFonts w:ascii="Arial" w:cs="Arial" w:eastAsia="Arial" w:hAnsi="Arial"/>
                <w:sz w:val="14"/>
                <w:szCs w:val="14"/>
                <w:b w:val="1"/>
                <w:bCs w:val="1"/>
                <w:color w:val="FFFFFF"/>
              </w:rPr>
              <w:t>Income</w:t>
            </w:r>
          </w:p>
        </w:tc>
        <w:tc>
          <w:tcPr>
            <w:tcW w:w="180" w:type="dxa"/>
            <w:vAlign w:val="bottom"/>
            <w:shd w:val="clear" w:color="auto" w:fill="819F7C"/>
          </w:tcPr>
          <w:p>
            <w:pPr>
              <w:spacing w:after="0"/>
              <w:rPr>
                <w:sz w:val="17"/>
                <w:szCs w:val="17"/>
                <w:color w:val="auto"/>
              </w:rPr>
            </w:pPr>
          </w:p>
        </w:tc>
        <w:tc>
          <w:tcPr>
            <w:tcW w:w="100" w:type="dxa"/>
            <w:vAlign w:val="bottom"/>
            <w:shd w:val="clear" w:color="auto" w:fill="819F7C"/>
          </w:tcPr>
          <w:p>
            <w:pPr>
              <w:spacing w:after="0"/>
              <w:rPr>
                <w:sz w:val="17"/>
                <w:szCs w:val="17"/>
                <w:color w:val="auto"/>
              </w:rPr>
            </w:pPr>
          </w:p>
        </w:tc>
        <w:tc>
          <w:tcPr>
            <w:tcW w:w="440" w:type="dxa"/>
            <w:vAlign w:val="bottom"/>
            <w:gridSpan w:val="2"/>
            <w:shd w:val="clear" w:color="auto" w:fill="819F7C"/>
          </w:tcPr>
          <w:p>
            <w:pPr>
              <w:ind w:left="20"/>
              <w:spacing w:after="0"/>
              <w:rPr>
                <w:sz w:val="20"/>
                <w:szCs w:val="20"/>
                <w:color w:val="auto"/>
              </w:rPr>
            </w:pPr>
            <w:r>
              <w:rPr>
                <w:rFonts w:ascii="Arial" w:cs="Arial" w:eastAsia="Arial" w:hAnsi="Arial"/>
                <w:sz w:val="14"/>
                <w:szCs w:val="14"/>
                <w:b w:val="1"/>
                <w:bCs w:val="1"/>
                <w:color w:val="FFFFFF"/>
              </w:rPr>
              <w:t>EPS</w:t>
            </w:r>
          </w:p>
        </w:tc>
        <w:tc>
          <w:tcPr>
            <w:tcW w:w="120" w:type="dxa"/>
            <w:vAlign w:val="bottom"/>
            <w:shd w:val="clear" w:color="auto" w:fill="819F7C"/>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960" w:type="dxa"/>
            <w:vAlign w:val="bottom"/>
            <w:tcBorders>
              <w:right w:val="single" w:sz="8" w:color="E5E9E3"/>
            </w:tcBorders>
          </w:tcPr>
          <w:p>
            <w:pPr>
              <w:spacing w:after="0"/>
              <w:rPr>
                <w:sz w:val="18"/>
                <w:szCs w:val="18"/>
                <w:color w:val="auto"/>
              </w:rPr>
            </w:pPr>
          </w:p>
        </w:tc>
        <w:tc>
          <w:tcPr>
            <w:tcW w:w="5440" w:type="dxa"/>
            <w:vAlign w:val="bottom"/>
            <w:shd w:val="clear" w:color="auto" w:fill="E5E9E3"/>
          </w:tcPr>
          <w:p>
            <w:pPr>
              <w:ind w:left="40"/>
              <w:spacing w:after="0"/>
              <w:rPr>
                <w:sz w:val="20"/>
                <w:szCs w:val="20"/>
                <w:color w:val="auto"/>
              </w:rPr>
            </w:pPr>
            <w:r>
              <w:rPr>
                <w:rFonts w:ascii="Arial" w:cs="Arial" w:eastAsia="Arial" w:hAnsi="Arial"/>
                <w:sz w:val="14"/>
                <w:szCs w:val="14"/>
                <w:b w:val="1"/>
                <w:bCs w:val="1"/>
                <w:color w:val="auto"/>
              </w:rPr>
              <w:t>Net income (GAAP measure)</w:t>
            </w:r>
          </w:p>
        </w:tc>
        <w:tc>
          <w:tcPr>
            <w:tcW w:w="1060" w:type="dxa"/>
            <w:vAlign w:val="bottom"/>
            <w:gridSpan w:val="3"/>
            <w:shd w:val="clear" w:color="auto" w:fill="E5E9E3"/>
          </w:tcPr>
          <w:p>
            <w:pPr>
              <w:jc w:val="center"/>
              <w:ind w:left="108"/>
              <w:spacing w:after="0"/>
              <w:rPr>
                <w:sz w:val="20"/>
                <w:szCs w:val="20"/>
                <w:color w:val="auto"/>
              </w:rPr>
            </w:pPr>
            <w:r>
              <w:rPr>
                <w:rFonts w:ascii="Arial" w:cs="Arial" w:eastAsia="Arial" w:hAnsi="Arial"/>
                <w:sz w:val="14"/>
                <w:szCs w:val="14"/>
                <w:b w:val="1"/>
                <w:bCs w:val="1"/>
                <w:color w:val="auto"/>
              </w:rPr>
              <w:t>$296,181</w:t>
            </w:r>
          </w:p>
        </w:tc>
        <w:tc>
          <w:tcPr>
            <w:tcW w:w="300" w:type="dxa"/>
            <w:vAlign w:val="bottom"/>
            <w:gridSpan w:val="2"/>
            <w:shd w:val="clear" w:color="auto" w:fill="E5E9E3"/>
          </w:tcPr>
          <w:p>
            <w:pPr>
              <w:ind w:left="2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b w:val="1"/>
                <w:bCs w:val="1"/>
                <w:color w:val="auto"/>
              </w:rPr>
              <w:t>8.10</w:t>
            </w:r>
          </w:p>
        </w:tc>
        <w:tc>
          <w:tcPr>
            <w:tcW w:w="20" w:type="dxa"/>
            <w:vAlign w:val="bottom"/>
            <w:shd w:val="clear" w:color="auto" w:fill="E5E9E3"/>
          </w:tcPr>
          <w:p>
            <w:pPr>
              <w:spacing w:after="0"/>
              <w:rPr>
                <w:sz w:val="18"/>
                <w:szCs w:val="18"/>
                <w:color w:val="auto"/>
              </w:rPr>
            </w:pPr>
          </w:p>
        </w:tc>
        <w:tc>
          <w:tcPr>
            <w:tcW w:w="1080" w:type="dxa"/>
            <w:vAlign w:val="bottom"/>
            <w:gridSpan w:val="3"/>
            <w:shd w:val="clear" w:color="auto" w:fill="E5E9E3"/>
          </w:tcPr>
          <w:p>
            <w:pPr>
              <w:jc w:val="center"/>
              <w:ind w:left="89"/>
              <w:spacing w:after="0"/>
              <w:rPr>
                <w:sz w:val="20"/>
                <w:szCs w:val="20"/>
                <w:color w:val="auto"/>
              </w:rPr>
            </w:pPr>
            <w:r>
              <w:rPr>
                <w:rFonts w:ascii="Arial" w:cs="Arial" w:eastAsia="Arial" w:hAnsi="Arial"/>
                <w:sz w:val="14"/>
                <w:szCs w:val="14"/>
                <w:b w:val="1"/>
                <w:bCs w:val="1"/>
                <w:color w:val="auto"/>
              </w:rPr>
              <w:t>$247,913</w:t>
            </w:r>
          </w:p>
        </w:tc>
        <w:tc>
          <w:tcPr>
            <w:tcW w:w="280" w:type="dxa"/>
            <w:vAlign w:val="bottom"/>
            <w:gridSpan w:val="2"/>
            <w:shd w:val="clear" w:color="auto" w:fill="E5E9E3"/>
          </w:tcPr>
          <w:p>
            <w:pPr>
              <w:ind w:left="1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b w:val="1"/>
                <w:bCs w:val="1"/>
                <w:color w:val="auto"/>
              </w:rPr>
              <w:t>6.73</w:t>
            </w:r>
          </w:p>
        </w:tc>
        <w:tc>
          <w:tcPr>
            <w:tcW w:w="40" w:type="dxa"/>
            <w:vAlign w:val="bottom"/>
            <w:shd w:val="clear" w:color="auto" w:fill="E5E9E3"/>
          </w:tcPr>
          <w:p>
            <w:pPr>
              <w:spacing w:after="0"/>
              <w:rPr>
                <w:sz w:val="18"/>
                <w:szCs w:val="18"/>
                <w:color w:val="auto"/>
              </w:rPr>
            </w:pPr>
          </w:p>
        </w:tc>
        <w:tc>
          <w:tcPr>
            <w:tcW w:w="120" w:type="dxa"/>
            <w:vAlign w:val="bottom"/>
            <w:shd w:val="clear" w:color="auto" w:fill="E5E9E3"/>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960" w:type="dxa"/>
            <w:vAlign w:val="bottom"/>
          </w:tcPr>
          <w:p>
            <w:pPr>
              <w:spacing w:after="0"/>
              <w:rPr>
                <w:sz w:val="18"/>
                <w:szCs w:val="18"/>
                <w:color w:val="auto"/>
              </w:rPr>
            </w:pPr>
          </w:p>
        </w:tc>
        <w:tc>
          <w:tcPr>
            <w:tcW w:w="5440" w:type="dxa"/>
            <w:vAlign w:val="bottom"/>
          </w:tcPr>
          <w:p>
            <w:pPr>
              <w:ind w:left="180"/>
              <w:spacing w:after="0"/>
              <w:rPr>
                <w:sz w:val="20"/>
                <w:szCs w:val="20"/>
                <w:color w:val="auto"/>
              </w:rPr>
            </w:pPr>
            <w:r>
              <w:rPr>
                <w:rFonts w:ascii="Arial" w:cs="Arial" w:eastAsia="Arial" w:hAnsi="Arial"/>
                <w:sz w:val="14"/>
                <w:szCs w:val="14"/>
                <w:color w:val="auto"/>
              </w:rPr>
              <w:t>Items reconciling GAAP net income &amp; EPS to non-GAAP net income &amp; EPS: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960" w:type="dxa"/>
            <w:vAlign w:val="bottom"/>
            <w:tcBorders>
              <w:right w:val="single" w:sz="8" w:color="E5E9E3"/>
            </w:tcBorders>
          </w:tcPr>
          <w:p>
            <w:pPr>
              <w:spacing w:after="0"/>
              <w:rPr>
                <w:sz w:val="19"/>
                <w:szCs w:val="19"/>
                <w:color w:val="auto"/>
              </w:rPr>
            </w:pPr>
          </w:p>
        </w:tc>
        <w:tc>
          <w:tcPr>
            <w:tcW w:w="5440" w:type="dxa"/>
            <w:vAlign w:val="bottom"/>
            <w:shd w:val="clear" w:color="auto" w:fill="E5E9E3"/>
          </w:tcPr>
          <w:p>
            <w:pPr>
              <w:ind w:left="180"/>
              <w:spacing w:after="0"/>
              <w:rPr>
                <w:sz w:val="20"/>
                <w:szCs w:val="20"/>
                <w:color w:val="auto"/>
              </w:rPr>
            </w:pPr>
            <w:r>
              <w:rPr>
                <w:rFonts w:ascii="Arial" w:cs="Arial" w:eastAsia="Arial" w:hAnsi="Arial"/>
                <w:sz w:val="14"/>
                <w:szCs w:val="14"/>
                <w:color w:val="auto"/>
              </w:rPr>
              <w:t>Related to cost of revenues:</w:t>
            </w:r>
          </w:p>
        </w:tc>
        <w:tc>
          <w:tcPr>
            <w:tcW w:w="320" w:type="dxa"/>
            <w:vAlign w:val="bottom"/>
            <w:shd w:val="clear" w:color="auto" w:fill="E5E9E3"/>
          </w:tcPr>
          <w:p>
            <w:pPr>
              <w:spacing w:after="0"/>
              <w:rPr>
                <w:sz w:val="19"/>
                <w:szCs w:val="19"/>
                <w:color w:val="auto"/>
              </w:rPr>
            </w:pPr>
          </w:p>
        </w:tc>
        <w:tc>
          <w:tcPr>
            <w:tcW w:w="600" w:type="dxa"/>
            <w:vAlign w:val="bottom"/>
            <w:shd w:val="clear" w:color="auto" w:fill="E5E9E3"/>
          </w:tcPr>
          <w:p>
            <w:pPr>
              <w:spacing w:after="0"/>
              <w:rPr>
                <w:sz w:val="19"/>
                <w:szCs w:val="19"/>
                <w:color w:val="auto"/>
              </w:rPr>
            </w:pPr>
          </w:p>
        </w:tc>
        <w:tc>
          <w:tcPr>
            <w:tcW w:w="140" w:type="dxa"/>
            <w:vAlign w:val="bottom"/>
            <w:shd w:val="clear" w:color="auto" w:fill="E5E9E3"/>
          </w:tcPr>
          <w:p>
            <w:pPr>
              <w:spacing w:after="0"/>
              <w:rPr>
                <w:sz w:val="19"/>
                <w:szCs w:val="19"/>
                <w:color w:val="auto"/>
              </w:rPr>
            </w:pPr>
          </w:p>
        </w:tc>
        <w:tc>
          <w:tcPr>
            <w:tcW w:w="200" w:type="dxa"/>
            <w:vAlign w:val="bottom"/>
            <w:shd w:val="clear" w:color="auto" w:fill="E5E9E3"/>
          </w:tcPr>
          <w:p>
            <w:pPr>
              <w:spacing w:after="0"/>
              <w:rPr>
                <w:sz w:val="19"/>
                <w:szCs w:val="19"/>
                <w:color w:val="auto"/>
              </w:rPr>
            </w:pPr>
          </w:p>
        </w:tc>
        <w:tc>
          <w:tcPr>
            <w:tcW w:w="100" w:type="dxa"/>
            <w:vAlign w:val="bottom"/>
            <w:shd w:val="clear" w:color="auto" w:fill="E5E9E3"/>
          </w:tcPr>
          <w:p>
            <w:pPr>
              <w:spacing w:after="0"/>
              <w:rPr>
                <w:sz w:val="19"/>
                <w:szCs w:val="19"/>
                <w:color w:val="auto"/>
              </w:rPr>
            </w:pPr>
          </w:p>
        </w:tc>
        <w:tc>
          <w:tcPr>
            <w:tcW w:w="400" w:type="dxa"/>
            <w:vAlign w:val="bottom"/>
            <w:shd w:val="clear" w:color="auto" w:fill="E5E9E3"/>
          </w:tcPr>
          <w:p>
            <w:pPr>
              <w:spacing w:after="0"/>
              <w:rPr>
                <w:sz w:val="19"/>
                <w:szCs w:val="19"/>
                <w:color w:val="auto"/>
              </w:rPr>
            </w:pPr>
          </w:p>
        </w:tc>
        <w:tc>
          <w:tcPr>
            <w:tcW w:w="20" w:type="dxa"/>
            <w:vAlign w:val="bottom"/>
            <w:shd w:val="clear" w:color="auto" w:fill="E5E9E3"/>
          </w:tcPr>
          <w:p>
            <w:pPr>
              <w:spacing w:after="0"/>
              <w:rPr>
                <w:sz w:val="19"/>
                <w:szCs w:val="19"/>
                <w:color w:val="auto"/>
              </w:rPr>
            </w:pPr>
          </w:p>
        </w:tc>
        <w:tc>
          <w:tcPr>
            <w:tcW w:w="320" w:type="dxa"/>
            <w:vAlign w:val="bottom"/>
            <w:shd w:val="clear" w:color="auto" w:fill="E5E9E3"/>
          </w:tcPr>
          <w:p>
            <w:pPr>
              <w:spacing w:after="0"/>
              <w:rPr>
                <w:sz w:val="19"/>
                <w:szCs w:val="19"/>
                <w:color w:val="auto"/>
              </w:rPr>
            </w:pPr>
          </w:p>
        </w:tc>
        <w:tc>
          <w:tcPr>
            <w:tcW w:w="600" w:type="dxa"/>
            <w:vAlign w:val="bottom"/>
            <w:shd w:val="clear" w:color="auto" w:fill="E5E9E3"/>
          </w:tcPr>
          <w:p>
            <w:pPr>
              <w:spacing w:after="0"/>
              <w:rPr>
                <w:sz w:val="19"/>
                <w:szCs w:val="19"/>
                <w:color w:val="auto"/>
              </w:rPr>
            </w:pPr>
          </w:p>
        </w:tc>
        <w:tc>
          <w:tcPr>
            <w:tcW w:w="160" w:type="dxa"/>
            <w:vAlign w:val="bottom"/>
            <w:shd w:val="clear" w:color="auto" w:fill="E5E9E3"/>
          </w:tcPr>
          <w:p>
            <w:pPr>
              <w:spacing w:after="0"/>
              <w:rPr>
                <w:sz w:val="19"/>
                <w:szCs w:val="19"/>
                <w:color w:val="auto"/>
              </w:rPr>
            </w:pPr>
          </w:p>
        </w:tc>
        <w:tc>
          <w:tcPr>
            <w:tcW w:w="180" w:type="dxa"/>
            <w:vAlign w:val="bottom"/>
            <w:shd w:val="clear" w:color="auto" w:fill="E5E9E3"/>
          </w:tcPr>
          <w:p>
            <w:pPr>
              <w:spacing w:after="0"/>
              <w:rPr>
                <w:sz w:val="19"/>
                <w:szCs w:val="19"/>
                <w:color w:val="auto"/>
              </w:rPr>
            </w:pPr>
          </w:p>
        </w:tc>
        <w:tc>
          <w:tcPr>
            <w:tcW w:w="100" w:type="dxa"/>
            <w:vAlign w:val="bottom"/>
            <w:shd w:val="clear" w:color="auto" w:fill="E5E9E3"/>
          </w:tcPr>
          <w:p>
            <w:pPr>
              <w:spacing w:after="0"/>
              <w:rPr>
                <w:sz w:val="19"/>
                <w:szCs w:val="19"/>
                <w:color w:val="auto"/>
              </w:rPr>
            </w:pPr>
          </w:p>
        </w:tc>
        <w:tc>
          <w:tcPr>
            <w:tcW w:w="400" w:type="dxa"/>
            <w:vAlign w:val="bottom"/>
            <w:shd w:val="clear" w:color="auto" w:fill="E5E9E3"/>
          </w:tcPr>
          <w:p>
            <w:pPr>
              <w:spacing w:after="0"/>
              <w:rPr>
                <w:sz w:val="19"/>
                <w:szCs w:val="19"/>
                <w:color w:val="auto"/>
              </w:rPr>
            </w:pPr>
          </w:p>
        </w:tc>
        <w:tc>
          <w:tcPr>
            <w:tcW w:w="40" w:type="dxa"/>
            <w:vAlign w:val="bottom"/>
            <w:shd w:val="clear" w:color="auto" w:fill="E5E9E3"/>
          </w:tcPr>
          <w:p>
            <w:pPr>
              <w:spacing w:after="0"/>
              <w:rPr>
                <w:sz w:val="19"/>
                <w:szCs w:val="19"/>
                <w:color w:val="auto"/>
              </w:rPr>
            </w:pPr>
          </w:p>
        </w:tc>
        <w:tc>
          <w:tcPr>
            <w:tcW w:w="120" w:type="dxa"/>
            <w:vAlign w:val="bottom"/>
            <w:shd w:val="clear" w:color="auto" w:fill="E5E9E3"/>
          </w:tcPr>
          <w:p>
            <w:pPr>
              <w:spacing w:after="0"/>
              <w:rPr>
                <w:sz w:val="19"/>
                <w:szCs w:val="19"/>
                <w:color w:val="auto"/>
              </w:rPr>
            </w:pPr>
          </w:p>
        </w:tc>
        <w:tc>
          <w:tcPr>
            <w:tcW w:w="920" w:type="dxa"/>
            <w:vAlign w:val="bottom"/>
          </w:tcPr>
          <w:p>
            <w:pPr>
              <w:spacing w:after="0"/>
              <w:rPr>
                <w:sz w:val="19"/>
                <w:szCs w:val="19"/>
                <w:color w:val="auto"/>
              </w:rPr>
            </w:pPr>
          </w:p>
        </w:tc>
      </w:tr>
      <w:tr>
        <w:trPr>
          <w:trHeight w:val="208"/>
        </w:trPr>
        <w:tc>
          <w:tcPr>
            <w:tcW w:w="96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4"/>
                <w:szCs w:val="14"/>
                <w:color w:val="auto"/>
              </w:rPr>
              <w:t>Share-based compensation expenses</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0.20</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6,664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54"/>
        </w:trPr>
        <w:tc>
          <w:tcPr>
            <w:tcW w:w="960" w:type="dxa"/>
            <w:vAlign w:val="bottom"/>
          </w:tcPr>
          <w:p>
            <w:pPr>
              <w:spacing w:after="0"/>
              <w:rPr>
                <w:sz w:val="4"/>
                <w:szCs w:val="4"/>
                <w:color w:val="auto"/>
              </w:rPr>
            </w:pPr>
          </w:p>
        </w:tc>
        <w:tc>
          <w:tcPr>
            <w:tcW w:w="5440" w:type="dxa"/>
            <w:vAlign w:val="bottom"/>
            <w:tcBorders>
              <w:bottom w:val="single" w:sz="8" w:color="E5E9E3"/>
            </w:tcBorders>
          </w:tcPr>
          <w:p>
            <w:pPr>
              <w:spacing w:after="0"/>
              <w:rPr>
                <w:sz w:val="4"/>
                <w:szCs w:val="4"/>
                <w:color w:val="auto"/>
              </w:rPr>
            </w:pPr>
          </w:p>
        </w:tc>
        <w:tc>
          <w:tcPr>
            <w:tcW w:w="320" w:type="dxa"/>
            <w:vAlign w:val="bottom"/>
            <w:tcBorders>
              <w:bottom w:val="single" w:sz="8" w:color="E5E9E3"/>
            </w:tcBorders>
          </w:tcPr>
          <w:p>
            <w:pPr>
              <w:spacing w:after="0"/>
              <w:rPr>
                <w:sz w:val="4"/>
                <w:szCs w:val="4"/>
                <w:color w:val="auto"/>
              </w:rPr>
            </w:pPr>
          </w:p>
        </w:tc>
        <w:tc>
          <w:tcPr>
            <w:tcW w:w="600" w:type="dxa"/>
            <w:vAlign w:val="bottom"/>
            <w:tcBorders>
              <w:bottom w:val="single" w:sz="8" w:color="E5E9E3"/>
            </w:tcBorders>
          </w:tcPr>
          <w:p>
            <w:pPr>
              <w:spacing w:after="0"/>
              <w:rPr>
                <w:sz w:val="4"/>
                <w:szCs w:val="4"/>
                <w:color w:val="auto"/>
              </w:rPr>
            </w:pPr>
          </w:p>
        </w:tc>
        <w:tc>
          <w:tcPr>
            <w:tcW w:w="140" w:type="dxa"/>
            <w:vAlign w:val="bottom"/>
            <w:tcBorders>
              <w:bottom w:val="single" w:sz="8" w:color="E5E9E3"/>
            </w:tcBorders>
          </w:tcPr>
          <w:p>
            <w:pPr>
              <w:spacing w:after="0"/>
              <w:rPr>
                <w:sz w:val="4"/>
                <w:szCs w:val="4"/>
                <w:color w:val="auto"/>
              </w:rPr>
            </w:pPr>
          </w:p>
        </w:tc>
        <w:tc>
          <w:tcPr>
            <w:tcW w:w="200" w:type="dxa"/>
            <w:vAlign w:val="bottom"/>
            <w:tcBorders>
              <w:bottom w:val="single" w:sz="8" w:color="E5E9E3"/>
            </w:tcBorders>
          </w:tcPr>
          <w:p>
            <w:pPr>
              <w:spacing w:after="0"/>
              <w:rPr>
                <w:sz w:val="4"/>
                <w:szCs w:val="4"/>
                <w:color w:val="auto"/>
              </w:rPr>
            </w:pPr>
          </w:p>
        </w:tc>
        <w:tc>
          <w:tcPr>
            <w:tcW w:w="100" w:type="dxa"/>
            <w:vAlign w:val="bottom"/>
            <w:tcBorders>
              <w:bottom w:val="single" w:sz="8" w:color="E5E9E3"/>
            </w:tcBorders>
          </w:tcPr>
          <w:p>
            <w:pPr>
              <w:spacing w:after="0"/>
              <w:rPr>
                <w:sz w:val="4"/>
                <w:szCs w:val="4"/>
                <w:color w:val="auto"/>
              </w:rPr>
            </w:pPr>
          </w:p>
        </w:tc>
        <w:tc>
          <w:tcPr>
            <w:tcW w:w="400" w:type="dxa"/>
            <w:vAlign w:val="bottom"/>
            <w:tcBorders>
              <w:bottom w:val="single" w:sz="8" w:color="E5E9E3"/>
            </w:tcBorders>
          </w:tcPr>
          <w:p>
            <w:pPr>
              <w:spacing w:after="0"/>
              <w:rPr>
                <w:sz w:val="4"/>
                <w:szCs w:val="4"/>
                <w:color w:val="auto"/>
              </w:rPr>
            </w:pPr>
          </w:p>
        </w:tc>
        <w:tc>
          <w:tcPr>
            <w:tcW w:w="20" w:type="dxa"/>
            <w:vAlign w:val="bottom"/>
            <w:tcBorders>
              <w:bottom w:val="single" w:sz="8" w:color="E5E9E3"/>
            </w:tcBorders>
          </w:tcPr>
          <w:p>
            <w:pPr>
              <w:spacing w:after="0"/>
              <w:rPr>
                <w:sz w:val="4"/>
                <w:szCs w:val="4"/>
                <w:color w:val="auto"/>
              </w:rPr>
            </w:pPr>
          </w:p>
        </w:tc>
        <w:tc>
          <w:tcPr>
            <w:tcW w:w="320" w:type="dxa"/>
            <w:vAlign w:val="bottom"/>
            <w:tcBorders>
              <w:bottom w:val="single" w:sz="8" w:color="E5E9E3"/>
            </w:tcBorders>
          </w:tcPr>
          <w:p>
            <w:pPr>
              <w:spacing w:after="0"/>
              <w:rPr>
                <w:sz w:val="4"/>
                <w:szCs w:val="4"/>
                <w:color w:val="auto"/>
              </w:rPr>
            </w:pPr>
          </w:p>
        </w:tc>
        <w:tc>
          <w:tcPr>
            <w:tcW w:w="600" w:type="dxa"/>
            <w:vAlign w:val="bottom"/>
            <w:tcBorders>
              <w:bottom w:val="single" w:sz="8" w:color="E5E9E3"/>
            </w:tcBorders>
          </w:tcPr>
          <w:p>
            <w:pPr>
              <w:spacing w:after="0"/>
              <w:rPr>
                <w:sz w:val="4"/>
                <w:szCs w:val="4"/>
                <w:color w:val="auto"/>
              </w:rPr>
            </w:pPr>
          </w:p>
        </w:tc>
        <w:tc>
          <w:tcPr>
            <w:tcW w:w="160" w:type="dxa"/>
            <w:vAlign w:val="bottom"/>
            <w:tcBorders>
              <w:bottom w:val="single" w:sz="8" w:color="E5E9E3"/>
            </w:tcBorders>
          </w:tcPr>
          <w:p>
            <w:pPr>
              <w:spacing w:after="0"/>
              <w:rPr>
                <w:sz w:val="4"/>
                <w:szCs w:val="4"/>
                <w:color w:val="auto"/>
              </w:rPr>
            </w:pPr>
          </w:p>
        </w:tc>
        <w:tc>
          <w:tcPr>
            <w:tcW w:w="180" w:type="dxa"/>
            <w:vAlign w:val="bottom"/>
            <w:tcBorders>
              <w:bottom w:val="single" w:sz="8" w:color="E5E9E3"/>
            </w:tcBorders>
          </w:tcPr>
          <w:p>
            <w:pPr>
              <w:spacing w:after="0"/>
              <w:rPr>
                <w:sz w:val="4"/>
                <w:szCs w:val="4"/>
                <w:color w:val="auto"/>
              </w:rPr>
            </w:pPr>
          </w:p>
        </w:tc>
        <w:tc>
          <w:tcPr>
            <w:tcW w:w="100" w:type="dxa"/>
            <w:vAlign w:val="bottom"/>
            <w:tcBorders>
              <w:bottom w:val="single" w:sz="8" w:color="E5E9E3"/>
            </w:tcBorders>
          </w:tcPr>
          <w:p>
            <w:pPr>
              <w:spacing w:after="0"/>
              <w:rPr>
                <w:sz w:val="4"/>
                <w:szCs w:val="4"/>
                <w:color w:val="auto"/>
              </w:rPr>
            </w:pPr>
          </w:p>
        </w:tc>
        <w:tc>
          <w:tcPr>
            <w:tcW w:w="400" w:type="dxa"/>
            <w:vAlign w:val="bottom"/>
            <w:tcBorders>
              <w:bottom w:val="single" w:sz="8" w:color="E5E9E3"/>
            </w:tcBorders>
          </w:tcPr>
          <w:p>
            <w:pPr>
              <w:spacing w:after="0"/>
              <w:rPr>
                <w:sz w:val="4"/>
                <w:szCs w:val="4"/>
                <w:color w:val="auto"/>
              </w:rPr>
            </w:pPr>
          </w:p>
        </w:tc>
        <w:tc>
          <w:tcPr>
            <w:tcW w:w="40" w:type="dxa"/>
            <w:vAlign w:val="bottom"/>
            <w:tcBorders>
              <w:bottom w:val="single" w:sz="8" w:color="E5E9E3"/>
            </w:tcBorders>
          </w:tcPr>
          <w:p>
            <w:pPr>
              <w:spacing w:after="0"/>
              <w:rPr>
                <w:sz w:val="4"/>
                <w:szCs w:val="4"/>
                <w:color w:val="auto"/>
              </w:rPr>
            </w:pPr>
          </w:p>
        </w:tc>
        <w:tc>
          <w:tcPr>
            <w:tcW w:w="120" w:type="dxa"/>
            <w:vAlign w:val="bottom"/>
            <w:tcBorders>
              <w:bottom w:val="single" w:sz="8" w:color="E5E9E3"/>
            </w:tcBorders>
          </w:tcPr>
          <w:p>
            <w:pPr>
              <w:spacing w:after="0"/>
              <w:rPr>
                <w:sz w:val="4"/>
                <w:szCs w:val="4"/>
                <w:color w:val="auto"/>
              </w:rPr>
            </w:pPr>
          </w:p>
        </w:tc>
        <w:tc>
          <w:tcPr>
            <w:tcW w:w="920" w:type="dxa"/>
            <w:vAlign w:val="bottom"/>
          </w:tcPr>
          <w:p>
            <w:pPr>
              <w:spacing w:after="0"/>
              <w:rPr>
                <w:sz w:val="4"/>
                <w:szCs w:val="4"/>
                <w:color w:val="auto"/>
              </w:rPr>
            </w:pPr>
          </w:p>
        </w:tc>
      </w:tr>
      <w:tr>
        <w:trPr>
          <w:trHeight w:val="183"/>
        </w:trPr>
        <w:tc>
          <w:tcPr>
            <w:tcW w:w="960" w:type="dxa"/>
            <w:vAlign w:val="bottom"/>
            <w:tcBorders>
              <w:right w:val="single" w:sz="8" w:color="E5E9E3"/>
            </w:tcBorders>
          </w:tcPr>
          <w:p>
            <w:pPr>
              <w:spacing w:after="0"/>
              <w:rPr>
                <w:sz w:val="15"/>
                <w:szCs w:val="15"/>
                <w:color w:val="auto"/>
              </w:rPr>
            </w:pPr>
          </w:p>
        </w:tc>
        <w:tc>
          <w:tcPr>
            <w:tcW w:w="5440" w:type="dxa"/>
            <w:vAlign w:val="bottom"/>
            <w:tcBorders>
              <w:top w:val="single" w:sz="8" w:color="E5E9E3"/>
            </w:tcBorders>
            <w:shd w:val="clear" w:color="auto" w:fill="E5E9E3"/>
          </w:tcPr>
          <w:p>
            <w:pPr>
              <w:ind w:left="180"/>
              <w:spacing w:after="0"/>
              <w:rPr>
                <w:sz w:val="20"/>
                <w:szCs w:val="20"/>
                <w:color w:val="auto"/>
              </w:rPr>
            </w:pPr>
            <w:r>
              <w:rPr>
                <w:rFonts w:ascii="Arial" w:cs="Arial" w:eastAsia="Arial" w:hAnsi="Arial"/>
                <w:sz w:val="14"/>
                <w:szCs w:val="14"/>
                <w:color w:val="auto"/>
              </w:rPr>
              <w:t>Total related to gross profit</w:t>
            </w:r>
          </w:p>
        </w:tc>
        <w:tc>
          <w:tcPr>
            <w:tcW w:w="320" w:type="dxa"/>
            <w:vAlign w:val="bottom"/>
            <w:tcBorders>
              <w:top w:val="single" w:sz="8" w:color="E5E9E3"/>
            </w:tcBorders>
            <w:shd w:val="clear" w:color="auto" w:fill="E5E9E3"/>
          </w:tcPr>
          <w:p>
            <w:pPr>
              <w:spacing w:after="0"/>
              <w:rPr>
                <w:sz w:val="15"/>
                <w:szCs w:val="15"/>
                <w:color w:val="auto"/>
              </w:rPr>
            </w:pPr>
          </w:p>
        </w:tc>
        <w:tc>
          <w:tcPr>
            <w:tcW w:w="6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7,203</w:t>
            </w:r>
          </w:p>
        </w:tc>
        <w:tc>
          <w:tcPr>
            <w:tcW w:w="140" w:type="dxa"/>
            <w:vAlign w:val="bottom"/>
            <w:tcBorders>
              <w:top w:val="single" w:sz="8" w:color="E5E9E3"/>
            </w:tcBorders>
            <w:shd w:val="clear" w:color="auto" w:fill="E5E9E3"/>
          </w:tcPr>
          <w:p>
            <w:pPr>
              <w:spacing w:after="0"/>
              <w:rPr>
                <w:sz w:val="15"/>
                <w:szCs w:val="15"/>
                <w:color w:val="auto"/>
              </w:rPr>
            </w:pPr>
          </w:p>
        </w:tc>
        <w:tc>
          <w:tcPr>
            <w:tcW w:w="200" w:type="dxa"/>
            <w:vAlign w:val="bottom"/>
            <w:tcBorders>
              <w:top w:val="single" w:sz="8" w:color="E5E9E3"/>
            </w:tcBorders>
            <w:shd w:val="clear" w:color="auto" w:fill="E5E9E3"/>
          </w:tcPr>
          <w:p>
            <w:pPr>
              <w:spacing w:after="0"/>
              <w:rPr>
                <w:sz w:val="15"/>
                <w:szCs w:val="15"/>
                <w:color w:val="auto"/>
              </w:rPr>
            </w:pPr>
          </w:p>
        </w:tc>
        <w:tc>
          <w:tcPr>
            <w:tcW w:w="100" w:type="dxa"/>
            <w:vAlign w:val="bottom"/>
            <w:tcBorders>
              <w:top w:val="single" w:sz="8" w:color="auto"/>
            </w:tcBorders>
            <w:shd w:val="clear" w:color="auto" w:fill="E5E9E3"/>
          </w:tcPr>
          <w:p>
            <w:pPr>
              <w:spacing w:after="0"/>
              <w:rPr>
                <w:sz w:val="15"/>
                <w:szCs w:val="15"/>
                <w:color w:val="auto"/>
              </w:rPr>
            </w:pPr>
          </w:p>
        </w:tc>
        <w:tc>
          <w:tcPr>
            <w:tcW w:w="4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0.20</w:t>
            </w:r>
          </w:p>
        </w:tc>
        <w:tc>
          <w:tcPr>
            <w:tcW w:w="20" w:type="dxa"/>
            <w:vAlign w:val="bottom"/>
            <w:tcBorders>
              <w:top w:val="single" w:sz="8" w:color="E5E9E3"/>
            </w:tcBorders>
            <w:shd w:val="clear" w:color="auto" w:fill="E5E9E3"/>
          </w:tcPr>
          <w:p>
            <w:pPr>
              <w:spacing w:after="0"/>
              <w:rPr>
                <w:sz w:val="15"/>
                <w:szCs w:val="15"/>
                <w:color w:val="auto"/>
              </w:rPr>
            </w:pPr>
          </w:p>
        </w:tc>
        <w:tc>
          <w:tcPr>
            <w:tcW w:w="320" w:type="dxa"/>
            <w:vAlign w:val="bottom"/>
            <w:tcBorders>
              <w:top w:val="single" w:sz="8" w:color="E5E9E3"/>
            </w:tcBorders>
            <w:shd w:val="clear" w:color="auto" w:fill="E5E9E3"/>
          </w:tcPr>
          <w:p>
            <w:pPr>
              <w:spacing w:after="0"/>
              <w:rPr>
                <w:sz w:val="15"/>
                <w:szCs w:val="15"/>
                <w:color w:val="auto"/>
              </w:rPr>
            </w:pPr>
          </w:p>
        </w:tc>
        <w:tc>
          <w:tcPr>
            <w:tcW w:w="6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6,664</w:t>
            </w:r>
          </w:p>
        </w:tc>
        <w:tc>
          <w:tcPr>
            <w:tcW w:w="160" w:type="dxa"/>
            <w:vAlign w:val="bottom"/>
            <w:tcBorders>
              <w:top w:val="single" w:sz="8" w:color="E5E9E3"/>
            </w:tcBorders>
            <w:shd w:val="clear" w:color="auto" w:fill="E5E9E3"/>
          </w:tcPr>
          <w:p>
            <w:pPr>
              <w:spacing w:after="0"/>
              <w:rPr>
                <w:sz w:val="15"/>
                <w:szCs w:val="15"/>
                <w:color w:val="auto"/>
              </w:rPr>
            </w:pPr>
          </w:p>
        </w:tc>
        <w:tc>
          <w:tcPr>
            <w:tcW w:w="180" w:type="dxa"/>
            <w:vAlign w:val="bottom"/>
            <w:tcBorders>
              <w:top w:val="single" w:sz="8" w:color="E5E9E3"/>
            </w:tcBorders>
            <w:shd w:val="clear" w:color="auto" w:fill="E5E9E3"/>
          </w:tcPr>
          <w:p>
            <w:pPr>
              <w:spacing w:after="0"/>
              <w:rPr>
                <w:sz w:val="15"/>
                <w:szCs w:val="15"/>
                <w:color w:val="auto"/>
              </w:rPr>
            </w:pPr>
          </w:p>
        </w:tc>
        <w:tc>
          <w:tcPr>
            <w:tcW w:w="100" w:type="dxa"/>
            <w:vAlign w:val="bottom"/>
            <w:tcBorders>
              <w:top w:val="single" w:sz="8" w:color="auto"/>
            </w:tcBorders>
            <w:shd w:val="clear" w:color="auto" w:fill="E5E9E3"/>
          </w:tcPr>
          <w:p>
            <w:pPr>
              <w:spacing w:after="0"/>
              <w:rPr>
                <w:sz w:val="15"/>
                <w:szCs w:val="15"/>
                <w:color w:val="auto"/>
              </w:rPr>
            </w:pPr>
          </w:p>
        </w:tc>
        <w:tc>
          <w:tcPr>
            <w:tcW w:w="4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0.18</w:t>
            </w:r>
          </w:p>
        </w:tc>
        <w:tc>
          <w:tcPr>
            <w:tcW w:w="40" w:type="dxa"/>
            <w:vAlign w:val="bottom"/>
            <w:tcBorders>
              <w:top w:val="single" w:sz="8" w:color="E5E9E3"/>
            </w:tcBorders>
            <w:shd w:val="clear" w:color="auto" w:fill="E5E9E3"/>
          </w:tcPr>
          <w:p>
            <w:pPr>
              <w:spacing w:after="0"/>
              <w:rPr>
                <w:sz w:val="15"/>
                <w:szCs w:val="15"/>
                <w:color w:val="auto"/>
              </w:rPr>
            </w:pPr>
          </w:p>
        </w:tc>
        <w:tc>
          <w:tcPr>
            <w:tcW w:w="120" w:type="dxa"/>
            <w:vAlign w:val="bottom"/>
            <w:tcBorders>
              <w:top w:val="single" w:sz="8" w:color="E5E9E3"/>
            </w:tcBorders>
            <w:shd w:val="clear" w:color="auto" w:fill="E5E9E3"/>
          </w:tcPr>
          <w:p>
            <w:pPr>
              <w:spacing w:after="0"/>
              <w:rPr>
                <w:sz w:val="15"/>
                <w:szCs w:val="15"/>
                <w:color w:val="auto"/>
              </w:rPr>
            </w:pPr>
          </w:p>
        </w:tc>
        <w:tc>
          <w:tcPr>
            <w:tcW w:w="920" w:type="dxa"/>
            <w:vAlign w:val="bottom"/>
          </w:tcPr>
          <w:p>
            <w:pPr>
              <w:spacing w:after="0"/>
              <w:rPr>
                <w:sz w:val="15"/>
                <w:szCs w:val="15"/>
                <w:color w:val="auto"/>
              </w:rPr>
            </w:pPr>
          </w:p>
        </w:tc>
      </w:tr>
      <w:tr>
        <w:trPr>
          <w:trHeight w:val="212"/>
        </w:trPr>
        <w:tc>
          <w:tcPr>
            <w:tcW w:w="960" w:type="dxa"/>
            <w:vAlign w:val="bottom"/>
          </w:tcPr>
          <w:p>
            <w:pPr>
              <w:spacing w:after="0"/>
              <w:rPr>
                <w:sz w:val="18"/>
                <w:szCs w:val="18"/>
                <w:color w:val="auto"/>
              </w:rPr>
            </w:pPr>
          </w:p>
        </w:tc>
        <w:tc>
          <w:tcPr>
            <w:tcW w:w="5440" w:type="dxa"/>
            <w:vAlign w:val="bottom"/>
          </w:tcPr>
          <w:p>
            <w:pPr>
              <w:ind w:left="180"/>
              <w:spacing w:after="0"/>
              <w:rPr>
                <w:sz w:val="20"/>
                <w:szCs w:val="20"/>
                <w:color w:val="auto"/>
              </w:rPr>
            </w:pPr>
            <w:r>
              <w:rPr>
                <w:rFonts w:ascii="Arial" w:cs="Arial" w:eastAsia="Arial" w:hAnsi="Arial"/>
                <w:sz w:val="14"/>
                <w:szCs w:val="14"/>
                <w:color w:val="auto"/>
              </w:rPr>
              <w:t>Related to selling, general and administrative expenses: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960" w:type="dxa"/>
            <w:vAlign w:val="bottom"/>
            <w:tcBorders>
              <w:right w:val="single" w:sz="8" w:color="E5E9E3"/>
            </w:tcBorders>
          </w:tcPr>
          <w:p>
            <w:pPr>
              <w:spacing w:after="0"/>
              <w:rPr>
                <w:sz w:val="19"/>
                <w:szCs w:val="19"/>
                <w:color w:val="auto"/>
              </w:rPr>
            </w:pPr>
          </w:p>
        </w:tc>
        <w:tc>
          <w:tcPr>
            <w:tcW w:w="5440" w:type="dxa"/>
            <w:vAlign w:val="bottom"/>
            <w:shd w:val="clear" w:color="auto" w:fill="E5E9E3"/>
          </w:tcPr>
          <w:p>
            <w:pPr>
              <w:ind w:left="320"/>
              <w:spacing w:after="0"/>
              <w:rPr>
                <w:sz w:val="20"/>
                <w:szCs w:val="20"/>
                <w:color w:val="auto"/>
              </w:rPr>
            </w:pPr>
            <w:r>
              <w:rPr>
                <w:rFonts w:ascii="Arial" w:cs="Arial" w:eastAsia="Arial" w:hAnsi="Arial"/>
                <w:sz w:val="14"/>
                <w:szCs w:val="14"/>
                <w:color w:val="auto"/>
              </w:rPr>
              <w:t>Share-based compensation expenses</w:t>
            </w:r>
          </w:p>
        </w:tc>
        <w:tc>
          <w:tcPr>
            <w:tcW w:w="92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21,171</w:t>
            </w:r>
          </w:p>
        </w:tc>
        <w:tc>
          <w:tcPr>
            <w:tcW w:w="140" w:type="dxa"/>
            <w:vAlign w:val="bottom"/>
            <w:shd w:val="clear" w:color="auto" w:fill="E5E9E3"/>
          </w:tcPr>
          <w:p>
            <w:pPr>
              <w:spacing w:after="0"/>
              <w:rPr>
                <w:sz w:val="19"/>
                <w:szCs w:val="19"/>
                <w:color w:val="auto"/>
              </w:rPr>
            </w:pPr>
          </w:p>
        </w:tc>
        <w:tc>
          <w:tcPr>
            <w:tcW w:w="200" w:type="dxa"/>
            <w:vAlign w:val="bottom"/>
            <w:shd w:val="clear" w:color="auto" w:fill="E5E9E3"/>
          </w:tcPr>
          <w:p>
            <w:pPr>
              <w:spacing w:after="0"/>
              <w:rPr>
                <w:sz w:val="19"/>
                <w:szCs w:val="19"/>
                <w:color w:val="auto"/>
              </w:rPr>
            </w:pPr>
          </w:p>
        </w:tc>
        <w:tc>
          <w:tcPr>
            <w:tcW w:w="100" w:type="dxa"/>
            <w:vAlign w:val="bottom"/>
            <w:shd w:val="clear" w:color="auto" w:fill="E5E9E3"/>
          </w:tcPr>
          <w:p>
            <w:pPr>
              <w:spacing w:after="0"/>
              <w:rPr>
                <w:sz w:val="19"/>
                <w:szCs w:val="19"/>
                <w:color w:val="auto"/>
              </w:rPr>
            </w:pP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0.58</w:t>
            </w:r>
          </w:p>
        </w:tc>
        <w:tc>
          <w:tcPr>
            <w:tcW w:w="20" w:type="dxa"/>
            <w:vAlign w:val="bottom"/>
            <w:shd w:val="clear" w:color="auto" w:fill="E5E9E3"/>
          </w:tcPr>
          <w:p>
            <w:pPr>
              <w:spacing w:after="0"/>
              <w:rPr>
                <w:sz w:val="19"/>
                <w:szCs w:val="19"/>
                <w:color w:val="auto"/>
              </w:rPr>
            </w:pPr>
          </w:p>
        </w:tc>
        <w:tc>
          <w:tcPr>
            <w:tcW w:w="92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20,939</w:t>
            </w:r>
          </w:p>
        </w:tc>
        <w:tc>
          <w:tcPr>
            <w:tcW w:w="160" w:type="dxa"/>
            <w:vAlign w:val="bottom"/>
            <w:shd w:val="clear" w:color="auto" w:fill="E5E9E3"/>
          </w:tcPr>
          <w:p>
            <w:pPr>
              <w:spacing w:after="0"/>
              <w:rPr>
                <w:sz w:val="19"/>
                <w:szCs w:val="19"/>
                <w:color w:val="auto"/>
              </w:rPr>
            </w:pPr>
          </w:p>
        </w:tc>
        <w:tc>
          <w:tcPr>
            <w:tcW w:w="180" w:type="dxa"/>
            <w:vAlign w:val="bottom"/>
            <w:shd w:val="clear" w:color="auto" w:fill="E5E9E3"/>
          </w:tcPr>
          <w:p>
            <w:pPr>
              <w:spacing w:after="0"/>
              <w:rPr>
                <w:sz w:val="19"/>
                <w:szCs w:val="19"/>
                <w:color w:val="auto"/>
              </w:rPr>
            </w:pPr>
          </w:p>
        </w:tc>
        <w:tc>
          <w:tcPr>
            <w:tcW w:w="100" w:type="dxa"/>
            <w:vAlign w:val="bottom"/>
            <w:shd w:val="clear" w:color="auto" w:fill="E5E9E3"/>
          </w:tcPr>
          <w:p>
            <w:pPr>
              <w:spacing w:after="0"/>
              <w:rPr>
                <w:sz w:val="19"/>
                <w:szCs w:val="19"/>
                <w:color w:val="auto"/>
              </w:rPr>
            </w:pP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0.57</w:t>
            </w:r>
          </w:p>
        </w:tc>
        <w:tc>
          <w:tcPr>
            <w:tcW w:w="40" w:type="dxa"/>
            <w:vAlign w:val="bottom"/>
            <w:shd w:val="clear" w:color="auto" w:fill="E5E9E3"/>
          </w:tcPr>
          <w:p>
            <w:pPr>
              <w:spacing w:after="0"/>
              <w:rPr>
                <w:sz w:val="19"/>
                <w:szCs w:val="19"/>
                <w:color w:val="auto"/>
              </w:rPr>
            </w:pPr>
          </w:p>
        </w:tc>
        <w:tc>
          <w:tcPr>
            <w:tcW w:w="120" w:type="dxa"/>
            <w:vAlign w:val="bottom"/>
            <w:shd w:val="clear" w:color="auto" w:fill="E5E9E3"/>
          </w:tcPr>
          <w:p>
            <w:pPr>
              <w:spacing w:after="0"/>
              <w:rPr>
                <w:sz w:val="19"/>
                <w:szCs w:val="19"/>
                <w:color w:val="auto"/>
              </w:rPr>
            </w:pPr>
          </w:p>
        </w:tc>
        <w:tc>
          <w:tcPr>
            <w:tcW w:w="920" w:type="dxa"/>
            <w:vAlign w:val="bottom"/>
          </w:tcPr>
          <w:p>
            <w:pPr>
              <w:spacing w:after="0"/>
              <w:rPr>
                <w:sz w:val="19"/>
                <w:szCs w:val="19"/>
                <w:color w:val="auto"/>
              </w:rPr>
            </w:pPr>
          </w:p>
        </w:tc>
      </w:tr>
      <w:tr>
        <w:trPr>
          <w:trHeight w:val="208"/>
        </w:trPr>
        <w:tc>
          <w:tcPr>
            <w:tcW w:w="96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4"/>
                <w:szCs w:val="14"/>
                <w:color w:val="auto"/>
              </w:rPr>
              <w:t>Amortization of intangibles</w:t>
            </w: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53"/>
        </w:trPr>
        <w:tc>
          <w:tcPr>
            <w:tcW w:w="960" w:type="dxa"/>
            <w:vAlign w:val="bottom"/>
          </w:tcPr>
          <w:p>
            <w:pPr>
              <w:spacing w:after="0"/>
              <w:rPr>
                <w:sz w:val="4"/>
                <w:szCs w:val="4"/>
                <w:color w:val="auto"/>
              </w:rPr>
            </w:pPr>
          </w:p>
        </w:tc>
        <w:tc>
          <w:tcPr>
            <w:tcW w:w="5440" w:type="dxa"/>
            <w:vAlign w:val="bottom"/>
            <w:tcBorders>
              <w:bottom w:val="single" w:sz="8" w:color="E5E9E3"/>
            </w:tcBorders>
          </w:tcPr>
          <w:p>
            <w:pPr>
              <w:spacing w:after="0"/>
              <w:rPr>
                <w:sz w:val="4"/>
                <w:szCs w:val="4"/>
                <w:color w:val="auto"/>
              </w:rPr>
            </w:pPr>
          </w:p>
        </w:tc>
        <w:tc>
          <w:tcPr>
            <w:tcW w:w="320" w:type="dxa"/>
            <w:vAlign w:val="bottom"/>
            <w:tcBorders>
              <w:bottom w:val="single" w:sz="8" w:color="E5E9E3"/>
            </w:tcBorders>
          </w:tcPr>
          <w:p>
            <w:pPr>
              <w:spacing w:after="0"/>
              <w:rPr>
                <w:sz w:val="4"/>
                <w:szCs w:val="4"/>
                <w:color w:val="auto"/>
              </w:rPr>
            </w:pPr>
          </w:p>
        </w:tc>
        <w:tc>
          <w:tcPr>
            <w:tcW w:w="600" w:type="dxa"/>
            <w:vAlign w:val="bottom"/>
            <w:tcBorders>
              <w:bottom w:val="single" w:sz="8" w:color="E5E9E3"/>
            </w:tcBorders>
          </w:tcPr>
          <w:p>
            <w:pPr>
              <w:spacing w:after="0"/>
              <w:rPr>
                <w:sz w:val="4"/>
                <w:szCs w:val="4"/>
                <w:color w:val="auto"/>
              </w:rPr>
            </w:pPr>
          </w:p>
        </w:tc>
        <w:tc>
          <w:tcPr>
            <w:tcW w:w="140" w:type="dxa"/>
            <w:vAlign w:val="bottom"/>
            <w:tcBorders>
              <w:bottom w:val="single" w:sz="8" w:color="E5E9E3"/>
            </w:tcBorders>
          </w:tcPr>
          <w:p>
            <w:pPr>
              <w:spacing w:after="0"/>
              <w:rPr>
                <w:sz w:val="4"/>
                <w:szCs w:val="4"/>
                <w:color w:val="auto"/>
              </w:rPr>
            </w:pPr>
          </w:p>
        </w:tc>
        <w:tc>
          <w:tcPr>
            <w:tcW w:w="200" w:type="dxa"/>
            <w:vAlign w:val="bottom"/>
            <w:tcBorders>
              <w:bottom w:val="single" w:sz="8" w:color="E5E9E3"/>
            </w:tcBorders>
          </w:tcPr>
          <w:p>
            <w:pPr>
              <w:spacing w:after="0"/>
              <w:rPr>
                <w:sz w:val="4"/>
                <w:szCs w:val="4"/>
                <w:color w:val="auto"/>
              </w:rPr>
            </w:pPr>
          </w:p>
        </w:tc>
        <w:tc>
          <w:tcPr>
            <w:tcW w:w="100" w:type="dxa"/>
            <w:vAlign w:val="bottom"/>
            <w:tcBorders>
              <w:bottom w:val="single" w:sz="8" w:color="E5E9E3"/>
            </w:tcBorders>
          </w:tcPr>
          <w:p>
            <w:pPr>
              <w:spacing w:after="0"/>
              <w:rPr>
                <w:sz w:val="4"/>
                <w:szCs w:val="4"/>
                <w:color w:val="auto"/>
              </w:rPr>
            </w:pPr>
          </w:p>
        </w:tc>
        <w:tc>
          <w:tcPr>
            <w:tcW w:w="400" w:type="dxa"/>
            <w:vAlign w:val="bottom"/>
            <w:tcBorders>
              <w:bottom w:val="single" w:sz="8" w:color="E5E9E3"/>
            </w:tcBorders>
          </w:tcPr>
          <w:p>
            <w:pPr>
              <w:spacing w:after="0"/>
              <w:rPr>
                <w:sz w:val="4"/>
                <w:szCs w:val="4"/>
                <w:color w:val="auto"/>
              </w:rPr>
            </w:pPr>
          </w:p>
        </w:tc>
        <w:tc>
          <w:tcPr>
            <w:tcW w:w="20" w:type="dxa"/>
            <w:vAlign w:val="bottom"/>
            <w:tcBorders>
              <w:bottom w:val="single" w:sz="8" w:color="E5E9E3"/>
            </w:tcBorders>
          </w:tcPr>
          <w:p>
            <w:pPr>
              <w:spacing w:after="0"/>
              <w:rPr>
                <w:sz w:val="4"/>
                <w:szCs w:val="4"/>
                <w:color w:val="auto"/>
              </w:rPr>
            </w:pPr>
          </w:p>
        </w:tc>
        <w:tc>
          <w:tcPr>
            <w:tcW w:w="320" w:type="dxa"/>
            <w:vAlign w:val="bottom"/>
            <w:tcBorders>
              <w:bottom w:val="single" w:sz="8" w:color="E5E9E3"/>
            </w:tcBorders>
          </w:tcPr>
          <w:p>
            <w:pPr>
              <w:spacing w:after="0"/>
              <w:rPr>
                <w:sz w:val="4"/>
                <w:szCs w:val="4"/>
                <w:color w:val="auto"/>
              </w:rPr>
            </w:pPr>
          </w:p>
        </w:tc>
        <w:tc>
          <w:tcPr>
            <w:tcW w:w="600" w:type="dxa"/>
            <w:vAlign w:val="bottom"/>
            <w:tcBorders>
              <w:bottom w:val="single" w:sz="8" w:color="E5E9E3"/>
            </w:tcBorders>
          </w:tcPr>
          <w:p>
            <w:pPr>
              <w:spacing w:after="0"/>
              <w:rPr>
                <w:sz w:val="4"/>
                <w:szCs w:val="4"/>
                <w:color w:val="auto"/>
              </w:rPr>
            </w:pPr>
          </w:p>
        </w:tc>
        <w:tc>
          <w:tcPr>
            <w:tcW w:w="160" w:type="dxa"/>
            <w:vAlign w:val="bottom"/>
            <w:tcBorders>
              <w:bottom w:val="single" w:sz="8" w:color="E5E9E3"/>
            </w:tcBorders>
          </w:tcPr>
          <w:p>
            <w:pPr>
              <w:spacing w:after="0"/>
              <w:rPr>
                <w:sz w:val="4"/>
                <w:szCs w:val="4"/>
                <w:color w:val="auto"/>
              </w:rPr>
            </w:pPr>
          </w:p>
        </w:tc>
        <w:tc>
          <w:tcPr>
            <w:tcW w:w="180" w:type="dxa"/>
            <w:vAlign w:val="bottom"/>
            <w:tcBorders>
              <w:bottom w:val="single" w:sz="8" w:color="E5E9E3"/>
            </w:tcBorders>
          </w:tcPr>
          <w:p>
            <w:pPr>
              <w:spacing w:after="0"/>
              <w:rPr>
                <w:sz w:val="4"/>
                <w:szCs w:val="4"/>
                <w:color w:val="auto"/>
              </w:rPr>
            </w:pPr>
          </w:p>
        </w:tc>
        <w:tc>
          <w:tcPr>
            <w:tcW w:w="100" w:type="dxa"/>
            <w:vAlign w:val="bottom"/>
            <w:tcBorders>
              <w:bottom w:val="single" w:sz="8" w:color="E5E9E3"/>
            </w:tcBorders>
          </w:tcPr>
          <w:p>
            <w:pPr>
              <w:spacing w:after="0"/>
              <w:rPr>
                <w:sz w:val="4"/>
                <w:szCs w:val="4"/>
                <w:color w:val="auto"/>
              </w:rPr>
            </w:pPr>
          </w:p>
        </w:tc>
        <w:tc>
          <w:tcPr>
            <w:tcW w:w="400" w:type="dxa"/>
            <w:vAlign w:val="bottom"/>
            <w:tcBorders>
              <w:bottom w:val="single" w:sz="8" w:color="E5E9E3"/>
            </w:tcBorders>
          </w:tcPr>
          <w:p>
            <w:pPr>
              <w:spacing w:after="0"/>
              <w:rPr>
                <w:sz w:val="4"/>
                <w:szCs w:val="4"/>
                <w:color w:val="auto"/>
              </w:rPr>
            </w:pPr>
          </w:p>
        </w:tc>
        <w:tc>
          <w:tcPr>
            <w:tcW w:w="40" w:type="dxa"/>
            <w:vAlign w:val="bottom"/>
            <w:tcBorders>
              <w:bottom w:val="single" w:sz="8" w:color="E5E9E3"/>
            </w:tcBorders>
          </w:tcPr>
          <w:p>
            <w:pPr>
              <w:spacing w:after="0"/>
              <w:rPr>
                <w:sz w:val="4"/>
                <w:szCs w:val="4"/>
                <w:color w:val="auto"/>
              </w:rPr>
            </w:pPr>
          </w:p>
        </w:tc>
        <w:tc>
          <w:tcPr>
            <w:tcW w:w="120" w:type="dxa"/>
            <w:vAlign w:val="bottom"/>
            <w:tcBorders>
              <w:bottom w:val="single" w:sz="8" w:color="E5E9E3"/>
            </w:tcBorders>
          </w:tcPr>
          <w:p>
            <w:pPr>
              <w:spacing w:after="0"/>
              <w:rPr>
                <w:sz w:val="4"/>
                <w:szCs w:val="4"/>
                <w:color w:val="auto"/>
              </w:rPr>
            </w:pPr>
          </w:p>
        </w:tc>
        <w:tc>
          <w:tcPr>
            <w:tcW w:w="920" w:type="dxa"/>
            <w:vAlign w:val="bottom"/>
          </w:tcPr>
          <w:p>
            <w:pPr>
              <w:spacing w:after="0"/>
              <w:rPr>
                <w:sz w:val="4"/>
                <w:szCs w:val="4"/>
                <w:color w:val="auto"/>
              </w:rPr>
            </w:pPr>
          </w:p>
        </w:tc>
      </w:tr>
      <w:tr>
        <w:trPr>
          <w:trHeight w:val="183"/>
        </w:trPr>
        <w:tc>
          <w:tcPr>
            <w:tcW w:w="960" w:type="dxa"/>
            <w:vAlign w:val="bottom"/>
            <w:tcBorders>
              <w:right w:val="single" w:sz="8" w:color="E5E9E3"/>
            </w:tcBorders>
          </w:tcPr>
          <w:p>
            <w:pPr>
              <w:spacing w:after="0"/>
              <w:rPr>
                <w:sz w:val="15"/>
                <w:szCs w:val="15"/>
                <w:color w:val="auto"/>
              </w:rPr>
            </w:pPr>
          </w:p>
        </w:tc>
        <w:tc>
          <w:tcPr>
            <w:tcW w:w="5440" w:type="dxa"/>
            <w:vAlign w:val="bottom"/>
            <w:tcBorders>
              <w:top w:val="single" w:sz="8" w:color="E5E9E3"/>
            </w:tcBorders>
            <w:shd w:val="clear" w:color="auto" w:fill="E5E9E3"/>
          </w:tcPr>
          <w:p>
            <w:pPr>
              <w:ind w:left="180"/>
              <w:spacing w:after="0"/>
              <w:rPr>
                <w:sz w:val="20"/>
                <w:szCs w:val="20"/>
                <w:color w:val="auto"/>
              </w:rPr>
            </w:pPr>
            <w:r>
              <w:rPr>
                <w:rFonts w:ascii="Arial" w:cs="Arial" w:eastAsia="Arial" w:hAnsi="Arial"/>
                <w:sz w:val="14"/>
                <w:szCs w:val="14"/>
                <w:color w:val="auto"/>
              </w:rPr>
              <w:t>Total related to selling, general and administrative expenses</w:t>
            </w:r>
          </w:p>
        </w:tc>
        <w:tc>
          <w:tcPr>
            <w:tcW w:w="320" w:type="dxa"/>
            <w:vAlign w:val="bottom"/>
            <w:tcBorders>
              <w:top w:val="single" w:sz="8" w:color="E5E9E3"/>
            </w:tcBorders>
            <w:shd w:val="clear" w:color="auto" w:fill="E5E9E3"/>
          </w:tcPr>
          <w:p>
            <w:pPr>
              <w:spacing w:after="0"/>
              <w:rPr>
                <w:sz w:val="15"/>
                <w:szCs w:val="15"/>
                <w:color w:val="auto"/>
              </w:rPr>
            </w:pPr>
          </w:p>
        </w:tc>
        <w:tc>
          <w:tcPr>
            <w:tcW w:w="6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21,171</w:t>
            </w:r>
          </w:p>
        </w:tc>
        <w:tc>
          <w:tcPr>
            <w:tcW w:w="140" w:type="dxa"/>
            <w:vAlign w:val="bottom"/>
            <w:tcBorders>
              <w:top w:val="single" w:sz="8" w:color="E5E9E3"/>
            </w:tcBorders>
            <w:shd w:val="clear" w:color="auto" w:fill="E5E9E3"/>
          </w:tcPr>
          <w:p>
            <w:pPr>
              <w:spacing w:after="0"/>
              <w:rPr>
                <w:sz w:val="15"/>
                <w:szCs w:val="15"/>
                <w:color w:val="auto"/>
              </w:rPr>
            </w:pPr>
          </w:p>
        </w:tc>
        <w:tc>
          <w:tcPr>
            <w:tcW w:w="200" w:type="dxa"/>
            <w:vAlign w:val="bottom"/>
            <w:tcBorders>
              <w:top w:val="single" w:sz="8" w:color="E5E9E3"/>
            </w:tcBorders>
            <w:shd w:val="clear" w:color="auto" w:fill="E5E9E3"/>
          </w:tcPr>
          <w:p>
            <w:pPr>
              <w:spacing w:after="0"/>
              <w:rPr>
                <w:sz w:val="15"/>
                <w:szCs w:val="15"/>
                <w:color w:val="auto"/>
              </w:rPr>
            </w:pPr>
          </w:p>
        </w:tc>
        <w:tc>
          <w:tcPr>
            <w:tcW w:w="100" w:type="dxa"/>
            <w:vAlign w:val="bottom"/>
            <w:tcBorders>
              <w:top w:val="single" w:sz="8" w:color="auto"/>
            </w:tcBorders>
            <w:shd w:val="clear" w:color="auto" w:fill="E5E9E3"/>
          </w:tcPr>
          <w:p>
            <w:pPr>
              <w:spacing w:after="0"/>
              <w:rPr>
                <w:sz w:val="15"/>
                <w:szCs w:val="15"/>
                <w:color w:val="auto"/>
              </w:rPr>
            </w:pPr>
          </w:p>
        </w:tc>
        <w:tc>
          <w:tcPr>
            <w:tcW w:w="4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0.58</w:t>
            </w:r>
          </w:p>
        </w:tc>
        <w:tc>
          <w:tcPr>
            <w:tcW w:w="20" w:type="dxa"/>
            <w:vAlign w:val="bottom"/>
            <w:tcBorders>
              <w:top w:val="single" w:sz="8" w:color="E5E9E3"/>
            </w:tcBorders>
            <w:shd w:val="clear" w:color="auto" w:fill="E5E9E3"/>
          </w:tcPr>
          <w:p>
            <w:pPr>
              <w:spacing w:after="0"/>
              <w:rPr>
                <w:sz w:val="15"/>
                <w:szCs w:val="15"/>
                <w:color w:val="auto"/>
              </w:rPr>
            </w:pPr>
          </w:p>
        </w:tc>
        <w:tc>
          <w:tcPr>
            <w:tcW w:w="320" w:type="dxa"/>
            <w:vAlign w:val="bottom"/>
            <w:tcBorders>
              <w:top w:val="single" w:sz="8" w:color="E5E9E3"/>
            </w:tcBorders>
            <w:shd w:val="clear" w:color="auto" w:fill="E5E9E3"/>
          </w:tcPr>
          <w:p>
            <w:pPr>
              <w:spacing w:after="0"/>
              <w:rPr>
                <w:sz w:val="15"/>
                <w:szCs w:val="15"/>
                <w:color w:val="auto"/>
              </w:rPr>
            </w:pPr>
          </w:p>
        </w:tc>
        <w:tc>
          <w:tcPr>
            <w:tcW w:w="6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21,163</w:t>
            </w:r>
          </w:p>
        </w:tc>
        <w:tc>
          <w:tcPr>
            <w:tcW w:w="160" w:type="dxa"/>
            <w:vAlign w:val="bottom"/>
            <w:tcBorders>
              <w:top w:val="single" w:sz="8" w:color="E5E9E3"/>
            </w:tcBorders>
            <w:shd w:val="clear" w:color="auto" w:fill="E5E9E3"/>
          </w:tcPr>
          <w:p>
            <w:pPr>
              <w:spacing w:after="0"/>
              <w:rPr>
                <w:sz w:val="15"/>
                <w:szCs w:val="15"/>
                <w:color w:val="auto"/>
              </w:rPr>
            </w:pPr>
          </w:p>
        </w:tc>
        <w:tc>
          <w:tcPr>
            <w:tcW w:w="180" w:type="dxa"/>
            <w:vAlign w:val="bottom"/>
            <w:tcBorders>
              <w:top w:val="single" w:sz="8" w:color="E5E9E3"/>
            </w:tcBorders>
            <w:shd w:val="clear" w:color="auto" w:fill="E5E9E3"/>
          </w:tcPr>
          <w:p>
            <w:pPr>
              <w:spacing w:after="0"/>
              <w:rPr>
                <w:sz w:val="15"/>
                <w:szCs w:val="15"/>
                <w:color w:val="auto"/>
              </w:rPr>
            </w:pPr>
          </w:p>
        </w:tc>
        <w:tc>
          <w:tcPr>
            <w:tcW w:w="100" w:type="dxa"/>
            <w:vAlign w:val="bottom"/>
            <w:tcBorders>
              <w:top w:val="single" w:sz="8" w:color="auto"/>
            </w:tcBorders>
            <w:shd w:val="clear" w:color="auto" w:fill="E5E9E3"/>
          </w:tcPr>
          <w:p>
            <w:pPr>
              <w:spacing w:after="0"/>
              <w:rPr>
                <w:sz w:val="15"/>
                <w:szCs w:val="15"/>
                <w:color w:val="auto"/>
              </w:rPr>
            </w:pPr>
          </w:p>
        </w:tc>
        <w:tc>
          <w:tcPr>
            <w:tcW w:w="4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0.58</w:t>
            </w:r>
          </w:p>
        </w:tc>
        <w:tc>
          <w:tcPr>
            <w:tcW w:w="40" w:type="dxa"/>
            <w:vAlign w:val="bottom"/>
            <w:tcBorders>
              <w:top w:val="single" w:sz="8" w:color="E5E9E3"/>
            </w:tcBorders>
            <w:shd w:val="clear" w:color="auto" w:fill="E5E9E3"/>
          </w:tcPr>
          <w:p>
            <w:pPr>
              <w:spacing w:after="0"/>
              <w:rPr>
                <w:sz w:val="15"/>
                <w:szCs w:val="15"/>
                <w:color w:val="auto"/>
              </w:rPr>
            </w:pPr>
          </w:p>
        </w:tc>
        <w:tc>
          <w:tcPr>
            <w:tcW w:w="120" w:type="dxa"/>
            <w:vAlign w:val="bottom"/>
            <w:tcBorders>
              <w:top w:val="single" w:sz="8" w:color="E5E9E3"/>
            </w:tcBorders>
            <w:shd w:val="clear" w:color="auto" w:fill="E5E9E3"/>
          </w:tcPr>
          <w:p>
            <w:pPr>
              <w:spacing w:after="0"/>
              <w:rPr>
                <w:sz w:val="15"/>
                <w:szCs w:val="15"/>
                <w:color w:val="auto"/>
              </w:rPr>
            </w:pPr>
          </w:p>
        </w:tc>
        <w:tc>
          <w:tcPr>
            <w:tcW w:w="920" w:type="dxa"/>
            <w:vAlign w:val="bottom"/>
          </w:tcPr>
          <w:p>
            <w:pPr>
              <w:spacing w:after="0"/>
              <w:rPr>
                <w:sz w:val="15"/>
                <w:szCs w:val="15"/>
                <w:color w:val="auto"/>
              </w:rPr>
            </w:pPr>
          </w:p>
        </w:tc>
      </w:tr>
      <w:tr>
        <w:trPr>
          <w:trHeight w:val="212"/>
        </w:trPr>
        <w:tc>
          <w:tcPr>
            <w:tcW w:w="960" w:type="dxa"/>
            <w:vAlign w:val="bottom"/>
          </w:tcPr>
          <w:p>
            <w:pPr>
              <w:spacing w:after="0"/>
              <w:rPr>
                <w:sz w:val="18"/>
                <w:szCs w:val="18"/>
                <w:color w:val="auto"/>
              </w:rPr>
            </w:pPr>
          </w:p>
        </w:tc>
        <w:tc>
          <w:tcPr>
            <w:tcW w:w="5440" w:type="dxa"/>
            <w:vAlign w:val="bottom"/>
          </w:tcPr>
          <w:p>
            <w:pPr>
              <w:ind w:left="180"/>
              <w:spacing w:after="0"/>
              <w:rPr>
                <w:sz w:val="20"/>
                <w:szCs w:val="20"/>
                <w:color w:val="auto"/>
              </w:rPr>
            </w:pPr>
            <w:r>
              <w:rPr>
                <w:rFonts w:ascii="Arial" w:cs="Arial" w:eastAsia="Arial" w:hAnsi="Arial"/>
                <w:sz w:val="14"/>
                <w:szCs w:val="14"/>
                <w:color w:val="auto"/>
              </w:rPr>
              <w:t>Related to other income and other expense:</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960" w:type="dxa"/>
            <w:vAlign w:val="bottom"/>
            <w:tcBorders>
              <w:right w:val="single" w:sz="8" w:color="E5E9E3"/>
            </w:tcBorders>
          </w:tcPr>
          <w:p>
            <w:pPr>
              <w:spacing w:after="0"/>
              <w:rPr>
                <w:sz w:val="19"/>
                <w:szCs w:val="19"/>
                <w:color w:val="auto"/>
              </w:rPr>
            </w:pPr>
          </w:p>
        </w:tc>
        <w:tc>
          <w:tcPr>
            <w:tcW w:w="5440" w:type="dxa"/>
            <w:vAlign w:val="bottom"/>
            <w:shd w:val="clear" w:color="auto" w:fill="E5E9E3"/>
          </w:tcPr>
          <w:p>
            <w:pPr>
              <w:ind w:left="320"/>
              <w:spacing w:after="0"/>
              <w:rPr>
                <w:sz w:val="20"/>
                <w:szCs w:val="20"/>
                <w:color w:val="auto"/>
              </w:rPr>
            </w:pPr>
            <w:r>
              <w:rPr>
                <w:rFonts w:ascii="Arial" w:cs="Arial" w:eastAsia="Arial" w:hAnsi="Arial"/>
                <w:sz w:val="14"/>
                <w:szCs w:val="14"/>
                <w:color w:val="auto"/>
              </w:rPr>
              <w:t>Restructuring and other related costs</w:t>
            </w:r>
          </w:p>
        </w:tc>
        <w:tc>
          <w:tcPr>
            <w:tcW w:w="92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E5E9E3"/>
          </w:tcPr>
          <w:p>
            <w:pPr>
              <w:spacing w:after="0"/>
              <w:rPr>
                <w:sz w:val="19"/>
                <w:szCs w:val="19"/>
                <w:color w:val="auto"/>
              </w:rPr>
            </w:pPr>
          </w:p>
        </w:tc>
        <w:tc>
          <w:tcPr>
            <w:tcW w:w="200" w:type="dxa"/>
            <w:vAlign w:val="bottom"/>
            <w:shd w:val="clear" w:color="auto" w:fill="E5E9E3"/>
          </w:tcPr>
          <w:p>
            <w:pPr>
              <w:spacing w:after="0"/>
              <w:rPr>
                <w:sz w:val="19"/>
                <w:szCs w:val="19"/>
                <w:color w:val="auto"/>
              </w:rPr>
            </w:pPr>
          </w:p>
        </w:tc>
        <w:tc>
          <w:tcPr>
            <w:tcW w:w="100" w:type="dxa"/>
            <w:vAlign w:val="bottom"/>
            <w:shd w:val="clear" w:color="auto" w:fill="E5E9E3"/>
          </w:tcPr>
          <w:p>
            <w:pPr>
              <w:spacing w:after="0"/>
              <w:rPr>
                <w:sz w:val="19"/>
                <w:szCs w:val="19"/>
                <w:color w:val="auto"/>
              </w:rPr>
            </w:pP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0.00</w:t>
            </w:r>
          </w:p>
        </w:tc>
        <w:tc>
          <w:tcPr>
            <w:tcW w:w="20" w:type="dxa"/>
            <w:vAlign w:val="bottom"/>
            <w:shd w:val="clear" w:color="auto" w:fill="E5E9E3"/>
          </w:tcPr>
          <w:p>
            <w:pPr>
              <w:spacing w:after="0"/>
              <w:rPr>
                <w:sz w:val="19"/>
                <w:szCs w:val="19"/>
                <w:color w:val="auto"/>
              </w:rPr>
            </w:pPr>
          </w:p>
        </w:tc>
        <w:tc>
          <w:tcPr>
            <w:tcW w:w="92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6,896</w:t>
            </w:r>
          </w:p>
        </w:tc>
        <w:tc>
          <w:tcPr>
            <w:tcW w:w="160" w:type="dxa"/>
            <w:vAlign w:val="bottom"/>
            <w:shd w:val="clear" w:color="auto" w:fill="E5E9E3"/>
          </w:tcPr>
          <w:p>
            <w:pPr>
              <w:spacing w:after="0"/>
              <w:rPr>
                <w:sz w:val="19"/>
                <w:szCs w:val="19"/>
                <w:color w:val="auto"/>
              </w:rPr>
            </w:pPr>
          </w:p>
        </w:tc>
        <w:tc>
          <w:tcPr>
            <w:tcW w:w="180" w:type="dxa"/>
            <w:vAlign w:val="bottom"/>
            <w:shd w:val="clear" w:color="auto" w:fill="E5E9E3"/>
          </w:tcPr>
          <w:p>
            <w:pPr>
              <w:spacing w:after="0"/>
              <w:rPr>
                <w:sz w:val="19"/>
                <w:szCs w:val="19"/>
                <w:color w:val="auto"/>
              </w:rPr>
            </w:pPr>
          </w:p>
        </w:tc>
        <w:tc>
          <w:tcPr>
            <w:tcW w:w="100" w:type="dxa"/>
            <w:vAlign w:val="bottom"/>
            <w:shd w:val="clear" w:color="auto" w:fill="E5E9E3"/>
          </w:tcPr>
          <w:p>
            <w:pPr>
              <w:spacing w:after="0"/>
              <w:rPr>
                <w:sz w:val="19"/>
                <w:szCs w:val="19"/>
                <w:color w:val="auto"/>
              </w:rPr>
            </w:pP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0.18</w:t>
            </w:r>
          </w:p>
        </w:tc>
        <w:tc>
          <w:tcPr>
            <w:tcW w:w="40" w:type="dxa"/>
            <w:vAlign w:val="bottom"/>
            <w:shd w:val="clear" w:color="auto" w:fill="E5E9E3"/>
          </w:tcPr>
          <w:p>
            <w:pPr>
              <w:spacing w:after="0"/>
              <w:rPr>
                <w:sz w:val="19"/>
                <w:szCs w:val="19"/>
                <w:color w:val="auto"/>
              </w:rPr>
            </w:pPr>
          </w:p>
        </w:tc>
        <w:tc>
          <w:tcPr>
            <w:tcW w:w="120" w:type="dxa"/>
            <w:vAlign w:val="bottom"/>
            <w:shd w:val="clear" w:color="auto" w:fill="E5E9E3"/>
          </w:tcPr>
          <w:p>
            <w:pPr>
              <w:spacing w:after="0"/>
              <w:rPr>
                <w:sz w:val="19"/>
                <w:szCs w:val="19"/>
                <w:color w:val="auto"/>
              </w:rPr>
            </w:pPr>
          </w:p>
        </w:tc>
        <w:tc>
          <w:tcPr>
            <w:tcW w:w="920" w:type="dxa"/>
            <w:vAlign w:val="bottom"/>
          </w:tcPr>
          <w:p>
            <w:pPr>
              <w:spacing w:after="0"/>
              <w:rPr>
                <w:sz w:val="19"/>
                <w:szCs w:val="19"/>
                <w:color w:val="auto"/>
              </w:rPr>
            </w:pPr>
          </w:p>
        </w:tc>
      </w:tr>
      <w:tr>
        <w:trPr>
          <w:trHeight w:val="208"/>
        </w:trPr>
        <w:tc>
          <w:tcPr>
            <w:tcW w:w="96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4"/>
                <w:szCs w:val="14"/>
                <w:color w:val="auto"/>
              </w:rPr>
              <w:t>Amortization of deferred debt issuance costs</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54"/>
        </w:trPr>
        <w:tc>
          <w:tcPr>
            <w:tcW w:w="960" w:type="dxa"/>
            <w:vAlign w:val="bottom"/>
          </w:tcPr>
          <w:p>
            <w:pPr>
              <w:spacing w:after="0"/>
              <w:rPr>
                <w:sz w:val="4"/>
                <w:szCs w:val="4"/>
                <w:color w:val="auto"/>
              </w:rPr>
            </w:pPr>
          </w:p>
        </w:tc>
        <w:tc>
          <w:tcPr>
            <w:tcW w:w="5440" w:type="dxa"/>
            <w:vAlign w:val="bottom"/>
            <w:tcBorders>
              <w:bottom w:val="single" w:sz="8" w:color="E5E9E3"/>
            </w:tcBorders>
          </w:tcPr>
          <w:p>
            <w:pPr>
              <w:spacing w:after="0"/>
              <w:rPr>
                <w:sz w:val="4"/>
                <w:szCs w:val="4"/>
                <w:color w:val="auto"/>
              </w:rPr>
            </w:pPr>
          </w:p>
        </w:tc>
        <w:tc>
          <w:tcPr>
            <w:tcW w:w="320" w:type="dxa"/>
            <w:vAlign w:val="bottom"/>
            <w:tcBorders>
              <w:bottom w:val="single" w:sz="8" w:color="E5E9E3"/>
            </w:tcBorders>
          </w:tcPr>
          <w:p>
            <w:pPr>
              <w:spacing w:after="0"/>
              <w:rPr>
                <w:sz w:val="4"/>
                <w:szCs w:val="4"/>
                <w:color w:val="auto"/>
              </w:rPr>
            </w:pPr>
          </w:p>
        </w:tc>
        <w:tc>
          <w:tcPr>
            <w:tcW w:w="600" w:type="dxa"/>
            <w:vAlign w:val="bottom"/>
            <w:tcBorders>
              <w:bottom w:val="single" w:sz="8" w:color="E5E9E3"/>
            </w:tcBorders>
          </w:tcPr>
          <w:p>
            <w:pPr>
              <w:spacing w:after="0"/>
              <w:rPr>
                <w:sz w:val="4"/>
                <w:szCs w:val="4"/>
                <w:color w:val="auto"/>
              </w:rPr>
            </w:pPr>
          </w:p>
        </w:tc>
        <w:tc>
          <w:tcPr>
            <w:tcW w:w="140" w:type="dxa"/>
            <w:vAlign w:val="bottom"/>
            <w:tcBorders>
              <w:bottom w:val="single" w:sz="8" w:color="E5E9E3"/>
            </w:tcBorders>
          </w:tcPr>
          <w:p>
            <w:pPr>
              <w:spacing w:after="0"/>
              <w:rPr>
                <w:sz w:val="4"/>
                <w:szCs w:val="4"/>
                <w:color w:val="auto"/>
              </w:rPr>
            </w:pPr>
          </w:p>
        </w:tc>
        <w:tc>
          <w:tcPr>
            <w:tcW w:w="200" w:type="dxa"/>
            <w:vAlign w:val="bottom"/>
            <w:tcBorders>
              <w:bottom w:val="single" w:sz="8" w:color="E5E9E3"/>
            </w:tcBorders>
          </w:tcPr>
          <w:p>
            <w:pPr>
              <w:spacing w:after="0"/>
              <w:rPr>
                <w:sz w:val="4"/>
                <w:szCs w:val="4"/>
                <w:color w:val="auto"/>
              </w:rPr>
            </w:pPr>
          </w:p>
        </w:tc>
        <w:tc>
          <w:tcPr>
            <w:tcW w:w="100" w:type="dxa"/>
            <w:vAlign w:val="bottom"/>
            <w:tcBorders>
              <w:bottom w:val="single" w:sz="8" w:color="E5E9E3"/>
            </w:tcBorders>
          </w:tcPr>
          <w:p>
            <w:pPr>
              <w:spacing w:after="0"/>
              <w:rPr>
                <w:sz w:val="4"/>
                <w:szCs w:val="4"/>
                <w:color w:val="auto"/>
              </w:rPr>
            </w:pPr>
          </w:p>
        </w:tc>
        <w:tc>
          <w:tcPr>
            <w:tcW w:w="400" w:type="dxa"/>
            <w:vAlign w:val="bottom"/>
            <w:tcBorders>
              <w:bottom w:val="single" w:sz="8" w:color="E5E9E3"/>
            </w:tcBorders>
          </w:tcPr>
          <w:p>
            <w:pPr>
              <w:spacing w:after="0"/>
              <w:rPr>
                <w:sz w:val="4"/>
                <w:szCs w:val="4"/>
                <w:color w:val="auto"/>
              </w:rPr>
            </w:pPr>
          </w:p>
        </w:tc>
        <w:tc>
          <w:tcPr>
            <w:tcW w:w="20" w:type="dxa"/>
            <w:vAlign w:val="bottom"/>
            <w:tcBorders>
              <w:bottom w:val="single" w:sz="8" w:color="E5E9E3"/>
            </w:tcBorders>
          </w:tcPr>
          <w:p>
            <w:pPr>
              <w:spacing w:after="0"/>
              <w:rPr>
                <w:sz w:val="4"/>
                <w:szCs w:val="4"/>
                <w:color w:val="auto"/>
              </w:rPr>
            </w:pPr>
          </w:p>
        </w:tc>
        <w:tc>
          <w:tcPr>
            <w:tcW w:w="320" w:type="dxa"/>
            <w:vAlign w:val="bottom"/>
            <w:tcBorders>
              <w:bottom w:val="single" w:sz="8" w:color="E5E9E3"/>
            </w:tcBorders>
          </w:tcPr>
          <w:p>
            <w:pPr>
              <w:spacing w:after="0"/>
              <w:rPr>
                <w:sz w:val="4"/>
                <w:szCs w:val="4"/>
                <w:color w:val="auto"/>
              </w:rPr>
            </w:pPr>
          </w:p>
        </w:tc>
        <w:tc>
          <w:tcPr>
            <w:tcW w:w="600" w:type="dxa"/>
            <w:vAlign w:val="bottom"/>
            <w:tcBorders>
              <w:bottom w:val="single" w:sz="8" w:color="E5E9E3"/>
            </w:tcBorders>
          </w:tcPr>
          <w:p>
            <w:pPr>
              <w:spacing w:after="0"/>
              <w:rPr>
                <w:sz w:val="4"/>
                <w:szCs w:val="4"/>
                <w:color w:val="auto"/>
              </w:rPr>
            </w:pPr>
          </w:p>
        </w:tc>
        <w:tc>
          <w:tcPr>
            <w:tcW w:w="160" w:type="dxa"/>
            <w:vAlign w:val="bottom"/>
            <w:tcBorders>
              <w:bottom w:val="single" w:sz="8" w:color="E5E9E3"/>
            </w:tcBorders>
          </w:tcPr>
          <w:p>
            <w:pPr>
              <w:spacing w:after="0"/>
              <w:rPr>
                <w:sz w:val="4"/>
                <w:szCs w:val="4"/>
                <w:color w:val="auto"/>
              </w:rPr>
            </w:pPr>
          </w:p>
        </w:tc>
        <w:tc>
          <w:tcPr>
            <w:tcW w:w="180" w:type="dxa"/>
            <w:vAlign w:val="bottom"/>
            <w:tcBorders>
              <w:bottom w:val="single" w:sz="8" w:color="E5E9E3"/>
            </w:tcBorders>
          </w:tcPr>
          <w:p>
            <w:pPr>
              <w:spacing w:after="0"/>
              <w:rPr>
                <w:sz w:val="4"/>
                <w:szCs w:val="4"/>
                <w:color w:val="auto"/>
              </w:rPr>
            </w:pPr>
          </w:p>
        </w:tc>
        <w:tc>
          <w:tcPr>
            <w:tcW w:w="100" w:type="dxa"/>
            <w:vAlign w:val="bottom"/>
            <w:tcBorders>
              <w:bottom w:val="single" w:sz="8" w:color="E5E9E3"/>
            </w:tcBorders>
          </w:tcPr>
          <w:p>
            <w:pPr>
              <w:spacing w:after="0"/>
              <w:rPr>
                <w:sz w:val="4"/>
                <w:szCs w:val="4"/>
                <w:color w:val="auto"/>
              </w:rPr>
            </w:pPr>
          </w:p>
        </w:tc>
        <w:tc>
          <w:tcPr>
            <w:tcW w:w="400" w:type="dxa"/>
            <w:vAlign w:val="bottom"/>
            <w:tcBorders>
              <w:bottom w:val="single" w:sz="8" w:color="E5E9E3"/>
            </w:tcBorders>
          </w:tcPr>
          <w:p>
            <w:pPr>
              <w:spacing w:after="0"/>
              <w:rPr>
                <w:sz w:val="4"/>
                <w:szCs w:val="4"/>
                <w:color w:val="auto"/>
              </w:rPr>
            </w:pPr>
          </w:p>
        </w:tc>
        <w:tc>
          <w:tcPr>
            <w:tcW w:w="40" w:type="dxa"/>
            <w:vAlign w:val="bottom"/>
            <w:tcBorders>
              <w:bottom w:val="single" w:sz="8" w:color="E5E9E3"/>
            </w:tcBorders>
          </w:tcPr>
          <w:p>
            <w:pPr>
              <w:spacing w:after="0"/>
              <w:rPr>
                <w:sz w:val="4"/>
                <w:szCs w:val="4"/>
                <w:color w:val="auto"/>
              </w:rPr>
            </w:pPr>
          </w:p>
        </w:tc>
        <w:tc>
          <w:tcPr>
            <w:tcW w:w="120" w:type="dxa"/>
            <w:vAlign w:val="bottom"/>
            <w:tcBorders>
              <w:bottom w:val="single" w:sz="8" w:color="E5E9E3"/>
            </w:tcBorders>
          </w:tcPr>
          <w:p>
            <w:pPr>
              <w:spacing w:after="0"/>
              <w:rPr>
                <w:sz w:val="4"/>
                <w:szCs w:val="4"/>
                <w:color w:val="auto"/>
              </w:rPr>
            </w:pPr>
          </w:p>
        </w:tc>
        <w:tc>
          <w:tcPr>
            <w:tcW w:w="920" w:type="dxa"/>
            <w:vAlign w:val="bottom"/>
          </w:tcPr>
          <w:p>
            <w:pPr>
              <w:spacing w:after="0"/>
              <w:rPr>
                <w:sz w:val="4"/>
                <w:szCs w:val="4"/>
                <w:color w:val="auto"/>
              </w:rPr>
            </w:pPr>
          </w:p>
        </w:tc>
      </w:tr>
      <w:tr>
        <w:trPr>
          <w:trHeight w:val="183"/>
        </w:trPr>
        <w:tc>
          <w:tcPr>
            <w:tcW w:w="960" w:type="dxa"/>
            <w:vAlign w:val="bottom"/>
            <w:tcBorders>
              <w:right w:val="single" w:sz="8" w:color="E5E9E3"/>
            </w:tcBorders>
          </w:tcPr>
          <w:p>
            <w:pPr>
              <w:spacing w:after="0"/>
              <w:rPr>
                <w:sz w:val="15"/>
                <w:szCs w:val="15"/>
                <w:color w:val="auto"/>
              </w:rPr>
            </w:pPr>
          </w:p>
        </w:tc>
        <w:tc>
          <w:tcPr>
            <w:tcW w:w="5440" w:type="dxa"/>
            <w:vAlign w:val="bottom"/>
            <w:tcBorders>
              <w:top w:val="single" w:sz="8" w:color="E5E9E3"/>
            </w:tcBorders>
            <w:shd w:val="clear" w:color="auto" w:fill="E5E9E3"/>
          </w:tcPr>
          <w:p>
            <w:pPr>
              <w:ind w:left="180"/>
              <w:spacing w:after="0"/>
              <w:rPr>
                <w:sz w:val="20"/>
                <w:szCs w:val="20"/>
                <w:color w:val="auto"/>
              </w:rPr>
            </w:pPr>
            <w:r>
              <w:rPr>
                <w:rFonts w:ascii="Arial" w:cs="Arial" w:eastAsia="Arial" w:hAnsi="Arial"/>
                <w:sz w:val="14"/>
                <w:szCs w:val="14"/>
                <w:color w:val="auto"/>
              </w:rPr>
              <w:t>Total related to other income and other expense</w:t>
            </w:r>
          </w:p>
        </w:tc>
        <w:tc>
          <w:tcPr>
            <w:tcW w:w="320" w:type="dxa"/>
            <w:vAlign w:val="bottom"/>
            <w:tcBorders>
              <w:top w:val="single" w:sz="8" w:color="E5E9E3"/>
            </w:tcBorders>
            <w:shd w:val="clear" w:color="auto" w:fill="E5E9E3"/>
          </w:tcPr>
          <w:p>
            <w:pPr>
              <w:spacing w:after="0"/>
              <w:rPr>
                <w:sz w:val="15"/>
                <w:szCs w:val="15"/>
                <w:color w:val="auto"/>
              </w:rPr>
            </w:pPr>
          </w:p>
        </w:tc>
        <w:tc>
          <w:tcPr>
            <w:tcW w:w="6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64</w:t>
            </w:r>
          </w:p>
        </w:tc>
        <w:tc>
          <w:tcPr>
            <w:tcW w:w="140" w:type="dxa"/>
            <w:vAlign w:val="bottom"/>
            <w:tcBorders>
              <w:top w:val="single" w:sz="8" w:color="E5E9E3"/>
            </w:tcBorders>
            <w:shd w:val="clear" w:color="auto" w:fill="E5E9E3"/>
          </w:tcPr>
          <w:p>
            <w:pPr>
              <w:spacing w:after="0"/>
              <w:rPr>
                <w:sz w:val="15"/>
                <w:szCs w:val="15"/>
                <w:color w:val="auto"/>
              </w:rPr>
            </w:pPr>
          </w:p>
        </w:tc>
        <w:tc>
          <w:tcPr>
            <w:tcW w:w="200" w:type="dxa"/>
            <w:vAlign w:val="bottom"/>
            <w:tcBorders>
              <w:top w:val="single" w:sz="8" w:color="E5E9E3"/>
            </w:tcBorders>
            <w:shd w:val="clear" w:color="auto" w:fill="E5E9E3"/>
          </w:tcPr>
          <w:p>
            <w:pPr>
              <w:spacing w:after="0"/>
              <w:rPr>
                <w:sz w:val="15"/>
                <w:szCs w:val="15"/>
                <w:color w:val="auto"/>
              </w:rPr>
            </w:pPr>
          </w:p>
        </w:tc>
        <w:tc>
          <w:tcPr>
            <w:tcW w:w="100" w:type="dxa"/>
            <w:vAlign w:val="bottom"/>
            <w:tcBorders>
              <w:top w:val="single" w:sz="8" w:color="auto"/>
            </w:tcBorders>
            <w:shd w:val="clear" w:color="auto" w:fill="E5E9E3"/>
          </w:tcPr>
          <w:p>
            <w:pPr>
              <w:spacing w:after="0"/>
              <w:rPr>
                <w:sz w:val="15"/>
                <w:szCs w:val="15"/>
                <w:color w:val="auto"/>
              </w:rPr>
            </w:pPr>
          </w:p>
        </w:tc>
        <w:tc>
          <w:tcPr>
            <w:tcW w:w="4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0.00</w:t>
            </w:r>
          </w:p>
        </w:tc>
        <w:tc>
          <w:tcPr>
            <w:tcW w:w="20" w:type="dxa"/>
            <w:vAlign w:val="bottom"/>
            <w:tcBorders>
              <w:top w:val="single" w:sz="8" w:color="E5E9E3"/>
            </w:tcBorders>
            <w:shd w:val="clear" w:color="auto" w:fill="E5E9E3"/>
          </w:tcPr>
          <w:p>
            <w:pPr>
              <w:spacing w:after="0"/>
              <w:rPr>
                <w:sz w:val="15"/>
                <w:szCs w:val="15"/>
                <w:color w:val="auto"/>
              </w:rPr>
            </w:pPr>
          </w:p>
        </w:tc>
        <w:tc>
          <w:tcPr>
            <w:tcW w:w="320" w:type="dxa"/>
            <w:vAlign w:val="bottom"/>
            <w:tcBorders>
              <w:top w:val="single" w:sz="8" w:color="E5E9E3"/>
            </w:tcBorders>
            <w:shd w:val="clear" w:color="auto" w:fill="E5E9E3"/>
          </w:tcPr>
          <w:p>
            <w:pPr>
              <w:spacing w:after="0"/>
              <w:rPr>
                <w:sz w:val="15"/>
                <w:szCs w:val="15"/>
                <w:color w:val="auto"/>
              </w:rPr>
            </w:pPr>
          </w:p>
        </w:tc>
        <w:tc>
          <w:tcPr>
            <w:tcW w:w="6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6,928</w:t>
            </w:r>
          </w:p>
        </w:tc>
        <w:tc>
          <w:tcPr>
            <w:tcW w:w="160" w:type="dxa"/>
            <w:vAlign w:val="bottom"/>
            <w:tcBorders>
              <w:top w:val="single" w:sz="8" w:color="E5E9E3"/>
            </w:tcBorders>
            <w:shd w:val="clear" w:color="auto" w:fill="E5E9E3"/>
          </w:tcPr>
          <w:p>
            <w:pPr>
              <w:spacing w:after="0"/>
              <w:rPr>
                <w:sz w:val="15"/>
                <w:szCs w:val="15"/>
                <w:color w:val="auto"/>
              </w:rPr>
            </w:pPr>
          </w:p>
        </w:tc>
        <w:tc>
          <w:tcPr>
            <w:tcW w:w="180" w:type="dxa"/>
            <w:vAlign w:val="bottom"/>
            <w:tcBorders>
              <w:top w:val="single" w:sz="8" w:color="E5E9E3"/>
            </w:tcBorders>
            <w:shd w:val="clear" w:color="auto" w:fill="E5E9E3"/>
          </w:tcPr>
          <w:p>
            <w:pPr>
              <w:spacing w:after="0"/>
              <w:rPr>
                <w:sz w:val="15"/>
                <w:szCs w:val="15"/>
                <w:color w:val="auto"/>
              </w:rPr>
            </w:pPr>
          </w:p>
        </w:tc>
        <w:tc>
          <w:tcPr>
            <w:tcW w:w="100" w:type="dxa"/>
            <w:vAlign w:val="bottom"/>
            <w:tcBorders>
              <w:top w:val="single" w:sz="8" w:color="auto"/>
            </w:tcBorders>
            <w:shd w:val="clear" w:color="auto" w:fill="E5E9E3"/>
          </w:tcPr>
          <w:p>
            <w:pPr>
              <w:spacing w:after="0"/>
              <w:rPr>
                <w:sz w:val="15"/>
                <w:szCs w:val="15"/>
                <w:color w:val="auto"/>
              </w:rPr>
            </w:pPr>
          </w:p>
        </w:tc>
        <w:tc>
          <w:tcPr>
            <w:tcW w:w="400" w:type="dxa"/>
            <w:vAlign w:val="bottom"/>
            <w:tcBorders>
              <w:top w:val="single" w:sz="8" w:color="auto"/>
            </w:tcBorders>
            <w:shd w:val="clear" w:color="auto" w:fill="E5E9E3"/>
          </w:tcPr>
          <w:p>
            <w:pPr>
              <w:jc w:val="right"/>
              <w:spacing w:after="0"/>
              <w:rPr>
                <w:sz w:val="20"/>
                <w:szCs w:val="20"/>
                <w:color w:val="auto"/>
              </w:rPr>
            </w:pPr>
            <w:r>
              <w:rPr>
                <w:rFonts w:ascii="Arial" w:cs="Arial" w:eastAsia="Arial" w:hAnsi="Arial"/>
                <w:sz w:val="14"/>
                <w:szCs w:val="14"/>
                <w:color w:val="auto"/>
              </w:rPr>
              <w:t>0.18</w:t>
            </w:r>
          </w:p>
        </w:tc>
        <w:tc>
          <w:tcPr>
            <w:tcW w:w="40" w:type="dxa"/>
            <w:vAlign w:val="bottom"/>
            <w:tcBorders>
              <w:top w:val="single" w:sz="8" w:color="E5E9E3"/>
            </w:tcBorders>
            <w:shd w:val="clear" w:color="auto" w:fill="E5E9E3"/>
          </w:tcPr>
          <w:p>
            <w:pPr>
              <w:spacing w:after="0"/>
              <w:rPr>
                <w:sz w:val="15"/>
                <w:szCs w:val="15"/>
                <w:color w:val="auto"/>
              </w:rPr>
            </w:pPr>
          </w:p>
        </w:tc>
        <w:tc>
          <w:tcPr>
            <w:tcW w:w="120" w:type="dxa"/>
            <w:vAlign w:val="bottom"/>
            <w:tcBorders>
              <w:top w:val="single" w:sz="8" w:color="E5E9E3"/>
            </w:tcBorders>
            <w:shd w:val="clear" w:color="auto" w:fill="E5E9E3"/>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9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60" w:type="dxa"/>
            <w:vAlign w:val="bottom"/>
            <w:tcBorders>
              <w:right w:val="single" w:sz="8" w:color="E5E9E3"/>
            </w:tcBorders>
          </w:tcPr>
          <w:p>
            <w:pPr>
              <w:spacing w:after="0"/>
              <w:rPr>
                <w:sz w:val="18"/>
                <w:szCs w:val="18"/>
                <w:color w:val="auto"/>
              </w:rPr>
            </w:pPr>
          </w:p>
        </w:tc>
        <w:tc>
          <w:tcPr>
            <w:tcW w:w="5440" w:type="dxa"/>
            <w:vAlign w:val="bottom"/>
            <w:shd w:val="clear" w:color="auto" w:fill="E5E9E3"/>
          </w:tcPr>
          <w:p>
            <w:pPr>
              <w:ind w:left="180"/>
              <w:spacing w:after="0"/>
              <w:rPr>
                <w:sz w:val="20"/>
                <w:szCs w:val="20"/>
                <w:color w:val="auto"/>
              </w:rPr>
            </w:pPr>
            <w:r>
              <w:rPr>
                <w:rFonts w:ascii="Arial" w:cs="Arial" w:eastAsia="Arial" w:hAnsi="Arial"/>
                <w:sz w:val="14"/>
                <w:szCs w:val="14"/>
                <w:color w:val="auto"/>
              </w:rPr>
              <w:t>Total related to net income &amp; EPS</w:t>
            </w:r>
          </w:p>
        </w:tc>
        <w:tc>
          <w:tcPr>
            <w:tcW w:w="92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28,438</w:t>
            </w:r>
          </w:p>
        </w:tc>
        <w:tc>
          <w:tcPr>
            <w:tcW w:w="140" w:type="dxa"/>
            <w:vAlign w:val="bottom"/>
            <w:shd w:val="clear" w:color="auto" w:fill="E5E9E3"/>
          </w:tcPr>
          <w:p>
            <w:pPr>
              <w:spacing w:after="0"/>
              <w:rPr>
                <w:sz w:val="18"/>
                <w:szCs w:val="18"/>
                <w:color w:val="auto"/>
              </w:rPr>
            </w:pPr>
          </w:p>
        </w:tc>
        <w:tc>
          <w:tcPr>
            <w:tcW w:w="200" w:type="dxa"/>
            <w:vAlign w:val="bottom"/>
            <w:shd w:val="clear" w:color="auto" w:fill="E5E9E3"/>
          </w:tcPr>
          <w:p>
            <w:pPr>
              <w:spacing w:after="0"/>
              <w:rPr>
                <w:sz w:val="18"/>
                <w:szCs w:val="18"/>
                <w:color w:val="auto"/>
              </w:rPr>
            </w:pPr>
          </w:p>
        </w:tc>
        <w:tc>
          <w:tcPr>
            <w:tcW w:w="100" w:type="dxa"/>
            <w:vAlign w:val="bottom"/>
            <w:shd w:val="clear" w:color="auto" w:fill="E5E9E3"/>
          </w:tcPr>
          <w:p>
            <w:pPr>
              <w:spacing w:after="0"/>
              <w:rPr>
                <w:sz w:val="18"/>
                <w:szCs w:val="18"/>
                <w:color w:val="auto"/>
              </w:rPr>
            </w:pP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0.78</w:t>
            </w:r>
          </w:p>
        </w:tc>
        <w:tc>
          <w:tcPr>
            <w:tcW w:w="20" w:type="dxa"/>
            <w:vAlign w:val="bottom"/>
            <w:shd w:val="clear" w:color="auto" w:fill="E5E9E3"/>
          </w:tcPr>
          <w:p>
            <w:pPr>
              <w:spacing w:after="0"/>
              <w:rPr>
                <w:sz w:val="18"/>
                <w:szCs w:val="18"/>
                <w:color w:val="auto"/>
              </w:rPr>
            </w:pPr>
          </w:p>
        </w:tc>
        <w:tc>
          <w:tcPr>
            <w:tcW w:w="920" w:type="dxa"/>
            <w:vAlign w:val="bottom"/>
            <w:gridSpan w:val="2"/>
            <w:shd w:val="clear" w:color="auto" w:fill="E5E9E3"/>
          </w:tcPr>
          <w:p>
            <w:pPr>
              <w:jc w:val="right"/>
              <w:spacing w:after="0"/>
              <w:rPr>
                <w:sz w:val="20"/>
                <w:szCs w:val="20"/>
                <w:color w:val="auto"/>
              </w:rPr>
            </w:pPr>
            <w:r>
              <w:rPr>
                <w:rFonts w:ascii="Arial" w:cs="Arial" w:eastAsia="Arial" w:hAnsi="Arial"/>
                <w:sz w:val="14"/>
                <w:szCs w:val="14"/>
                <w:color w:val="auto"/>
              </w:rPr>
              <w:t>34,755</w:t>
            </w:r>
          </w:p>
        </w:tc>
        <w:tc>
          <w:tcPr>
            <w:tcW w:w="160" w:type="dxa"/>
            <w:vAlign w:val="bottom"/>
            <w:shd w:val="clear" w:color="auto" w:fill="E5E9E3"/>
          </w:tcPr>
          <w:p>
            <w:pPr>
              <w:spacing w:after="0"/>
              <w:rPr>
                <w:sz w:val="18"/>
                <w:szCs w:val="18"/>
                <w:color w:val="auto"/>
              </w:rPr>
            </w:pPr>
          </w:p>
        </w:tc>
        <w:tc>
          <w:tcPr>
            <w:tcW w:w="180" w:type="dxa"/>
            <w:vAlign w:val="bottom"/>
            <w:shd w:val="clear" w:color="auto" w:fill="E5E9E3"/>
          </w:tcPr>
          <w:p>
            <w:pPr>
              <w:spacing w:after="0"/>
              <w:rPr>
                <w:sz w:val="18"/>
                <w:szCs w:val="18"/>
                <w:color w:val="auto"/>
              </w:rPr>
            </w:pPr>
          </w:p>
        </w:tc>
        <w:tc>
          <w:tcPr>
            <w:tcW w:w="100" w:type="dxa"/>
            <w:vAlign w:val="bottom"/>
            <w:shd w:val="clear" w:color="auto" w:fill="E5E9E3"/>
          </w:tcPr>
          <w:p>
            <w:pPr>
              <w:spacing w:after="0"/>
              <w:rPr>
                <w:sz w:val="18"/>
                <w:szCs w:val="18"/>
                <w:color w:val="auto"/>
              </w:rPr>
            </w:pPr>
          </w:p>
        </w:tc>
        <w:tc>
          <w:tcPr>
            <w:tcW w:w="400" w:type="dxa"/>
            <w:vAlign w:val="bottom"/>
            <w:shd w:val="clear" w:color="auto" w:fill="E5E9E3"/>
          </w:tcPr>
          <w:p>
            <w:pPr>
              <w:jc w:val="right"/>
              <w:spacing w:after="0"/>
              <w:rPr>
                <w:sz w:val="20"/>
                <w:szCs w:val="20"/>
                <w:color w:val="auto"/>
              </w:rPr>
            </w:pPr>
            <w:r>
              <w:rPr>
                <w:rFonts w:ascii="Arial" w:cs="Arial" w:eastAsia="Arial" w:hAnsi="Arial"/>
                <w:sz w:val="14"/>
                <w:szCs w:val="14"/>
                <w:color w:val="auto"/>
              </w:rPr>
              <w:t>0.94</w:t>
            </w:r>
          </w:p>
        </w:tc>
        <w:tc>
          <w:tcPr>
            <w:tcW w:w="40" w:type="dxa"/>
            <w:vAlign w:val="bottom"/>
            <w:shd w:val="clear" w:color="auto" w:fill="E5E9E3"/>
          </w:tcPr>
          <w:p>
            <w:pPr>
              <w:spacing w:after="0"/>
              <w:rPr>
                <w:sz w:val="18"/>
                <w:szCs w:val="18"/>
                <w:color w:val="auto"/>
              </w:rPr>
            </w:pPr>
          </w:p>
        </w:tc>
        <w:tc>
          <w:tcPr>
            <w:tcW w:w="120" w:type="dxa"/>
            <w:vAlign w:val="bottom"/>
            <w:shd w:val="clear" w:color="auto" w:fill="E5E9E3"/>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960" w:type="dxa"/>
            <w:vAlign w:val="bottom"/>
          </w:tcPr>
          <w:p>
            <w:pPr>
              <w:spacing w:after="0"/>
              <w:rPr>
                <w:sz w:val="18"/>
                <w:szCs w:val="18"/>
                <w:color w:val="auto"/>
              </w:rPr>
            </w:pPr>
          </w:p>
        </w:tc>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Non-GAAP net income</w:t>
            </w:r>
          </w:p>
        </w:tc>
        <w:tc>
          <w:tcPr>
            <w:tcW w:w="106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rPr>
              <w:t>$324,619</w:t>
            </w:r>
          </w:p>
        </w:tc>
        <w:tc>
          <w:tcPr>
            <w:tcW w:w="30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8.88</w:t>
            </w:r>
          </w:p>
        </w:tc>
        <w:tc>
          <w:tcPr>
            <w:tcW w:w="20" w:type="dxa"/>
            <w:vAlign w:val="bottom"/>
          </w:tcPr>
          <w:p>
            <w:pPr>
              <w:spacing w:after="0"/>
              <w:rPr>
                <w:sz w:val="18"/>
                <w:szCs w:val="18"/>
                <w:color w:val="auto"/>
              </w:rPr>
            </w:pPr>
          </w:p>
        </w:tc>
        <w:tc>
          <w:tcPr>
            <w:tcW w:w="1080" w:type="dxa"/>
            <w:vAlign w:val="bottom"/>
            <w:gridSpan w:val="3"/>
          </w:tcPr>
          <w:p>
            <w:pPr>
              <w:jc w:val="center"/>
              <w:ind w:left="89"/>
              <w:spacing w:after="0"/>
              <w:rPr>
                <w:sz w:val="20"/>
                <w:szCs w:val="20"/>
                <w:color w:val="auto"/>
              </w:rPr>
            </w:pPr>
            <w:r>
              <w:rPr>
                <w:rFonts w:ascii="Arial" w:cs="Arial" w:eastAsia="Arial" w:hAnsi="Arial"/>
                <w:sz w:val="14"/>
                <w:szCs w:val="14"/>
                <w:b w:val="1"/>
                <w:bCs w:val="1"/>
                <w:color w:val="auto"/>
              </w:rPr>
              <w:t>$282,668</w:t>
            </w:r>
          </w:p>
        </w:tc>
        <w:tc>
          <w:tcPr>
            <w:tcW w:w="28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960" w:type="dxa"/>
            <w:vAlign w:val="bottom"/>
            <w:tcBorders>
              <w:right w:val="single" w:sz="8" w:color="E5E9E3"/>
            </w:tcBorders>
          </w:tcPr>
          <w:p>
            <w:pPr>
              <w:spacing w:after="0"/>
              <w:rPr>
                <w:sz w:val="18"/>
                <w:szCs w:val="18"/>
                <w:color w:val="auto"/>
              </w:rPr>
            </w:pPr>
          </w:p>
        </w:tc>
        <w:tc>
          <w:tcPr>
            <w:tcW w:w="5440" w:type="dxa"/>
            <w:vAlign w:val="bottom"/>
            <w:shd w:val="clear" w:color="auto" w:fill="E5E9E3"/>
          </w:tcPr>
          <w:p>
            <w:pPr>
              <w:ind w:left="40"/>
              <w:spacing w:after="0"/>
              <w:rPr>
                <w:sz w:val="20"/>
                <w:szCs w:val="20"/>
                <w:color w:val="auto"/>
              </w:rPr>
            </w:pPr>
            <w:r>
              <w:rPr>
                <w:rFonts w:ascii="Arial" w:cs="Arial" w:eastAsia="Arial" w:hAnsi="Arial"/>
                <w:sz w:val="14"/>
                <w:szCs w:val="14"/>
                <w:color w:val="auto"/>
              </w:rPr>
              <w:t>Shares used in computing diluted net income per share (in thousands)</w:t>
            </w:r>
          </w:p>
        </w:tc>
        <w:tc>
          <w:tcPr>
            <w:tcW w:w="320" w:type="dxa"/>
            <w:vAlign w:val="bottom"/>
            <w:shd w:val="clear" w:color="auto" w:fill="E5E9E3"/>
          </w:tcPr>
          <w:p>
            <w:pPr>
              <w:spacing w:after="0"/>
              <w:rPr>
                <w:sz w:val="18"/>
                <w:szCs w:val="18"/>
                <w:color w:val="auto"/>
              </w:rPr>
            </w:pPr>
          </w:p>
        </w:tc>
        <w:tc>
          <w:tcPr>
            <w:tcW w:w="600" w:type="dxa"/>
            <w:vAlign w:val="bottom"/>
            <w:shd w:val="clear" w:color="auto" w:fill="E5E9E3"/>
          </w:tcPr>
          <w:p>
            <w:pPr>
              <w:spacing w:after="0"/>
              <w:rPr>
                <w:sz w:val="18"/>
                <w:szCs w:val="18"/>
                <w:color w:val="auto"/>
              </w:rPr>
            </w:pPr>
          </w:p>
        </w:tc>
        <w:tc>
          <w:tcPr>
            <w:tcW w:w="140" w:type="dxa"/>
            <w:vAlign w:val="bottom"/>
            <w:shd w:val="clear" w:color="auto" w:fill="E5E9E3"/>
          </w:tcPr>
          <w:p>
            <w:pPr>
              <w:spacing w:after="0"/>
              <w:rPr>
                <w:sz w:val="18"/>
                <w:szCs w:val="18"/>
                <w:color w:val="auto"/>
              </w:rPr>
            </w:pPr>
          </w:p>
        </w:tc>
        <w:tc>
          <w:tcPr>
            <w:tcW w:w="200" w:type="dxa"/>
            <w:vAlign w:val="bottom"/>
            <w:shd w:val="clear" w:color="auto" w:fill="E5E9E3"/>
          </w:tcPr>
          <w:p>
            <w:pPr>
              <w:spacing w:after="0"/>
              <w:rPr>
                <w:sz w:val="18"/>
                <w:szCs w:val="18"/>
                <w:color w:val="auto"/>
              </w:rPr>
            </w:pPr>
          </w:p>
        </w:tc>
        <w:tc>
          <w:tcPr>
            <w:tcW w:w="100" w:type="dxa"/>
            <w:vAlign w:val="bottom"/>
            <w:shd w:val="clear" w:color="auto" w:fill="E5E9E3"/>
          </w:tcPr>
          <w:p>
            <w:pPr>
              <w:spacing w:after="0"/>
              <w:rPr>
                <w:sz w:val="18"/>
                <w:szCs w:val="18"/>
                <w:color w:val="auto"/>
              </w:rPr>
            </w:pPr>
          </w:p>
        </w:tc>
        <w:tc>
          <w:tcPr>
            <w:tcW w:w="400" w:type="dxa"/>
            <w:vAlign w:val="bottom"/>
            <w:shd w:val="clear" w:color="auto" w:fill="E5E9E3"/>
          </w:tcPr>
          <w:p>
            <w:pPr>
              <w:spacing w:after="0"/>
              <w:rPr>
                <w:sz w:val="18"/>
                <w:szCs w:val="18"/>
                <w:color w:val="auto"/>
              </w:rPr>
            </w:pPr>
          </w:p>
        </w:tc>
        <w:tc>
          <w:tcPr>
            <w:tcW w:w="20" w:type="dxa"/>
            <w:vAlign w:val="bottom"/>
            <w:shd w:val="clear" w:color="auto" w:fill="E5E9E3"/>
          </w:tcPr>
          <w:p>
            <w:pPr>
              <w:spacing w:after="0"/>
              <w:rPr>
                <w:sz w:val="18"/>
                <w:szCs w:val="18"/>
                <w:color w:val="auto"/>
              </w:rPr>
            </w:pPr>
          </w:p>
        </w:tc>
        <w:tc>
          <w:tcPr>
            <w:tcW w:w="320" w:type="dxa"/>
            <w:vAlign w:val="bottom"/>
            <w:shd w:val="clear" w:color="auto" w:fill="E5E9E3"/>
          </w:tcPr>
          <w:p>
            <w:pPr>
              <w:spacing w:after="0"/>
              <w:rPr>
                <w:sz w:val="18"/>
                <w:szCs w:val="18"/>
                <w:color w:val="auto"/>
              </w:rPr>
            </w:pPr>
          </w:p>
        </w:tc>
        <w:tc>
          <w:tcPr>
            <w:tcW w:w="600" w:type="dxa"/>
            <w:vAlign w:val="bottom"/>
            <w:shd w:val="clear" w:color="auto" w:fill="E5E9E3"/>
          </w:tcPr>
          <w:p>
            <w:pPr>
              <w:spacing w:after="0"/>
              <w:rPr>
                <w:sz w:val="18"/>
                <w:szCs w:val="18"/>
                <w:color w:val="auto"/>
              </w:rPr>
            </w:pPr>
          </w:p>
        </w:tc>
        <w:tc>
          <w:tcPr>
            <w:tcW w:w="160" w:type="dxa"/>
            <w:vAlign w:val="bottom"/>
            <w:shd w:val="clear" w:color="auto" w:fill="E5E9E3"/>
          </w:tcPr>
          <w:p>
            <w:pPr>
              <w:spacing w:after="0"/>
              <w:rPr>
                <w:sz w:val="18"/>
                <w:szCs w:val="18"/>
                <w:color w:val="auto"/>
              </w:rPr>
            </w:pPr>
          </w:p>
        </w:tc>
        <w:tc>
          <w:tcPr>
            <w:tcW w:w="180" w:type="dxa"/>
            <w:vAlign w:val="bottom"/>
            <w:shd w:val="clear" w:color="auto" w:fill="E5E9E3"/>
          </w:tcPr>
          <w:p>
            <w:pPr>
              <w:spacing w:after="0"/>
              <w:rPr>
                <w:sz w:val="18"/>
                <w:szCs w:val="18"/>
                <w:color w:val="auto"/>
              </w:rPr>
            </w:pPr>
          </w:p>
        </w:tc>
        <w:tc>
          <w:tcPr>
            <w:tcW w:w="100" w:type="dxa"/>
            <w:vAlign w:val="bottom"/>
            <w:shd w:val="clear" w:color="auto" w:fill="E5E9E3"/>
          </w:tcPr>
          <w:p>
            <w:pPr>
              <w:spacing w:after="0"/>
              <w:rPr>
                <w:sz w:val="18"/>
                <w:szCs w:val="18"/>
                <w:color w:val="auto"/>
              </w:rPr>
            </w:pPr>
          </w:p>
        </w:tc>
        <w:tc>
          <w:tcPr>
            <w:tcW w:w="400" w:type="dxa"/>
            <w:vAlign w:val="bottom"/>
            <w:shd w:val="clear" w:color="auto" w:fill="E5E9E3"/>
          </w:tcPr>
          <w:p>
            <w:pPr>
              <w:spacing w:after="0"/>
              <w:rPr>
                <w:sz w:val="18"/>
                <w:szCs w:val="18"/>
                <w:color w:val="auto"/>
              </w:rPr>
            </w:pPr>
          </w:p>
        </w:tc>
        <w:tc>
          <w:tcPr>
            <w:tcW w:w="40" w:type="dxa"/>
            <w:vAlign w:val="bottom"/>
            <w:shd w:val="clear" w:color="auto" w:fill="E5E9E3"/>
          </w:tcPr>
          <w:p>
            <w:pPr>
              <w:spacing w:after="0"/>
              <w:rPr>
                <w:sz w:val="18"/>
                <w:szCs w:val="18"/>
                <w:color w:val="auto"/>
              </w:rPr>
            </w:pPr>
          </w:p>
        </w:tc>
        <w:tc>
          <w:tcPr>
            <w:tcW w:w="120" w:type="dxa"/>
            <w:vAlign w:val="bottom"/>
            <w:shd w:val="clear" w:color="auto" w:fill="E5E9E3"/>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960" w:type="dxa"/>
            <w:vAlign w:val="bottom"/>
          </w:tcPr>
          <w:p>
            <w:pPr>
              <w:spacing w:after="0"/>
              <w:rPr>
                <w:sz w:val="18"/>
                <w:szCs w:val="18"/>
                <w:color w:val="auto"/>
              </w:rPr>
            </w:pPr>
          </w:p>
        </w:tc>
        <w:tc>
          <w:tcPr>
            <w:tcW w:w="5440" w:type="dxa"/>
            <w:vAlign w:val="bottom"/>
          </w:tcPr>
          <w:p>
            <w:pPr>
              <w:ind w:left="180"/>
              <w:spacing w:after="0"/>
              <w:rPr>
                <w:sz w:val="20"/>
                <w:szCs w:val="20"/>
                <w:color w:val="auto"/>
              </w:rPr>
            </w:pPr>
            <w:r>
              <w:rPr>
                <w:rFonts w:ascii="Arial" w:cs="Arial" w:eastAsia="Arial" w:hAnsi="Arial"/>
                <w:sz w:val="14"/>
                <w:szCs w:val="14"/>
                <w:color w:val="auto"/>
              </w:rPr>
              <w:t>GAAP diluted shares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36,564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36,855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960" w:type="dxa"/>
            <w:vAlign w:val="bottom"/>
            <w:tcBorders>
              <w:right w:val="single" w:sz="8" w:color="E5E9E3"/>
            </w:tcBorders>
          </w:tcPr>
          <w:p>
            <w:pPr>
              <w:spacing w:after="0"/>
              <w:rPr>
                <w:sz w:val="17"/>
                <w:szCs w:val="17"/>
                <w:color w:val="auto"/>
              </w:rPr>
            </w:pPr>
          </w:p>
        </w:tc>
        <w:tc>
          <w:tcPr>
            <w:tcW w:w="5440" w:type="dxa"/>
            <w:vAlign w:val="bottom"/>
            <w:shd w:val="clear" w:color="auto" w:fill="E5E9E3"/>
          </w:tcPr>
          <w:p>
            <w:pPr>
              <w:ind w:left="180"/>
              <w:spacing w:after="0"/>
              <w:rPr>
                <w:sz w:val="20"/>
                <w:szCs w:val="20"/>
                <w:color w:val="auto"/>
              </w:rPr>
            </w:pPr>
            <w:r>
              <w:rPr>
                <w:rFonts w:ascii="Arial" w:cs="Arial" w:eastAsia="Arial" w:hAnsi="Arial"/>
                <w:sz w:val="14"/>
                <w:szCs w:val="14"/>
                <w:color w:val="auto"/>
              </w:rPr>
              <w:t>Non-GAAP diluted shares</w:t>
            </w:r>
          </w:p>
        </w:tc>
        <w:tc>
          <w:tcPr>
            <w:tcW w:w="320" w:type="dxa"/>
            <w:vAlign w:val="bottom"/>
            <w:shd w:val="clear" w:color="auto" w:fill="E5E9E3"/>
          </w:tcPr>
          <w:p>
            <w:pPr>
              <w:spacing w:after="0"/>
              <w:rPr>
                <w:sz w:val="17"/>
                <w:szCs w:val="17"/>
                <w:color w:val="auto"/>
              </w:rPr>
            </w:pPr>
          </w:p>
        </w:tc>
        <w:tc>
          <w:tcPr>
            <w:tcW w:w="600" w:type="dxa"/>
            <w:vAlign w:val="bottom"/>
            <w:shd w:val="clear" w:color="auto" w:fill="E5E9E3"/>
          </w:tcPr>
          <w:p>
            <w:pPr>
              <w:spacing w:after="0"/>
              <w:rPr>
                <w:sz w:val="17"/>
                <w:szCs w:val="17"/>
                <w:color w:val="auto"/>
              </w:rPr>
            </w:pPr>
          </w:p>
        </w:tc>
        <w:tc>
          <w:tcPr>
            <w:tcW w:w="140" w:type="dxa"/>
            <w:vAlign w:val="bottom"/>
            <w:shd w:val="clear" w:color="auto" w:fill="E5E9E3"/>
          </w:tcPr>
          <w:p>
            <w:pPr>
              <w:spacing w:after="0"/>
              <w:rPr>
                <w:sz w:val="17"/>
                <w:szCs w:val="17"/>
                <w:color w:val="auto"/>
              </w:rPr>
            </w:pPr>
          </w:p>
        </w:tc>
        <w:tc>
          <w:tcPr>
            <w:tcW w:w="700" w:type="dxa"/>
            <w:vAlign w:val="bottom"/>
            <w:gridSpan w:val="3"/>
            <w:shd w:val="clear" w:color="auto" w:fill="E5E9E3"/>
          </w:tcPr>
          <w:p>
            <w:pPr>
              <w:jc w:val="right"/>
              <w:spacing w:after="0"/>
              <w:rPr>
                <w:sz w:val="20"/>
                <w:szCs w:val="20"/>
                <w:color w:val="auto"/>
              </w:rPr>
            </w:pPr>
            <w:r>
              <w:rPr>
                <w:rFonts w:ascii="Arial" w:cs="Arial" w:eastAsia="Arial" w:hAnsi="Arial"/>
                <w:sz w:val="14"/>
                <w:szCs w:val="14"/>
                <w:color w:val="auto"/>
              </w:rPr>
              <w:t>36,564</w:t>
            </w:r>
          </w:p>
        </w:tc>
        <w:tc>
          <w:tcPr>
            <w:tcW w:w="20" w:type="dxa"/>
            <w:vAlign w:val="bottom"/>
            <w:shd w:val="clear" w:color="auto" w:fill="E5E9E3"/>
          </w:tcPr>
          <w:p>
            <w:pPr>
              <w:spacing w:after="0"/>
              <w:rPr>
                <w:sz w:val="17"/>
                <w:szCs w:val="17"/>
                <w:color w:val="auto"/>
              </w:rPr>
            </w:pPr>
          </w:p>
        </w:tc>
        <w:tc>
          <w:tcPr>
            <w:tcW w:w="320" w:type="dxa"/>
            <w:vAlign w:val="bottom"/>
            <w:shd w:val="clear" w:color="auto" w:fill="E5E9E3"/>
          </w:tcPr>
          <w:p>
            <w:pPr>
              <w:spacing w:after="0"/>
              <w:rPr>
                <w:sz w:val="17"/>
                <w:szCs w:val="17"/>
                <w:color w:val="auto"/>
              </w:rPr>
            </w:pPr>
          </w:p>
        </w:tc>
        <w:tc>
          <w:tcPr>
            <w:tcW w:w="600" w:type="dxa"/>
            <w:vAlign w:val="bottom"/>
            <w:shd w:val="clear" w:color="auto" w:fill="E5E9E3"/>
          </w:tcPr>
          <w:p>
            <w:pPr>
              <w:spacing w:after="0"/>
              <w:rPr>
                <w:sz w:val="17"/>
                <w:szCs w:val="17"/>
                <w:color w:val="auto"/>
              </w:rPr>
            </w:pPr>
          </w:p>
        </w:tc>
        <w:tc>
          <w:tcPr>
            <w:tcW w:w="160" w:type="dxa"/>
            <w:vAlign w:val="bottom"/>
            <w:shd w:val="clear" w:color="auto" w:fill="E5E9E3"/>
          </w:tcPr>
          <w:p>
            <w:pPr>
              <w:spacing w:after="0"/>
              <w:rPr>
                <w:sz w:val="17"/>
                <w:szCs w:val="17"/>
                <w:color w:val="auto"/>
              </w:rPr>
            </w:pPr>
          </w:p>
        </w:tc>
        <w:tc>
          <w:tcPr>
            <w:tcW w:w="680" w:type="dxa"/>
            <w:vAlign w:val="bottom"/>
            <w:gridSpan w:val="3"/>
            <w:shd w:val="clear" w:color="auto" w:fill="E5E9E3"/>
          </w:tcPr>
          <w:p>
            <w:pPr>
              <w:jc w:val="right"/>
              <w:spacing w:after="0"/>
              <w:rPr>
                <w:sz w:val="20"/>
                <w:szCs w:val="20"/>
                <w:color w:val="auto"/>
              </w:rPr>
            </w:pPr>
            <w:r>
              <w:rPr>
                <w:rFonts w:ascii="Arial" w:cs="Arial" w:eastAsia="Arial" w:hAnsi="Arial"/>
                <w:sz w:val="14"/>
                <w:szCs w:val="14"/>
                <w:color w:val="auto"/>
              </w:rPr>
              <w:t>36,855</w:t>
            </w:r>
          </w:p>
        </w:tc>
        <w:tc>
          <w:tcPr>
            <w:tcW w:w="40" w:type="dxa"/>
            <w:vAlign w:val="bottom"/>
            <w:shd w:val="clear" w:color="auto" w:fill="E5E9E3"/>
          </w:tcPr>
          <w:p>
            <w:pPr>
              <w:spacing w:after="0"/>
              <w:rPr>
                <w:sz w:val="17"/>
                <w:szCs w:val="17"/>
                <w:color w:val="auto"/>
              </w:rPr>
            </w:pPr>
          </w:p>
        </w:tc>
        <w:tc>
          <w:tcPr>
            <w:tcW w:w="120" w:type="dxa"/>
            <w:vAlign w:val="bottom"/>
            <w:shd w:val="clear" w:color="auto" w:fill="E5E9E3"/>
          </w:tcPr>
          <w:p>
            <w:pPr>
              <w:spacing w:after="0"/>
              <w:rPr>
                <w:sz w:val="17"/>
                <w:szCs w:val="17"/>
                <w:color w:val="auto"/>
              </w:rPr>
            </w:pPr>
          </w:p>
        </w:tc>
        <w:tc>
          <w:tcPr>
            <w:tcW w:w="920" w:type="dxa"/>
            <w:vAlign w:val="bottom"/>
          </w:tcPr>
          <w:p>
            <w:pPr>
              <w:spacing w:after="0"/>
              <w:rPr>
                <w:sz w:val="17"/>
                <w:szCs w:val="17"/>
                <w:color w:val="auto"/>
              </w:rPr>
            </w:pPr>
          </w:p>
        </w:tc>
      </w:tr>
      <w:tr>
        <w:trPr>
          <w:trHeight w:val="472"/>
        </w:trPr>
        <w:tc>
          <w:tcPr>
            <w:tcW w:w="96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A-2</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8"/>
          </w:tcPr>
          <w:p>
            <w:pPr>
              <w:jc w:val="center"/>
              <w:ind w:left="89"/>
              <w:spacing w:after="0"/>
              <w:rPr>
                <w:sz w:val="20"/>
                <w:szCs w:val="20"/>
                <w:color w:val="auto"/>
              </w:rPr>
            </w:pPr>
            <w:r>
              <w:rPr>
                <w:rFonts w:ascii="Arial" w:cs="Arial" w:eastAsia="Arial" w:hAnsi="Arial"/>
                <w:sz w:val="13"/>
                <w:szCs w:val="13"/>
                <w:color w:val="auto"/>
                <w:w w:val="89"/>
              </w:rPr>
              <w:t>2024 PROXY STATEMENT </w:t>
            </w:r>
          </w:p>
        </w:tc>
        <w:tc>
          <w:tcPr>
            <w:tcW w:w="920" w:type="dxa"/>
            <w:vAlign w:val="bottom"/>
          </w:tcPr>
          <w:p>
            <w:pPr>
              <w:spacing w:after="0"/>
              <w:rPr>
                <w:sz w:val="24"/>
                <w:szCs w:val="24"/>
                <w:color w:val="auto"/>
              </w:rPr>
            </w:pPr>
          </w:p>
        </w:tc>
      </w:tr>
      <w:tr>
        <w:trPr>
          <w:trHeight w:val="237"/>
        </w:trPr>
        <w:tc>
          <w:tcPr>
            <w:tcW w:w="96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-3539490</wp:posOffset>
            </wp:positionV>
            <wp:extent cx="20656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-3368040</wp:posOffset>
            </wp:positionV>
            <wp:extent cx="20656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-248285</wp:posOffset>
            </wp:positionV>
            <wp:extent cx="342900" cy="774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0" cy="7747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102870</wp:posOffset>
            </wp:positionV>
            <wp:extent cx="6292215" cy="8143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120650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102870</wp:posOffset>
            </wp:positionV>
            <wp:extent cx="6292215" cy="8143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9879"/>
      </w:cols>
      <w:pgMar w:left="5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0"/>
    </w:lvl>
  </w:abstractNum>
  <w:abstractNum w:abstractNumId="7">
    <w:nsid w:val="75C6C33A"/>
    <w:multiLevelType w:val="hybridMultilevel"/>
    <w:lvl w:ilvl="0">
      <w:lvlJc w:val="left"/>
      <w:lvlText w:val="%1"/>
      <w:numFmt w:val="decimal"/>
      <w:start w:val="1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1:"/>
      <w:numFmt w:val="upperLetter"/>
      <w:start w:val="1"/>
    </w:lvl>
  </w:abstractNum>
  <w:abstractNum w:abstractNumId="12">
    <w:nsid w:val="4F4EF005"/>
    <w:multiLevelType w:val="hybridMultilevel"/>
    <w:lvl w:ilvl="0">
      <w:lvlJc w:val="left"/>
      <w:lvlText w:val="%1:"/>
      <w:numFmt w:val="upperLetter"/>
      <w:start w:val="17"/>
    </w:lvl>
  </w:abstractNum>
  <w:abstractNum w:abstractNumId="13">
    <w:nsid w:val="23F9C13C"/>
    <w:multiLevelType w:val="hybridMultilevel"/>
    <w:lvl w:ilvl="0">
      <w:lvlJc w:val="left"/>
      <w:lvlText w:val="%1:"/>
      <w:numFmt w:val="upperLetter"/>
      <w:start w:val="1"/>
    </w:lvl>
  </w:abstractNum>
  <w:abstractNum w:abstractNumId="14">
    <w:nsid w:val="649BB77C"/>
    <w:multiLevelType w:val="hybridMultilevel"/>
    <w:lvl w:ilvl="0">
      <w:lvlJc w:val="left"/>
      <w:lvlText w:val="%1:"/>
      <w:numFmt w:val="upperLetter"/>
      <w:start w:val="1"/>
    </w:lvl>
  </w:abstractNum>
  <w:abstractNum w:abstractNumId="15">
    <w:nsid w:val="275AC794"/>
    <w:multiLevelType w:val="hybridMultilevel"/>
    <w:lvl w:ilvl="0">
      <w:lvlJc w:val="left"/>
      <w:lvlText w:val="%1:"/>
      <w:numFmt w:val="upperLetter"/>
      <w:start w:val="17"/>
    </w:lvl>
  </w:abstractNum>
  <w:abstractNum w:abstractNumId="16">
    <w:nsid w:val="39386575"/>
    <w:multiLevelType w:val="hybridMultilevel"/>
    <w:lvl w:ilvl="0">
      <w:lvlJc w:val="left"/>
      <w:lvlText w:val="%1:"/>
      <w:numFmt w:val="upperLetter"/>
      <w:start w:val="1"/>
    </w:lvl>
  </w:abstractNum>
  <w:abstractNum w:abstractNumId="17">
    <w:nsid w:val="1CF10FD8"/>
    <w:multiLevelType w:val="hybridMultilevel"/>
    <w:lvl w:ilvl="0">
      <w:lvlJc w:val="left"/>
      <w:lvlText w:val="%1:"/>
      <w:numFmt w:val="upperLetter"/>
      <w:start w:val="17"/>
    </w:lvl>
  </w:abstractNum>
  <w:abstractNum w:abstractNumId="18">
    <w:nsid w:val="180115BE"/>
    <w:multiLevelType w:val="hybridMultilevel"/>
    <w:lvl w:ilvl="0">
      <w:lvlJc w:val="left"/>
      <w:lvlText w:val="%1:"/>
      <w:numFmt w:val="upperLetter"/>
      <w:start w:val="17"/>
    </w:lvl>
  </w:abstractNum>
  <w:abstractNum w:abstractNumId="19">
    <w:nsid w:val="235BA861"/>
    <w:multiLevelType w:val="hybridMultilevel"/>
    <w:lvl w:ilvl="0">
      <w:lvlJc w:val="left"/>
      <w:lvlText w:val="%1:"/>
      <w:numFmt w:val="upperLetter"/>
      <w:start w:val="1"/>
    </w:lvl>
    <w:lvl w:ilvl="1">
      <w:lvlJc w:val="left"/>
      <w:lvlText w:val="•"/>
      <w:numFmt w:val="bullet"/>
      <w:start w:val="1"/>
    </w:lvl>
  </w:abstractNum>
  <w:abstractNum w:abstractNumId="20">
    <w:nsid w:val="47398C89"/>
    <w:multiLevelType w:val="hybridMultilevel"/>
    <w:lvl w:ilvl="0">
      <w:lvlJc w:val="left"/>
      <w:lvlText w:val="%1:"/>
      <w:numFmt w:val="upperLetter"/>
      <w:start w:val="17"/>
    </w:lvl>
  </w:abstractNum>
  <w:abstractNum w:abstractNumId="21">
    <w:nsid w:val="354FE9F9"/>
    <w:multiLevelType w:val="hybridMultilevel"/>
    <w:lvl w:ilvl="0">
      <w:lvlJc w:val="left"/>
      <w:lvlText w:val="%1:"/>
      <w:numFmt w:val="upperLetter"/>
      <w:start w:val="1"/>
    </w:lvl>
  </w:abstractNum>
  <w:abstractNum w:abstractNumId="22">
    <w:nsid w:val="15B5AF5C"/>
    <w:multiLevelType w:val="hybridMultilevel"/>
    <w:lvl w:ilvl="0">
      <w:lvlJc w:val="left"/>
      <w:lvlText w:val="%1:"/>
      <w:numFmt w:val="upperLetter"/>
      <w:start w:val="17"/>
    </w:lvl>
  </w:abstractNum>
  <w:abstractNum w:abstractNumId="23">
    <w:nsid w:val="741226BB"/>
    <w:multiLevelType w:val="hybridMultilevel"/>
    <w:lvl w:ilvl="0">
      <w:lvlJc w:val="left"/>
      <w:lvlText w:val="%1:"/>
      <w:numFmt w:val="upperLetter"/>
      <w:start w:val="1"/>
    </w:lvl>
  </w:abstractNum>
  <w:abstractNum w:abstractNumId="24">
    <w:nsid w:val="D34B6A8"/>
    <w:multiLevelType w:val="hybridMultilevel"/>
    <w:lvl w:ilvl="0">
      <w:lvlJc w:val="left"/>
      <w:lvlText w:val="%1:"/>
      <w:numFmt w:val="upperLetter"/>
      <w:start w:val="17"/>
    </w:lvl>
  </w:abstractNum>
  <w:abstractNum w:abstractNumId="25">
    <w:nsid w:val="10233C99"/>
    <w:multiLevelType w:val="hybridMultilevel"/>
    <w:lvl w:ilvl="0">
      <w:lvlJc w:val="left"/>
      <w:lvlText w:val="%1:"/>
      <w:numFmt w:val="upperLetter"/>
      <w:start w:val="1"/>
    </w:lvl>
  </w:abstractNum>
  <w:abstractNum w:abstractNumId="26">
    <w:nsid w:val="3F6AB60F"/>
    <w:multiLevelType w:val="hybridMultilevel"/>
    <w:lvl w:ilvl="0">
      <w:lvlJc w:val="left"/>
      <w:lvlText w:val="%1:"/>
      <w:numFmt w:val="upperLetter"/>
      <w:start w:val="17"/>
    </w:lvl>
  </w:abstractNum>
  <w:abstractNum w:abstractNumId="27">
    <w:nsid w:val="61574095"/>
    <w:multiLevelType w:val="hybridMultilevel"/>
    <w:lvl w:ilvl="0">
      <w:lvlJc w:val="left"/>
      <w:lvlText w:val="%1:"/>
      <w:numFmt w:val="upperLetter"/>
      <w:start w:val="1"/>
    </w:lvl>
  </w:abstractNum>
  <w:abstractNum w:abstractNumId="28">
    <w:nsid w:val="7E0C57B1"/>
    <w:multiLevelType w:val="hybridMultilevel"/>
    <w:lvl w:ilvl="0">
      <w:lvlJc w:val="left"/>
      <w:lvlText w:val="%1:"/>
      <w:numFmt w:val="upperLetter"/>
      <w:start w:val="17"/>
    </w:lvl>
  </w:abstractNum>
  <w:abstractNum w:abstractNumId="29">
    <w:nsid w:val="77AE35EB"/>
    <w:multiLevelType w:val="hybridMultilevel"/>
    <w:lvl w:ilvl="0">
      <w:lvlJc w:val="left"/>
      <w:lvlText w:val="%1:"/>
      <w:numFmt w:val="upperLetter"/>
      <w:start w:val="1"/>
    </w:lvl>
  </w:abstractNum>
  <w:abstractNum w:abstractNumId="30">
    <w:nsid w:val="579BE4F1"/>
    <w:multiLevelType w:val="hybridMultilevel"/>
    <w:lvl w:ilvl="0">
      <w:lvlJc w:val="left"/>
      <w:lvlText w:val="%1:"/>
      <w:numFmt w:val="upperLetter"/>
      <w:start w:val="16"/>
    </w:lvl>
    <w:lvl w:ilvl="1">
      <w:lvlJc w:val="left"/>
      <w:lvlText w:val="•"/>
      <w:numFmt w:val="bullet"/>
      <w:start w:val="1"/>
    </w:lvl>
  </w:abstractNum>
  <w:abstractNum w:abstractNumId="31">
    <w:nsid w:val="310C50B3"/>
    <w:multiLevelType w:val="hybridMultilevel"/>
    <w:lvl w:ilvl="0">
      <w:lvlJc w:val="left"/>
      <w:lvlText w:val="%1:"/>
      <w:numFmt w:val="upperLetter"/>
      <w:start w:val="1"/>
    </w:lvl>
  </w:abstractNum>
  <w:abstractNum w:abstractNumId="32">
    <w:nsid w:val="5FF87E05"/>
    <w:multiLevelType w:val="hybridMultilevel"/>
    <w:lvl w:ilvl="0">
      <w:lvlJc w:val="left"/>
      <w:lvlText w:val="%1:"/>
      <w:numFmt w:val="upperLetter"/>
      <w:start w:val="1"/>
    </w:lvl>
  </w:abstractNum>
  <w:abstractNum w:abstractNumId="33">
    <w:nsid w:val="2F305DEF"/>
    <w:multiLevelType w:val="hybridMultilevel"/>
    <w:lvl w:ilvl="0">
      <w:lvlJc w:val="left"/>
      <w:lvlText w:val="%1:"/>
      <w:numFmt w:val="upperLetter"/>
      <w:start w:val="17"/>
    </w:lvl>
  </w:abstractNum>
  <w:abstractNum w:abstractNumId="34">
    <w:nsid w:val="25A70BF7"/>
    <w:multiLevelType w:val="hybridMultilevel"/>
    <w:lvl w:ilvl="0">
      <w:lvlJc w:val="left"/>
      <w:lvlText w:val="%1:"/>
      <w:numFmt w:val="upperLetter"/>
      <w:start w:val="1"/>
    </w:lvl>
  </w:abstractNum>
  <w:abstractNum w:abstractNumId="35">
    <w:nsid w:val="1DBABF00"/>
    <w:multiLevelType w:val="hybridMultilevel"/>
    <w:lvl w:ilvl="0">
      <w:lvlJc w:val="left"/>
      <w:lvlText w:val="%1:"/>
      <w:numFmt w:val="upperLetter"/>
      <w:start w:val="17"/>
    </w:lvl>
  </w:abstractNum>
  <w:abstractNum w:abstractNumId="36">
    <w:nsid w:val="4AD084E9"/>
    <w:multiLevelType w:val="hybridMultilevel"/>
    <w:lvl w:ilvl="0">
      <w:lvlJc w:val="left"/>
      <w:lvlText w:val="%1:"/>
      <w:numFmt w:val="upperLetter"/>
      <w:start w:val="1"/>
    </w:lvl>
  </w:abstractNum>
  <w:abstractNum w:abstractNumId="37">
    <w:nsid w:val="1F48EAA1"/>
    <w:multiLevelType w:val="hybridMultilevel"/>
    <w:lvl w:ilvl="0">
      <w:lvlJc w:val="left"/>
      <w:lvlText w:val="%1:"/>
      <w:numFmt w:val="upperLetter"/>
      <w:start w:val="1"/>
    </w:lvl>
    <w:lvl w:ilvl="1">
      <w:lvlJc w:val="left"/>
      <w:lvlText w:val="(%2)"/>
      <w:numFmt w:val="decimal"/>
      <w:start w:val="3"/>
    </w:lvl>
  </w:abstractNum>
  <w:abstractNum w:abstractNumId="38">
    <w:nsid w:val="1381823A"/>
    <w:multiLevelType w:val="hybridMultilevel"/>
    <w:lvl w:ilvl="0">
      <w:lvlJc w:val="left"/>
      <w:lvlText w:val="%1:"/>
      <w:numFmt w:val="upperLetter"/>
      <w:start w:val="17"/>
    </w:lvl>
  </w:abstractNum>
  <w:abstractNum w:abstractNumId="39">
    <w:nsid w:val="5DB70AE5"/>
    <w:multiLevelType w:val="hybridMultilevel"/>
    <w:lvl w:ilvl="0">
      <w:lvlJc w:val="left"/>
      <w:lvlText w:val="%1:"/>
      <w:numFmt w:val="upperLetter"/>
      <w:start w:val="1"/>
    </w:lvl>
  </w:abstractNum>
  <w:abstractNum w:abstractNumId="40">
    <w:nsid w:val="100F8FCA"/>
    <w:multiLevelType w:val="hybridMultilevel"/>
    <w:lvl w:ilvl="0">
      <w:lvlJc w:val="left"/>
      <w:lvlText w:val="%1:"/>
      <w:numFmt w:val="upperLetter"/>
      <w:start w:val="17"/>
    </w:lvl>
  </w:abstractNum>
  <w:abstractNum w:abstractNumId="41">
    <w:nsid w:val="6590700B"/>
    <w:multiLevelType w:val="hybridMultilevel"/>
    <w:lvl w:ilvl="0">
      <w:lvlJc w:val="left"/>
      <w:lvlText w:val="%1:"/>
      <w:numFmt w:val="upperLetter"/>
      <w:start w:val="1"/>
    </w:lvl>
  </w:abstractNum>
  <w:abstractNum w:abstractNumId="42">
    <w:nsid w:val="15014ACB"/>
    <w:multiLevelType w:val="hybridMultilevel"/>
    <w:lvl w:ilvl="0">
      <w:lvlJc w:val="left"/>
      <w:lvlText w:val="%1:"/>
      <w:numFmt w:val="upperLetter"/>
      <w:start w:val="17"/>
    </w:lvl>
  </w:abstractNum>
  <w:abstractNum w:abstractNumId="43">
    <w:nsid w:val="5F5E7FD0"/>
    <w:multiLevelType w:val="hybridMultilevel"/>
    <w:lvl w:ilvl="0">
      <w:lvlJc w:val="left"/>
      <w:lvlText w:val="%1:"/>
      <w:numFmt w:val="upperLetter"/>
      <w:start w:val="1"/>
    </w:lvl>
    <w:lvl w:ilvl="1">
      <w:lvlJc w:val="left"/>
      <w:lvlText w:val="(%2)"/>
      <w:numFmt w:val="decimal"/>
      <w:start w:val="2"/>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upperLetter"/>
      <w:start w:val="17"/>
    </w:lvl>
  </w:abstractNum>
  <w:abstractNum w:abstractNumId="46">
    <w:nsid w:val="6B94764"/>
    <w:multiLevelType w:val="hybridMultilevel"/>
    <w:lvl w:ilvl="0">
      <w:lvlJc w:val="left"/>
      <w:lvlText w:val="%1:"/>
      <w:numFmt w:val="upperLetter"/>
      <w:start w:val="1"/>
    </w:lvl>
  </w:abstractNum>
  <w:abstractNum w:abstractNumId="47">
    <w:nsid w:val="42C296BD"/>
    <w:multiLevelType w:val="hybridMultilevel"/>
    <w:lvl w:ilvl="0">
      <w:lvlJc w:val="left"/>
      <w:lvlText w:val="%1:"/>
      <w:numFmt w:val="upperLetter"/>
      <w:start w:val="1"/>
    </w:lvl>
    <w:lvl w:ilvl="1">
      <w:lvlJc w:val="left"/>
      <w:lvlText w:val="(%2)"/>
      <w:numFmt w:val="decimal"/>
      <w:start w:val="866"/>
    </w:lvl>
  </w:abstractNum>
  <w:abstractNum w:abstractNumId="48">
    <w:nsid w:val="168E121F"/>
    <w:multiLevelType w:val="hybridMultilevel"/>
    <w:lvl w:ilvl="0">
      <w:lvlJc w:val="left"/>
      <w:lvlText w:val="(%1)"/>
      <w:numFmt w:val="decimal"/>
      <w:start w:val="416"/>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4"/>
    </w:lvl>
  </w:abstractNum>
  <w:abstractNum w:abstractNumId="51">
    <w:nsid w:val="5DC79EA8"/>
    <w:multiLevelType w:val="hybridMultilevel"/>
    <w:lvl w:ilvl="0">
      <w:lvlJc w:val="left"/>
      <w:lvlText w:val="(%1)"/>
      <w:numFmt w:val="decimal"/>
      <w:start w:val="2"/>
    </w:lvl>
  </w:abstractNum>
  <w:abstractNum w:abstractNumId="52">
    <w:nsid w:val="540A471C"/>
    <w:multiLevelType w:val="hybridMultilevel"/>
    <w:lvl w:ilvl="0">
      <w:lvlJc w:val="left"/>
      <w:lvlText w:val="(%1)"/>
      <w:numFmt w:val="decimal"/>
      <w:start w:val="4"/>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lvl w:ilvl="1">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
      <w:numFmt w:val="bullet"/>
      <w:start w:val="1"/>
    </w:lvl>
  </w:abstractNum>
  <w:abstractNum w:abstractNumId="64">
    <w:nsid w:val="4962813B"/>
    <w:multiLevelType w:val="hybridMultilevel"/>
    <w:lvl w:ilvl="0">
      <w:lvlJc w:val="left"/>
      <w:lvlText w:val=" "/>
      <w:numFmt w:val="bullet"/>
      <w:start w:val="1"/>
    </w:lvl>
  </w:abstractNum>
  <w:abstractNum w:abstractNumId="65">
    <w:nsid w:val="60B6DF70"/>
    <w:multiLevelType w:val="hybridMultilevel"/>
    <w:lvl w:ilvl="0">
      <w:lvlJc w:val="left"/>
      <w:lvlText w:val="•"/>
      <w:numFmt w:val="bullet"/>
      <w:start w:val="1"/>
    </w:lvl>
    <w:lvl w:ilvl="1">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1)"/>
      <w:numFmt w:val="decimal"/>
      <w:start w:val="3"/>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lowerRoman"/>
      <w:start w:val="1"/>
    </w:lvl>
  </w:abstractNum>
  <w:abstractNum w:abstractNumId="77">
    <w:nsid w:val="76272110"/>
    <w:multiLevelType w:val="hybridMultilevel"/>
    <w:lvl w:ilvl="0">
      <w:lvlJc w:val="left"/>
      <w:lvlText w:val="(%1)"/>
      <w:numFmt w:val="lowerRoman"/>
      <w:start w:val="3"/>
    </w:lvl>
  </w:abstractNum>
  <w:abstractNum w:abstractNumId="78">
    <w:nsid w:val="4C04A8AF"/>
    <w:multiLevelType w:val="hybridMultilevel"/>
    <w:lvl w:ilvl="0">
      <w:lvlJc w:val="left"/>
      <w:lvlText w:val="(%1)"/>
      <w:numFmt w:val="lowerRoman"/>
      <w:start w:val="10"/>
    </w:lvl>
  </w:abstractNum>
  <w:abstractNum w:abstractNumId="79">
    <w:nsid w:val="1716703B"/>
    <w:multiLevelType w:val="hybridMultilevel"/>
    <w:lvl w:ilvl="0">
      <w:lvlJc w:val="left"/>
      <w:lvlText w:val="(%1)"/>
      <w:numFmt w:val="lowerRoman"/>
      <w:start w:val="2"/>
    </w:lvl>
  </w:abstractNum>
  <w:abstractNum w:abstractNumId="80">
    <w:nsid w:val="14E17E33"/>
    <w:multiLevelType w:val="hybridMultilevel"/>
    <w:lvl w:ilvl="0">
      <w:lvlJc w:val="left"/>
      <w:lvlText w:val="(%1)"/>
      <w:numFmt w:val="lowerRoman"/>
      <w:start w:val="10"/>
    </w:lvl>
  </w:abstractNum>
  <w:abstractNum w:abstractNumId="81">
    <w:nsid w:val="3222E7CD"/>
    <w:multiLevelType w:val="hybridMultilevel"/>
    <w:lvl w:ilvl="0">
      <w:lvlJc w:val="left"/>
      <w:lvlText w:val="(%1)"/>
      <w:numFmt w:val="lowerRoman"/>
      <w:start w:val="3"/>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2"/>
    </w:lvl>
  </w:abstractNum>
  <w:abstractNum w:abstractNumId="85">
    <w:nsid w:val="46B7D447"/>
    <w:multiLevelType w:val="hybridMultilevel"/>
    <w:lvl w:ilvl="0">
      <w:lvlJc w:val="left"/>
      <w:lvlText w:val="(%1)"/>
      <w:numFmt w:val="decimal"/>
      <w:start w:val="4"/>
    </w:lvl>
  </w:abstractNum>
  <w:abstractNum w:abstractNumId="86">
    <w:nsid w:val="4A2AC315"/>
    <w:multiLevelType w:val="hybridMultilevel"/>
    <w:lvl w:ilvl="0">
      <w:lvlJc w:val="left"/>
      <w:lvlText w:val="(%1)"/>
      <w:numFmt w:val="decimal"/>
      <w:start w:val="5"/>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decimal"/>
      <w:start w:val="6"/>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1)"/>
      <w:numFmt w:val="decimal"/>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2024-10-23T05:25:07Z</dcterms:created>
  <dcterms:modified xsi:type="dcterms:W3CDTF">2024-10-23T05:25:07Z</dcterms:modified>
</cp:coreProperties>
</file>