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ind w:left="0" w:right="0" w:hanging="540"/>
        <w:jc w:val="center"/>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before="80" w:after="283"/>
        <w:jc w:val="center"/>
        <w:rPr/>
      </w:pPr>
      <w:r>
        <w:rPr/>
      </w:r>
    </w:p>
    <w:p>
      <w:pPr>
        <w:pStyle w:val="TextBody"/>
        <w:bidi w:val="0"/>
        <w:spacing w:lineRule="auto" w:line="417" w:before="80" w:after="283"/>
        <w:jc w:val="center"/>
        <w:rPr>
          <w:rFonts w:ascii="Times New Roman;serif" w:hAnsi="Times New Roman;serif"/>
          <w:b/>
          <w:color w:val="000000"/>
          <w:sz w:val="18"/>
        </w:rPr>
      </w:pPr>
      <w:r>
        <w:rPr>
          <w:rFonts w:ascii="Times New Roman;serif" w:hAnsi="Times New Roman;serif"/>
          <w:b/>
          <w:color w:val="000000"/>
          <w:sz w:val="18"/>
        </w:rPr>
        <w:t>For the fiscal year ended June 26, 2026</w:t>
      </w:r>
    </w:p>
    <w:p>
      <w:pPr>
        <w:pStyle w:val="TextBody"/>
        <w:bidi w:val="0"/>
        <w:spacing w:lineRule="auto" w:line="417" w:before="80" w:after="283"/>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80" w:after="283"/>
        <w:ind w:left="0" w:right="0" w:hanging="540"/>
        <w:jc w:val="center"/>
        <w:rPr>
          <w:color w:val="000000"/>
        </w:rPr>
      </w:pPr>
      <w:r>
        <w:rPr>
          <w:color w:val="000000"/>
        </w:rPr>
        <w:t xml:space="preserve">☐ </w:t>
      </w:r>
      <w:r>
        <w:rPr>
          <w:rFonts w:ascii="Times New Roman;serif" w:hAnsi="Times New Roman;serif"/>
          <w:b/>
          <w:color w:val="000000"/>
          <w:sz w:val="19"/>
        </w:rPr>
        <w:t>TRANSITION REPORT PURSUANT TO SECTION 13 OR 15(d) OF THE SECURITIES EXCHANGE ACT OF 1934</w:t>
      </w:r>
    </w:p>
    <w:p>
      <w:pPr>
        <w:pStyle w:val="TextBody"/>
        <w:bidi w:val="0"/>
        <w:spacing w:before="80" w:after="283"/>
        <w:jc w:val="center"/>
        <w:rPr/>
      </w:pPr>
      <w:r>
        <w:rPr/>
      </w:r>
    </w:p>
    <w:p>
      <w:pPr>
        <w:pStyle w:val="TextBody"/>
        <w:bidi w:val="0"/>
        <w:spacing w:lineRule="auto" w:line="417" w:before="8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417" w:before="80" w:after="283"/>
        <w:jc w:val="center"/>
        <w:rPr>
          <w:rFonts w:ascii="Times New Roman;serif" w:hAnsi="Times New Roman;serif"/>
          <w:b/>
          <w:color w:val="000000"/>
          <w:sz w:val="18"/>
        </w:rPr>
      </w:pPr>
      <w:r>
        <w:rPr>
          <w:rFonts w:ascii="Times New Roman;serif" w:hAnsi="Times New Roman;serif"/>
          <w:b/>
          <w:color w:val="000000"/>
          <w:sz w:val="18"/>
        </w:rPr>
        <w:t>Commission file number: 001-34775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FABRINET</w:t>
      </w:r>
    </w:p>
    <w:p>
      <w:pPr>
        <w:pStyle w:val="TextBody"/>
        <w:bidi w:val="0"/>
        <w:spacing w:lineRule="auto" w:line="417" w:before="4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tbl>
      <w:tblPr>
        <w:tblW w:w="3855" w:type="dxa"/>
        <w:jc w:val="left"/>
        <w:tblInd w:w="0" w:type="dxa"/>
        <w:tblLayout w:type="fixed"/>
        <w:tblCellMar>
          <w:top w:w="28" w:type="dxa"/>
          <w:left w:w="28" w:type="dxa"/>
          <w:bottom w:w="28" w:type="dxa"/>
          <w:right w:w="28" w:type="dxa"/>
        </w:tblCellMar>
      </w:tblPr>
      <w:tblGrid>
        <w:gridCol w:w="859"/>
        <w:gridCol w:w="753"/>
        <w:gridCol w:w="758"/>
        <w:gridCol w:w="434"/>
        <w:gridCol w:w="434"/>
        <w:gridCol w:w="617"/>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Cayman Islands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98-1228572</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853" w:type="dxa"/>
        <w:jc w:val="left"/>
        <w:tblInd w:w="0" w:type="dxa"/>
        <w:tblLayout w:type="fixed"/>
        <w:tblCellMar>
          <w:top w:w="28" w:type="dxa"/>
          <w:left w:w="28" w:type="dxa"/>
          <w:bottom w:w="28" w:type="dxa"/>
          <w:right w:w="28" w:type="dxa"/>
        </w:tblCellMar>
      </w:tblPr>
      <w:tblGrid>
        <w:gridCol w:w="1060"/>
        <w:gridCol w:w="931"/>
        <w:gridCol w:w="933"/>
        <w:gridCol w:w="270"/>
        <w:gridCol w:w="270"/>
        <w:gridCol w:w="38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 Walkers Corporate Ltd.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190 Elgin Avenue, George Town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Grand Cayman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Cayman Islands </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KY1-9008</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+66 2-524-9600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76" w:type="dxa"/>
        <w:jc w:val="left"/>
        <w:tblInd w:w="0" w:type="dxa"/>
        <w:tblLayout w:type="fixed"/>
        <w:tblCellMar>
          <w:top w:w="28" w:type="dxa"/>
          <w:left w:w="28" w:type="dxa"/>
          <w:bottom w:w="28" w:type="dxa"/>
          <w:right w:w="28" w:type="dxa"/>
        </w:tblCellMar>
      </w:tblPr>
      <w:tblGrid>
        <w:gridCol w:w="1068"/>
        <w:gridCol w:w="937"/>
        <w:gridCol w:w="949"/>
        <w:gridCol w:w="109"/>
        <w:gridCol w:w="109"/>
        <w:gridCol w:w="109"/>
        <w:gridCol w:w="484"/>
        <w:gridCol w:w="484"/>
        <w:gridCol w:w="486"/>
        <w:gridCol w:w="109"/>
        <w:gridCol w:w="109"/>
        <w:gridCol w:w="109"/>
        <w:gridCol w:w="970"/>
        <w:gridCol w:w="970"/>
        <w:gridCol w:w="1374"/>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a well-known seasoned issuer, as defined in Rule 405 of the Securities Act. </w:t>
      </w:r>
    </w:p>
    <w:p>
      <w:pPr>
        <w:pStyle w:val="TextBody"/>
        <w:bidi w:val="0"/>
        <w:spacing w:lineRule="auto" w:line="288" w:before="120" w:after="283"/>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not required to file reports pursuant to Section 13 or Section 15(d) of the Act. </w:t>
      </w:r>
    </w:p>
    <w:p>
      <w:pPr>
        <w:pStyle w:val="TextBody"/>
        <w:bidi w:val="0"/>
        <w:spacing w:lineRule="auto" w:line="288" w:before="120" w:after="283"/>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120" w:after="283"/>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20" w:after="283"/>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Act). </w:t>
      </w:r>
    </w:p>
    <w:p>
      <w:pPr>
        <w:pStyle w:val="TextBody"/>
        <w:bidi w:val="0"/>
        <w:spacing w:lineRule="auto" w:line="288" w:before="120" w:after="283"/>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 last business day of the registrant’s most recently completed second fiscal quarter, shares held by non-affiliates of the registrant had an aggregate market value of approximately $17.1 billion, based on the closing price for the registrant’s ordinary shares as reported on the New York Stock Exchange on such date. Ordinary shares held by each executive officer, director, and holder of 10% or more of the outstanding ordinary shares have been excluded in that such persons may be deemed to be affiliates. This calculation does not reflect a determination that certain persons are affiliates of the registrant for any other purpose.</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7, 2026, the registrant had 35,834,864 ordinary shares, $0.01 par value, outstanding.</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shareholders are incorporated by reference into Part III of this Annual Report on Form 10-K where indicated. Such proxy statement will be filed with the U.S. Securities and Exchange Commission within 120 days after the end of the fiscal year to which this report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Fiscal Year Ended June 26,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61"/>
        <w:gridCol w:w="2950"/>
        <w:gridCol w:w="2932"/>
        <w:gridCol w:w="2939"/>
        <w:gridCol w:w="167"/>
        <w:gridCol w:w="167"/>
        <w:gridCol w:w="239"/>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0">
              <w:r>
                <w:rPr>
                  <w:rStyle w:val="InternetLink"/>
                  <w:rFonts w:ascii="Times New Roman;serif" w:hAnsi="Times New Roman;serif"/>
                  <w:b w:val="false"/>
                  <w:color w:val="0000FF"/>
                  <w:sz w:val="20"/>
                  <w:u w:val="single"/>
                </w:rPr>
                <w:t>Risk Factors Summary</w:t>
              </w:r>
            </w:hyperlink>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4e79a96b66f4be1947ffd8e83bf4eab_10">
              <w:r>
                <w:rPr>
                  <w:rStyle w:val="InternetLink"/>
                  <w:rFonts w:ascii="Times New Roman;serif" w:hAnsi="Times New Roman;serif"/>
                  <w:b w:val="false"/>
                  <w:strike w:val="false"/>
                  <w:dstrike w:val="false"/>
                  <w:color w:val="000000"/>
                  <w:sz w:val="20"/>
                  <w:u w:val="none"/>
                  <w:effect w:val="non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3">
              <w:r>
                <w:rPr>
                  <w:rStyle w:val="InternetLink"/>
                  <w:rFonts w:ascii="Times New Roman;serif" w:hAnsi="Times New Roman;serif"/>
                  <w:b w:val="false"/>
                  <w:color w:val="0000FF"/>
                  <w:sz w:val="20"/>
                  <w:u w:val="single"/>
                </w:rPr>
                <w:t>PART 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6">
              <w:r>
                <w:rPr>
                  <w:rStyle w:val="InternetLink"/>
                  <w:rFonts w:ascii="Times New Roman;serif" w:hAnsi="Times New Roman;serif"/>
                  <w:b w:val="false"/>
                  <w:color w:val="0000FF"/>
                  <w:sz w:val="20"/>
                  <w:u w:val="single"/>
                </w:rPr>
                <w:t>Item 1.</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6">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16">
              <w:r>
                <w:rPr>
                  <w:rStyle w:val="InternetLink"/>
                  <w:rFonts w:ascii="Times New Roman;serif" w:hAnsi="Times New Roman;serif"/>
                  <w:b w:val="false"/>
                  <w:strike w:val="false"/>
                  <w:dstrike w:val="false"/>
                  <w:color w:val="000000"/>
                  <w:sz w:val="20"/>
                  <w:u w:val="none"/>
                  <w:effect w:val="non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9">
              <w:r>
                <w:rPr>
                  <w:rStyle w:val="InternetLink"/>
                  <w:rFonts w:ascii="Times New Roman;serif" w:hAnsi="Times New Roman;serif"/>
                  <w:b w:val="false"/>
                  <w:color w:val="0000FF"/>
                  <w:sz w:val="20"/>
                  <w:u w:val="single"/>
                </w:rPr>
                <w:t>Item 1A.</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19">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19">
              <w:r>
                <w:rPr>
                  <w:rStyle w:val="InternetLink"/>
                  <w:rFonts w:ascii="Times New Roman;serif" w:hAnsi="Times New Roman;serif"/>
                  <w:b w:val="false"/>
                  <w:strike w:val="false"/>
                  <w:dstrike w:val="false"/>
                  <w:color w:val="000000"/>
                  <w:sz w:val="20"/>
                  <w:u w:val="none"/>
                  <w:effect w:val="none"/>
                </w:rPr>
                <w:t>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
              <w:r>
                <w:rPr>
                  <w:rStyle w:val="InternetLink"/>
                  <w:rFonts w:ascii="Times New Roman;serif" w:hAnsi="Times New Roman;serif"/>
                  <w:b w:val="false"/>
                  <w:color w:val="0000FF"/>
                  <w:sz w:val="20"/>
                  <w:u w:val="single"/>
                </w:rPr>
                <w:t>Item 1B.</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
              <w:r>
                <w:rPr>
                  <w:rStyle w:val="InternetLink"/>
                  <w:rFonts w:ascii="Times New Roman;serif" w:hAnsi="Times New Roman;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2">
              <w:r>
                <w:rPr>
                  <w:rStyle w:val="InternetLink"/>
                  <w:rFonts w:ascii="Times New Roman;serif" w:hAnsi="Times New Roman;serif"/>
                  <w:b w:val="false"/>
                  <w:strike w:val="false"/>
                  <w:dstrike w:val="false"/>
                  <w:color w:val="000000"/>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
              <w:r>
                <w:rPr>
                  <w:rStyle w:val="InternetLink"/>
                  <w:rFonts w:ascii="Times New Roman;serif" w:hAnsi="Times New Roman;serif"/>
                  <w:b w:val="false"/>
                  <w:color w:val="0000FF"/>
                  <w:sz w:val="20"/>
                  <w:u w:val="single"/>
                </w:rPr>
                <w:t>Item 1C.</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
              <w:r>
                <w:rPr>
                  <w:rStyle w:val="InternetLink"/>
                  <w:rFonts w:ascii="Times New Roman;serif" w:hAnsi="Times New Roman;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5">
              <w:r>
                <w:rPr>
                  <w:rStyle w:val="InternetLink"/>
                  <w:rFonts w:ascii="Times New Roman;serif" w:hAnsi="Times New Roman;serif"/>
                  <w:b w:val="false"/>
                  <w:strike w:val="false"/>
                  <w:dstrike w:val="false"/>
                  <w:color w:val="000000"/>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8">
              <w:r>
                <w:rPr>
                  <w:rStyle w:val="InternetLink"/>
                  <w:rFonts w:ascii="Times New Roman;serif" w:hAnsi="Times New Roman;serif"/>
                  <w:b w:val="false"/>
                  <w:color w:val="0000FF"/>
                  <w:sz w:val="20"/>
                  <w:u w:val="single"/>
                </w:rPr>
                <w:t>Item 2.</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8">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8">
              <w:r>
                <w:rPr>
                  <w:rStyle w:val="InternetLink"/>
                  <w:rFonts w:ascii="Times New Roman;serif" w:hAnsi="Times New Roman;serif"/>
                  <w:b w:val="false"/>
                  <w:strike w:val="false"/>
                  <w:dstrike w:val="false"/>
                  <w:color w:val="000000"/>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31">
              <w:r>
                <w:rPr>
                  <w:rStyle w:val="InternetLink"/>
                  <w:rFonts w:ascii="Times New Roman;serif" w:hAnsi="Times New Roman;serif"/>
                  <w:b w:val="false"/>
                  <w:color w:val="0000FF"/>
                  <w:sz w:val="20"/>
                  <w:u w:val="single"/>
                </w:rPr>
                <w:t>Item 3.</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31">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31">
              <w:r>
                <w:rPr>
                  <w:rStyle w:val="InternetLink"/>
                  <w:rFonts w:ascii="Times New Roman;serif" w:hAnsi="Times New Roman;serif"/>
                  <w:b w:val="false"/>
                  <w:strike w:val="false"/>
                  <w:dstrike w:val="false"/>
                  <w:color w:val="000000"/>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34">
              <w:r>
                <w:rPr>
                  <w:rStyle w:val="InternetLink"/>
                  <w:rFonts w:ascii="Times New Roman;serif" w:hAnsi="Times New Roman;serif"/>
                  <w:b w:val="false"/>
                  <w:color w:val="0000FF"/>
                  <w:sz w:val="20"/>
                  <w:u w:val="single"/>
                </w:rPr>
                <w:t>Item 4.</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34">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34">
              <w:r>
                <w:rPr>
                  <w:rStyle w:val="InternetLink"/>
                  <w:rFonts w:ascii="Times New Roman;serif" w:hAnsi="Times New Roman;serif"/>
                  <w:b w:val="false"/>
                  <w:strike w:val="false"/>
                  <w:dstrike w:val="false"/>
                  <w:color w:val="000000"/>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37">
              <w:r>
                <w:rPr>
                  <w:rStyle w:val="InternetLink"/>
                  <w:rFonts w:ascii="Times New Roman;serif" w:hAnsi="Times New Roman;serif"/>
                  <w:b w:val="false"/>
                  <w:color w:val="0000FF"/>
                  <w:sz w:val="20"/>
                  <w:u w:val="single"/>
                </w:rPr>
                <w:t>PART 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0">
              <w:r>
                <w:rPr>
                  <w:rStyle w:val="InternetLink"/>
                  <w:rFonts w:ascii="Times New Roman;serif" w:hAnsi="Times New Roman;serif"/>
                  <w:b w:val="false"/>
                  <w:color w:val="0000FF"/>
                  <w:sz w:val="20"/>
                  <w:u w:val="single"/>
                </w:rPr>
                <w:t>Item 5.</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40">
              <w:r>
                <w:rPr>
                  <w:rStyle w:val="InternetLink"/>
                  <w:rFonts w:ascii="Times New Roman;serif" w:hAnsi="Times New Roman;serif"/>
                  <w:b w:val="false"/>
                  <w:strike w:val="false"/>
                  <w:dstrike w:val="false"/>
                  <w:color w:val="000000"/>
                  <w:sz w:val="20"/>
                  <w:u w:val="none"/>
                  <w:effect w:val="non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3">
              <w:r>
                <w:rPr>
                  <w:rStyle w:val="InternetLink"/>
                  <w:rFonts w:ascii="Times New Roman;serif" w:hAnsi="Times New Roman;serif"/>
                  <w:b w:val="false"/>
                  <w:color w:val="0000FF"/>
                  <w:sz w:val="20"/>
                  <w:u w:val="single"/>
                </w:rPr>
                <w:t>Item 6.</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3">
              <w:r>
                <w:rPr>
                  <w:rStyle w:val="InternetLink"/>
                  <w:rFonts w:ascii="Times New Roman;serif" w:hAnsi="Times New Roman;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43">
              <w:r>
                <w:rPr>
                  <w:rStyle w:val="InternetLink"/>
                  <w:rFonts w:ascii="Times New Roman;serif" w:hAnsi="Times New Roman;serif"/>
                  <w:b w:val="false"/>
                  <w:strike w:val="false"/>
                  <w:dstrike w:val="false"/>
                  <w:color w:val="000000"/>
                  <w:sz w:val="20"/>
                  <w:u w:val="none"/>
                  <w:effect w:val="non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9">
              <w:r>
                <w:rPr>
                  <w:rStyle w:val="InternetLink"/>
                  <w:rFonts w:ascii="Times New Roman;serif" w:hAnsi="Times New Roman;serif"/>
                  <w:b w:val="false"/>
                  <w:color w:val="0000FF"/>
                  <w:sz w:val="20"/>
                  <w:u w:val="single"/>
                </w:rPr>
                <w:t>Item 7.</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49">
              <w:r>
                <w:rPr>
                  <w:rStyle w:val="InternetLink"/>
                  <w:rFonts w:ascii="Times New Roman;serif" w:hAnsi="Times New Roman;serif"/>
                  <w:b w:val="false"/>
                  <w:strike w:val="false"/>
                  <w:dstrike w:val="false"/>
                  <w:color w:val="000000"/>
                  <w:sz w:val="20"/>
                  <w:u w:val="none"/>
                  <w:effect w:val="non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91">
              <w:r>
                <w:rPr>
                  <w:rStyle w:val="InternetLink"/>
                  <w:rFonts w:ascii="Times New Roman;serif" w:hAnsi="Times New Roman;serif"/>
                  <w:b w:val="false"/>
                  <w:color w:val="0000FF"/>
                  <w:sz w:val="20"/>
                  <w:u w:val="single"/>
                </w:rPr>
                <w:t>Item 7A.</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91">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91">
              <w:r>
                <w:rPr>
                  <w:rStyle w:val="InternetLink"/>
                  <w:rFonts w:ascii="Times New Roman;serif" w:hAnsi="Times New Roman;serif"/>
                  <w:b w:val="false"/>
                  <w:strike w:val="false"/>
                  <w:dstrike w:val="false"/>
                  <w:color w:val="000000"/>
                  <w:sz w:val="20"/>
                  <w:u w:val="none"/>
                  <w:effect w:val="non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94">
              <w:r>
                <w:rPr>
                  <w:rStyle w:val="InternetLink"/>
                  <w:rFonts w:ascii="Times New Roman;serif" w:hAnsi="Times New Roman;serif"/>
                  <w:b w:val="false"/>
                  <w:color w:val="0000FF"/>
                  <w:sz w:val="20"/>
                  <w:u w:val="single"/>
                </w:rPr>
                <w:t>Item 8.</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94">
              <w:r>
                <w:rPr>
                  <w:rStyle w:val="InternetLink"/>
                  <w:rFonts w:ascii="Times New Roman;serif" w:hAnsi="Times New Roman;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94">
              <w:r>
                <w:rPr>
                  <w:rStyle w:val="InternetLink"/>
                  <w:rFonts w:ascii="Times New Roman;serif" w:hAnsi="Times New Roman;serif"/>
                  <w:b w:val="false"/>
                  <w:strike w:val="false"/>
                  <w:dstrike w:val="false"/>
                  <w:color w:val="000000"/>
                  <w:sz w:val="20"/>
                  <w:u w:val="none"/>
                  <w:effect w:val="none"/>
                </w:rPr>
                <w:t>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17">
              <w:r>
                <w:rPr>
                  <w:rStyle w:val="InternetLink"/>
                  <w:rFonts w:ascii="Times New Roman;serif" w:hAnsi="Times New Roman;serif"/>
                  <w:b w:val="false"/>
                  <w:color w:val="0000FF"/>
                  <w:sz w:val="20"/>
                  <w:u w:val="single"/>
                </w:rPr>
                <w:t>Item 9.</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1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17">
              <w:r>
                <w:rPr>
                  <w:rStyle w:val="InternetLink"/>
                  <w:rFonts w:ascii="Times New Roman;serif" w:hAnsi="Times New Roman;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0">
              <w:r>
                <w:rPr>
                  <w:rStyle w:val="InternetLink"/>
                  <w:rFonts w:ascii="Times New Roman;serif" w:hAnsi="Times New Roman;serif"/>
                  <w:b w:val="false"/>
                  <w:color w:val="0000FF"/>
                  <w:sz w:val="20"/>
                  <w:u w:val="single"/>
                </w:rPr>
                <w:t>Item 9A.</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0">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20">
              <w:r>
                <w:rPr>
                  <w:rStyle w:val="InternetLink"/>
                  <w:rFonts w:ascii="Times New Roman;serif" w:hAnsi="Times New Roman;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3">
              <w:r>
                <w:rPr>
                  <w:rStyle w:val="InternetLink"/>
                  <w:rFonts w:ascii="Times New Roman;serif" w:hAnsi="Times New Roman;serif"/>
                  <w:b w:val="false"/>
                  <w:color w:val="0000FF"/>
                  <w:sz w:val="20"/>
                  <w:u w:val="single"/>
                </w:rPr>
                <w:t>Item 9B.</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3">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23">
              <w:r>
                <w:rPr>
                  <w:rStyle w:val="InternetLink"/>
                  <w:rFonts w:ascii="Times New Roman;serif" w:hAnsi="Times New Roman;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6">
              <w:r>
                <w:rPr>
                  <w:rStyle w:val="InternetLink"/>
                  <w:rFonts w:ascii="Times New Roman;serif" w:hAnsi="Times New Roman;serif"/>
                  <w:b w:val="false"/>
                  <w:color w:val="0000FF"/>
                  <w:sz w:val="20"/>
                  <w:u w:val="single"/>
                </w:rPr>
                <w:t>Item 9C.</w:t>
              </w:r>
            </w:hyperlink>
          </w:p>
        </w:tc>
        <w:tc>
          <w:tcPr>
            <w:tcW w:w="882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4e79a96b66f4be1947ffd8e83bf4eab_226">
              <w:r>
                <w:rPr>
                  <w:rStyle w:val="InternetLink"/>
                  <w:rFonts w:ascii="Times New Roman;serif" w:hAnsi="Times New Roman;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26">
              <w:r>
                <w:rPr>
                  <w:rStyle w:val="InternetLink"/>
                  <w:rFonts w:ascii="Times New Roman;serif" w:hAnsi="Times New Roman;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29">
              <w:r>
                <w:rPr>
                  <w:rStyle w:val="InternetLink"/>
                  <w:rFonts w:ascii="Times New Roman;serif" w:hAnsi="Times New Roman;serif"/>
                  <w:b w:val="false"/>
                  <w:color w:val="0000FF"/>
                  <w:sz w:val="20"/>
                  <w:u w:val="single"/>
                </w:rPr>
                <w:t>PART III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2">
              <w:r>
                <w:rPr>
                  <w:rStyle w:val="InternetLink"/>
                  <w:rFonts w:ascii="Times New Roman;serif" w:hAnsi="Times New Roman;serif"/>
                  <w:b w:val="false"/>
                  <w:color w:val="0000FF"/>
                  <w:sz w:val="20"/>
                  <w:u w:val="single"/>
                </w:rPr>
                <w:t>Item 10.</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2">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32">
              <w:r>
                <w:rPr>
                  <w:rStyle w:val="InternetLink"/>
                  <w:rFonts w:ascii="Times New Roman;serif" w:hAnsi="Times New Roman;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5">
              <w:r>
                <w:rPr>
                  <w:rStyle w:val="InternetLink"/>
                  <w:rFonts w:ascii="Times New Roman;serif" w:hAnsi="Times New Roman;serif"/>
                  <w:b w:val="false"/>
                  <w:color w:val="0000FF"/>
                  <w:sz w:val="20"/>
                  <w:u w:val="single"/>
                </w:rPr>
                <w:t>Item 11.</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5">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35">
              <w:r>
                <w:rPr>
                  <w:rStyle w:val="InternetLink"/>
                  <w:rFonts w:ascii="Times New Roman;serif" w:hAnsi="Times New Roman;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8">
              <w:r>
                <w:rPr>
                  <w:rStyle w:val="InternetLink"/>
                  <w:rFonts w:ascii="Times New Roman;serif" w:hAnsi="Times New Roman;serif"/>
                  <w:b w:val="false"/>
                  <w:color w:val="0000FF"/>
                  <w:sz w:val="20"/>
                  <w:u w:val="single"/>
                </w:rPr>
                <w:t>Item 12.</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3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38">
              <w:r>
                <w:rPr>
                  <w:rStyle w:val="InternetLink"/>
                  <w:rFonts w:ascii="Times New Roman;serif" w:hAnsi="Times New Roman;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41">
              <w:r>
                <w:rPr>
                  <w:rStyle w:val="InternetLink"/>
                  <w:rFonts w:ascii="Times New Roman;serif" w:hAnsi="Times New Roman;serif"/>
                  <w:b w:val="false"/>
                  <w:color w:val="0000FF"/>
                  <w:sz w:val="20"/>
                  <w:u w:val="single"/>
                </w:rPr>
                <w:t>Item 13.</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41">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41">
              <w:r>
                <w:rPr>
                  <w:rStyle w:val="InternetLink"/>
                  <w:rFonts w:ascii="Times New Roman;serif" w:hAnsi="Times New Roman;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44">
              <w:r>
                <w:rPr>
                  <w:rStyle w:val="InternetLink"/>
                  <w:rFonts w:ascii="Times New Roman;serif" w:hAnsi="Times New Roman;serif"/>
                  <w:b w:val="false"/>
                  <w:color w:val="0000FF"/>
                  <w:sz w:val="20"/>
                  <w:u w:val="single"/>
                </w:rPr>
                <w:t>Item 14.</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44">
              <w:r>
                <w:rPr>
                  <w:rStyle w:val="InternetLink"/>
                  <w:rFonts w:ascii="Times New Roman;serif" w:hAnsi="Times New Roman;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44">
              <w:r>
                <w:rPr>
                  <w:rStyle w:val="InternetLink"/>
                  <w:rFonts w:ascii="Times New Roman;serif" w:hAnsi="Times New Roman;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47">
              <w:r>
                <w:rPr>
                  <w:rStyle w:val="InternetLink"/>
                  <w:rFonts w:ascii="Times New Roman;serif" w:hAnsi="Times New Roman;serif"/>
                  <w:b w:val="false"/>
                  <w:color w:val="0000FF"/>
                  <w:sz w:val="20"/>
                  <w:u w:val="single"/>
                </w:rPr>
                <w:t>PART IV</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0">
              <w:r>
                <w:rPr>
                  <w:rStyle w:val="InternetLink"/>
                  <w:rFonts w:ascii="Times New Roman;serif" w:hAnsi="Times New Roman;serif"/>
                  <w:b w:val="false"/>
                  <w:color w:val="0000FF"/>
                  <w:sz w:val="20"/>
                  <w:u w:val="single"/>
                </w:rPr>
                <w:t>Item 15.</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0">
              <w:r>
                <w:rPr>
                  <w:rStyle w:val="InternetLink"/>
                  <w:rFonts w:ascii="Times New Roman;serif" w:hAnsi="Times New Roman;serif"/>
                  <w:b w:val="false"/>
                  <w:color w:val="0000FF"/>
                  <w:sz w:val="20"/>
                  <w:u w:val="single"/>
                </w:rPr>
                <w:t>Exhibits,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50">
              <w:r>
                <w:rPr>
                  <w:rStyle w:val="InternetLink"/>
                  <w:rFonts w:ascii="Times New Roman;serif" w:hAnsi="Times New Roman;serif"/>
                  <w:b w:val="false"/>
                  <w:strike w:val="false"/>
                  <w:dstrike w:val="false"/>
                  <w:color w:val="000000"/>
                  <w:sz w:val="20"/>
                  <w:u w:val="none"/>
                  <w:effect w:val="none"/>
                </w:rPr>
                <w:t>94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3">
              <w:r>
                <w:rPr>
                  <w:rStyle w:val="InternetLink"/>
                  <w:rFonts w:ascii="Times New Roman;serif" w:hAnsi="Times New Roman;serif"/>
                  <w:b w:val="false"/>
                  <w:color w:val="0000FF"/>
                  <w:sz w:val="20"/>
                  <w:u w:val="single"/>
                </w:rPr>
                <w:t>Item 16.</w:t>
              </w:r>
            </w:hyperlink>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3">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53">
              <w:r>
                <w:rPr>
                  <w:rStyle w:val="InternetLink"/>
                  <w:rFonts w:ascii="Times New Roman;serif" w:hAnsi="Times New Roman;serif"/>
                  <w:b w:val="false"/>
                  <w:strike w:val="false"/>
                  <w:dstrike w:val="false"/>
                  <w:color w:val="000000"/>
                  <w:sz w:val="20"/>
                  <w:u w:val="none"/>
                  <w:effect w:val="none"/>
                </w:rPr>
                <w:t>98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e79a96b66f4be1947ffd8e83bf4eab_256">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e79a96b66f4be1947ffd8e83bf4eab_256">
              <w:r>
                <w:rPr>
                  <w:rStyle w:val="InternetLink"/>
                  <w:rFonts w:ascii="Times New Roman;serif" w:hAnsi="Times New Roman;serif"/>
                  <w:b w:val="false"/>
                  <w:strike w:val="false"/>
                  <w:dstrike w:val="false"/>
                  <w:color w:val="000000"/>
                  <w:sz w:val="20"/>
                  <w:u w:val="none"/>
                  <w:effect w:val="none"/>
                </w:rPr>
                <w:t>99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information set forth below under the heading “Risk Factors” in Part I, Item 1A before deciding whether to invest in our securities. Below is a summary of the principal risks associated with an investment in our securities.</w:t>
      </w:r>
    </w:p>
    <w:p>
      <w:pPr>
        <w:pStyle w:val="TextBody"/>
        <w:bidi w:val="0"/>
        <w:spacing w:lineRule="auto" w:line="240" w:before="120" w:after="283"/>
        <w:ind w:left="0" w:right="0" w:hanging="360"/>
        <w:jc w:val="left"/>
        <w:rPr/>
      </w:pPr>
      <w:r>
        <w:rPr>
          <w:color w:val="000000"/>
        </w:rPr>
        <w:t>•</w:t>
      </w:r>
      <w:r>
        <w:rPr>
          <w:rFonts w:ascii="Times New Roman;serif" w:hAnsi="Times New Roman;serif"/>
          <w:b w:val="false"/>
          <w:color w:val="000000"/>
          <w:sz w:val="20"/>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Consolidation in the markets we serve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the data center and communications infrastructure markets do not expand as we expect, our business may not grow as fast as we expect, which could adversely impact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quarterly revenues, gross profit margins and operating results have fluctuated significantly and may continue to do so in the future, which may cause the market price of our ordinary shares to decline or be volatile.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face significant competition in our business. If we are unable to compete successfully against our current and future competitors, our business, financial condition and operating results could be harmed.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Cancellations, delays or reductions of customer orders and the relatively short-term nature of the commitments of our customers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exposure to financially troubled customers or suppliers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purchase some of the critical materials used in certain of our products from a single source or a limited number of</w:t>
      </w:r>
      <w:r>
        <w:rPr>
          <w:color w:val="000000"/>
        </w:rPr>
        <w:t xml:space="preserve"> </w:t>
      </w:r>
      <w:r>
        <w:rPr>
          <w:rFonts w:ascii="Times New Roman;serif" w:hAnsi="Times New Roman;serif"/>
          <w:b w:val="false"/>
          <w:color w:val="000000"/>
          <w:sz w:val="20"/>
        </w:rPr>
        <w:t>suppliers.</w:t>
      </w:r>
      <w:r>
        <w:rPr>
          <w:color w:val="000000"/>
        </w:rPr>
        <w:t xml:space="preserve"> </w:t>
      </w:r>
      <w:r>
        <w:rPr>
          <w:rFonts w:ascii="Times New Roman;serif" w:hAnsi="Times New Roman;serif"/>
          <w:b w:val="false"/>
          <w:color w:val="000000"/>
          <w:sz w:val="20"/>
        </w:rPr>
        <w:t>Supply</w:t>
      </w:r>
      <w:r>
        <w:rPr>
          <w:color w:val="000000"/>
        </w:rPr>
        <w:t xml:space="preserve"> </w:t>
      </w:r>
      <w:r>
        <w:rPr>
          <w:rFonts w:ascii="Times New Roman;serif" w:hAnsi="Times New Roman;serif"/>
          <w:b w:val="false"/>
          <w:color w:val="000000"/>
          <w:sz w:val="20"/>
        </w:rPr>
        <w:t>shortages</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past,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could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future,</w:t>
      </w:r>
      <w:r>
        <w:rPr>
          <w:color w:val="000000"/>
        </w:rPr>
        <w:t xml:space="preserve"> </w:t>
      </w:r>
      <w:r>
        <w:rPr>
          <w:rFonts w:ascii="Times New Roman;serif" w:hAnsi="Times New Roman;serif"/>
          <w:b w:val="false"/>
          <w:color w:val="000000"/>
          <w:sz w:val="20"/>
        </w:rPr>
        <w:t>impair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quality,</w:t>
      </w:r>
      <w:r>
        <w:rPr>
          <w:color w:val="000000"/>
        </w:rPr>
        <w:t xml:space="preserve"> </w:t>
      </w:r>
      <w:r>
        <w:rPr>
          <w:rFonts w:ascii="Times New Roman;serif" w:hAnsi="Times New Roman;serif"/>
          <w:b w:val="false"/>
          <w:color w:val="000000"/>
          <w:sz w:val="20"/>
        </w:rPr>
        <w:t>reduce</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availability</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increase the cost of materials, which could harm our revenues, profitability and customer</w:t>
      </w:r>
      <w:r>
        <w:rPr>
          <w:color w:val="000000"/>
        </w:rPr>
        <w:t xml:space="preserve"> </w:t>
      </w:r>
      <w:r>
        <w:rPr>
          <w:rFonts w:ascii="Times New Roman;serif" w:hAnsi="Times New Roman;serif"/>
          <w:b w:val="false"/>
          <w:color w:val="000000"/>
          <w:sz w:val="20"/>
        </w:rPr>
        <w:t>relations.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Managing our inventory is complex and may require write-downs due to excess or obsolete inventory, which could cause our operating results to decrease significantly in a given fiscal period.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experience manufacturing yields that are lower than expected, potentially resulting in increased costs, which could harm our business, operating results and customer relations.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fail to attract additional skilled employees or retain key personnel, our business, financial condition and operating results could suffer.</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Fluctuations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foreign</w:t>
      </w:r>
      <w:r>
        <w:rPr>
          <w:color w:val="000000"/>
        </w:rPr>
        <w:t xml:space="preserve"> </w:t>
      </w:r>
      <w:r>
        <w:rPr>
          <w:rFonts w:ascii="Times New Roman;serif" w:hAnsi="Times New Roman;serif"/>
          <w:b w:val="false"/>
          <w:color w:val="000000"/>
          <w:sz w:val="20"/>
        </w:rPr>
        <w:t>currency</w:t>
      </w:r>
      <w:r>
        <w:rPr>
          <w:color w:val="000000"/>
        </w:rPr>
        <w:t xml:space="preserve"> </w:t>
      </w:r>
      <w:r>
        <w:rPr>
          <w:rFonts w:ascii="Times New Roman;serif" w:hAnsi="Times New Roman;serif"/>
          <w:b w:val="false"/>
          <w:color w:val="000000"/>
          <w:sz w:val="20"/>
        </w:rPr>
        <w:t>exchange</w:t>
      </w:r>
      <w:r>
        <w:rPr>
          <w:color w:val="000000"/>
        </w:rPr>
        <w:t xml:space="preserve"> </w:t>
      </w:r>
      <w:r>
        <w:rPr>
          <w:rFonts w:ascii="Times New Roman;serif" w:hAnsi="Times New Roman;serif"/>
          <w:b w:val="false"/>
          <w:color w:val="000000"/>
          <w:sz w:val="20"/>
        </w:rPr>
        <w:t>rates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changes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governmental</w:t>
      </w:r>
      <w:r>
        <w:rPr>
          <w:color w:val="000000"/>
        </w:rPr>
        <w:t xml:space="preserve"> </w:t>
      </w:r>
      <w:r>
        <w:rPr>
          <w:rFonts w:ascii="Times New Roman;serif" w:hAnsi="Times New Roman;serif"/>
          <w:b w:val="false"/>
          <w:color w:val="000000"/>
          <w:sz w:val="20"/>
        </w:rPr>
        <w:t>policies</w:t>
      </w:r>
      <w:r>
        <w:rPr>
          <w:color w:val="000000"/>
        </w:rPr>
        <w:t xml:space="preserve"> </w:t>
      </w:r>
      <w:r>
        <w:rPr>
          <w:rFonts w:ascii="Times New Roman;serif" w:hAnsi="Times New Roman;serif"/>
          <w:b w:val="false"/>
          <w:color w:val="000000"/>
          <w:sz w:val="20"/>
        </w:rPr>
        <w:t>regarding</w:t>
      </w:r>
      <w:r>
        <w:rPr>
          <w:color w:val="000000"/>
        </w:rPr>
        <w:t xml:space="preserve"> </w:t>
      </w:r>
      <w:r>
        <w:rPr>
          <w:rFonts w:ascii="Times New Roman;serif" w:hAnsi="Times New Roman;serif"/>
          <w:b w:val="false"/>
          <w:color w:val="000000"/>
          <w:sz w:val="20"/>
        </w:rPr>
        <w:t>foreign</w:t>
      </w:r>
      <w:r>
        <w:rPr>
          <w:color w:val="000000"/>
        </w:rPr>
        <w:t xml:space="preserve"> </w:t>
      </w:r>
      <w:r>
        <w:rPr>
          <w:rFonts w:ascii="Times New Roman;serif" w:hAnsi="Times New Roman;serif"/>
          <w:b w:val="false"/>
          <w:color w:val="000000"/>
          <w:sz w:val="20"/>
        </w:rPr>
        <w:t>currencies could increase our operating costs, which would adversely affect our operating</w:t>
      </w:r>
      <w:r>
        <w:rPr>
          <w:color w:val="000000"/>
        </w:rPr>
        <w:t xml:space="preserve"> </w:t>
      </w:r>
      <w:r>
        <w:rPr>
          <w:rFonts w:ascii="Times New Roman;serif" w:hAnsi="Times New Roman;serif"/>
          <w:b w:val="false"/>
          <w:color w:val="000000"/>
          <w:sz w:val="20"/>
        </w:rPr>
        <w:t>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conduct operations in a number of countries, which creates logistical and communications challenges for us and exposes us to other risks and challenges that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subject to governmental export and import controls in several jurisdictions that subject us to a variety of risks, including liability, impairment of our ability to compete in international markets, and decreased sales and customer orders.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subject to risks related to changes in U.S. and international trade policies, including new or increased tariffs on materials that we use in manufacturing, which could adversely affect our business, financial condition and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Political unrest and demonstrations, as well as changes in the political, social, business or economic conditions in Thailand,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expect to continue to invest in our manufacturing operations in the People's Republic of China ("PRC"), which will continue to expose us to risks inherent in doing business in the PRC, any of which risks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Natural disasters, epidemics, acts of terrorism and political and economic developments could harm our business, financial condition and operating results.</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Unfavorable</w:t>
      </w:r>
      <w:r>
        <w:rPr>
          <w:color w:val="000000"/>
        </w:rPr>
        <w:t xml:space="preserve"> </w:t>
      </w:r>
      <w:r>
        <w:rPr>
          <w:rFonts w:ascii="Times New Roman;serif" w:hAnsi="Times New Roman;serif"/>
          <w:b w:val="false"/>
          <w:color w:val="000000"/>
          <w:sz w:val="20"/>
        </w:rPr>
        <w:t>worldwide</w:t>
      </w:r>
      <w:r>
        <w:rPr>
          <w:color w:val="000000"/>
        </w:rPr>
        <w:t xml:space="preserve"> </w:t>
      </w:r>
      <w:r>
        <w:rPr>
          <w:rFonts w:ascii="Times New Roman;serif" w:hAnsi="Times New Roman;serif"/>
          <w:b w:val="false"/>
          <w:color w:val="000000"/>
          <w:sz w:val="20"/>
        </w:rPr>
        <w:t>economic</w:t>
      </w:r>
      <w:r>
        <w:rPr>
          <w:color w:val="000000"/>
        </w:rPr>
        <w:t xml:space="preserve"> </w:t>
      </w:r>
      <w:r>
        <w:rPr>
          <w:rFonts w:ascii="Times New Roman;serif" w:hAnsi="Times New Roman;serif"/>
          <w:b w:val="false"/>
          <w:color w:val="000000"/>
          <w:sz w:val="20"/>
        </w:rPr>
        <w:t>conditions (including inflation and supply chain disruptions) may</w:t>
      </w:r>
      <w:r>
        <w:rPr>
          <w:color w:val="000000"/>
        </w:rPr>
        <w:t xml:space="preserve"> </w:t>
      </w:r>
      <w:r>
        <w:rPr>
          <w:rFonts w:ascii="Times New Roman;serif" w:hAnsi="Times New Roman;serif"/>
          <w:b w:val="false"/>
          <w:color w:val="000000"/>
          <w:sz w:val="20"/>
        </w:rPr>
        <w:t>negatively</w:t>
      </w:r>
      <w:r>
        <w:rPr>
          <w:color w:val="000000"/>
        </w:rPr>
        <w:t xml:space="preserve"> </w:t>
      </w:r>
      <w:r>
        <w:rPr>
          <w:rFonts w:ascii="Times New Roman;serif" w:hAnsi="Times New Roman;serif"/>
          <w:b w:val="false"/>
          <w:color w:val="000000"/>
          <w:sz w:val="20"/>
        </w:rPr>
        <w:t>affect</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color w:val="000000"/>
          <w:sz w:val="20"/>
        </w:rPr>
        <w:t>financial</w:t>
      </w:r>
      <w:r>
        <w:rPr>
          <w:color w:val="000000"/>
        </w:rPr>
        <w:t xml:space="preserve"> </w:t>
      </w:r>
      <w:r>
        <w:rPr>
          <w:rFonts w:ascii="Times New Roman;serif" w:hAnsi="Times New Roman;serif"/>
          <w:b w:val="false"/>
          <w:color w:val="000000"/>
          <w:sz w:val="20"/>
        </w:rPr>
        <w:t>condition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not be able to obtain capital when desired on favorable terms, if at all, or without dilution to our shareholders.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investment portfolio may become impaired by deterioration of the capital markets.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not fully insured against all potential losses. Natural disasters or other catastrophes could adversely affect our business, financial condition and operating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business and operations would be adversely impacted in the event of a failure of our information technology infrastructure and/or cyber security attacks.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Intellectual property infringement claims against our customers or us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Any failure to protect our customers’ intellectual property that we use in the products we manufacture for them could harm our customer relationships and subject us to liability.</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We are subject to the risk of increased income taxes, which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have incurred and will continue to incur significant increased costs as a result of operating as a public company, and our management will be required to continue to devote substantial resources to various compliance initiatives.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are unable to meet regulatory quality standards applicable to our manufacturing and quality processes for the products we manufacture, our business, financial condition and operating results could be harmed.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Failure to comply with applicable environmental laws and regulations could have a material adverse effect on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share price may be volatile due to fluctuations in our operating results and other factors, including the activities and operating results of our customers or competitors, any of which could cause our share price to decline.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securities or industry analysts do not publish research or if they publish misleading or unfavorable research about our business, the market price and trading volume of our ordinary shares could decline.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become a passive foreign investment company, which could result in adverse U.S. tax consequences to U.S. investors.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business and share price could be negatively affected as a result of activist shareholders.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Certain provisions in our constitutional documents may discourage our acquisition by a third party, which could limit our shareholders' opportunity to sell shares at a premium.</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shareholders may face difficulties in protecting their interests because we are incorporated under Cayman Islands law.</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Certain judgments obtained against us by our shareholders may not be enforceable.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Energy price volatility may negatively impact our business, financial condition and operating results.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advanced optical packaging and precision optical, electro-mechanical and electronic manufacturing services to original equipment manufacturers (“OEMs”) of complex products such as optical communication components, modules and sub-systems, industrial lasers, automotive components, medical devices and sensors. We offer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We are capable of producing a wide variety of high complexity products in any mix and any volume. Based on our extensive experience and the positive feedback we have received from our customers, we believe we are a global leader in providing these services to the optical communications, automotive, and industrial lasers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 base includes companies in complex industries that require advanced precision manufacturing capabilities such as optical communications, automotive, industrial lasers, medical, and sensors. In many cases, we are the sole outsourced manufacturing partner used by our customers for the products that we manufacture for them. The products that we manufacture for our OEM customers include:</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optical communications devices, such as: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selective switching products, such as reconfigurable optical add-drop multiplexers (“ROADMs”), optical amplifiers, modulators and other optical components and modules that collectively enable network managers to route voice, video and data communications traffic through fiber optic cables at various wavelengths, speeds, and over various distances;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tunable lasers, transceivers, and transponders that eliminate, at a significant cost savings to the service provider, the need to stock individual fixed wavelength optical transceivers and transponders used in voice and data communications networks;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active optical cables providing high-speed interconnect capabilities for data centers and computing clusters, as well as Infiniband, Ethernet, fiber channel and optical backplane connectivity;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solid state, diode-pumped, gas and fiber lasers (collectively referred to as “industrial lasers”) used across a broad array of industries, including semiconductor processing (wafer inspection, wafer dicing, wafer scribing), biotechnology and medical device (DNA sequencing, flow cytometry, hematology, antibody detection), metrology (instrumentation, calibration, inspection), and material processing (metal, polymer, textile drilling and cutting, annealing, marking, engraving, and welding);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sensors, including differential pressure, micro-gyro, fuel and other sensors that are used in automobiles, and non-contact temperature measurement sensors for the medical industry.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design and fabricate application-specific crystals, lenses, prisms, mirrors, laser components and substrates (collectively referred to as “customized optics”) and other custom and standard borosilicate, clear fused quartz, and synthetic fused silica glass products (collectively referred to as “customized glass”). We incorporate our customized optics and glass into many of the products we manufacture for our OEM customers, and we also sell customized optics and glass in the merchant market.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for the year ended June 26, 2026 (“fiscal year 2026”) increased by $1.22 billion, or 35.7%, from $3.42 billion for the year ended June 27, 2025 (“fiscal year 2025”) to $4.64 billion for fiscal year 2026. To better reflect our current business profile, beginning in the fourth quarter of fiscal year 2026, we updated our revenue category presentation from two categories (optical communications and non-optical communications) to three categories: (1) data center, (2) communications infrastructure, and (3) automotive, industrial and other markets. Prior periods have been recast to conform to the current presentation. See Note 3 of the Notes to Consolidated Financial Statements. Our percentage of revenues from data center products increased from 46.2% in fiscal year 2025 to 47.9% in fiscal year 2026, our percentage of revenues from communications infrastructure products increased from 30.7% in fiscal year 2025 to 33.3% in fiscal year 2026, and our percentage of revenues from automotive, industrial and other markets decreased from 23.1% in fiscal year 2025 to 18.8% in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we offer differentiated manufacturing services through our optical and electro-mechanical process technologies and our strategic alignment with our customers. Our dedicated process and design engineers, who have a deep knowledge in materials sciences and physics, are able to tailor our service offerings to accommodate our customers’ complex engineering assignments. Our range of capabilities, from the design of customized optics and glass through process engineering and testing of finished assemblies, provides us with a knowledge base that we believe often leads to improvements in our customers’ product development cycles, manufacturing cycle times, quality and reliability, manufacturing yields and end product costs. We offer an efficient, technologically advanced and flexible manufacturing infrastructure designed to enable the scale production of a wide variety of high complexity products in any mix and any volume. We specialize in complex prototype and new product introduction services, with specialized resources to meet customers’ quick-turn printed circuit board assembly (“PCBA”) and early stage manufacturing requirements. We have a dedicated engineering team to support the advanced optical packaging needs of our customers’ cutting edge products, which allows them to accelerate development and time-to-market for such products. We often provide a “factory-within-a-factory” manufacturing environment to safeguard our customers’ intellectual property by physically segregating certain key employees and manufacturing space from the resources we use for other customers. We also provide our customers with a customized software platform to monitor all aspects of the manufacturing process, enabling our customers to remotely access our databases to monitor yields, inventory positions, work-in-progress status and vendor quality data in real time. We believe there is no other manufacturing services provider with a similar breadth and depth of optical and electro-mechanical engineering and process technology capabilities that does not directly compete with its customers in their end-markets. As a result, we believe we are more closely aligned and better able to develop long-term relationships with our customers than our competitors are.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Industry Background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Optical Communications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optical communications OEMs have reduced internal manufacturing capacity and transitioned to a low-cost and more efficient manufacturing base. By outsourcing production to third parties, OEMs are better able to concentrate their efforts and resources on what they believe are their core strengths, such as research and development, and sales and marketing. Additionally, outsourcing production often allows OEMs to reduce product costs, improve quality, access advanced process design and manufacturing technologies and achieve accelerated time-to-market and time-to-volume production. The principal barrier to the trend towards outsourcing in the optics industry has been the shortage of third-party manufacturing partners with the necessary optical process capabilities and robust intellectual property protection.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Demand for optical communications components and modules is influenced by the level and rate of development of optical communications infrastructure and carrier and enterprise network expansion, as well as rapid expansion of data center infrastructures. Carrier demand for optical communications network equipment has increased as a direct result of higher network utilization and increased demand for bandwidth capacity. The increase in network traffic volumes has been driven by increasing demand for voice, data and video services delivered over wired and wireless Internet protocol, or IP, networks. The bandwidth demands for data center access have been largely driven by social media applications and cloud services and continue to increase very rapidly.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Automotive, Industrial Lasers, and Others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optical and electro-mechanical process technologies used in the optical communications market also have applications in other similarly complex end-markets that require advanced precision manufacturing capabilities, such as automotive, industrial lasers, medical, and sensors. These markets are substantially larger than the optical communications components and modules market. We expect growth in the automotive, industrial lasers, medical, and sensors markets will be driven by demand for: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industrial laser applications across a growing number of end-markets, particularly in semiconductor processing, biotechnology, metrology and materials processing;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precision, non-contact and low power requirement sensors, particularly in automotive, medical and industrial end-markets;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lower cost products used on both enterprise and consumer levels.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Outsourcing of production by industrial laser and sensor OEMs has historically been limited. We believe industrial laser and sensor OEMs are increasingly recognizing the benefits of outsourcing that OEMs in other industries, such as optical communications, have been able to achieve.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we have succeeded in providing differentiated services to the optical communications, automotive, industrial lasers, medical, and sensors industries due to our long-term focus on optical and electro-mechanical process technologies, strategic alignment with our customers, and commitment to total customer satisfaction. More specifically, our key competitive strengths include:</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Advanced Optical and Electro-Mechanical Manufacturing Technologies: </w:t>
      </w:r>
      <w:r>
        <w:rPr>
          <w:rFonts w:ascii="Times New Roman;serif" w:hAnsi="Times New Roman;serif"/>
          <w:b w:val="false"/>
          <w:color w:val="000000"/>
          <w:sz w:val="20"/>
        </w:rPr>
        <w:t>We believe that our optical and electro-mechanical process technologies and capabilities as well as our customized optics and glass technologies provide us with a key competitive advantage. These technologies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advanced optical and precision packaging;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reliability and environmental testing;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optical and mechanical material and process analysis;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precision optical fiber and electro-mechanical assembly;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complex printed circuit board assembly;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customized software tools for manufacturing high complexity products in any mix and any volume;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turn-key manufacturing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fiber metallization and lensing;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fiber handling and fiber alignment;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crystal growth and processing;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precision lapping and polishing;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precision glass drawing;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optical coating.</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Efficient, Flexible and Low-Cost Process Engineering and Manufacturing Platform: </w:t>
      </w:r>
      <w:r>
        <w:rPr>
          <w:rFonts w:ascii="Times New Roman;serif" w:hAnsi="Times New Roman;serif"/>
          <w:b w:val="false"/>
          <w:color w:val="000000"/>
          <w:sz w:val="20"/>
        </w:rPr>
        <w:t>We enable our customers to transition their production to an efficient and flexible manufacturing platform that is specialized for the production of optics and similarly complex products and is located in a low-cost geography. We believe our advanced manufacturing technologies, coupled with our broad engineering capabilities, give us the ability to identify opportunities to improve our customers’ manufacturing processes and provide meaningful production cost benefits. We have also developed a series of customized software tools that we believe provide us with a specialized ability to manage the unique aspects of the production of a wide variety of high complexity products in any mix and any volume.</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Customizable Factory-Within-a-Factory Production Environment: </w:t>
      </w:r>
      <w:r>
        <w:rPr>
          <w:rFonts w:ascii="Times New Roman;serif" w:hAnsi="Times New Roman;serif"/>
          <w:b w:val="false"/>
          <w:color w:val="000000"/>
          <w:sz w:val="20"/>
        </w:rPr>
        <w:t>We offer our customers exclusive engineering teams and manufacturing space for production. We call this concept of segregating production by customer a “factory-within-a-factory.” We believe our approach maximizes intellectual property protection and provides greater opportunities to reduce cost and improve time to market for our customers’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Vertical Integration Targeting Customized Optics and Glass: </w:t>
      </w:r>
      <w:r>
        <w:rPr>
          <w:rFonts w:ascii="Times New Roman;serif" w:hAnsi="Times New Roman;serif"/>
          <w:b w:val="false"/>
          <w:color w:val="000000"/>
          <w:sz w:val="20"/>
        </w:rPr>
        <w:t>We believe our capabilities in the design and fabrication of high-value customized optics and glass are complementary to our manufacturing services. Specifically, these capabilities enable us to strategically align our business to our customers’ needs by streamlining our customers’ product development process and reducing the number of suppliers in our customers’ manufacturing supply chains. Also, we use these customized optics and glass products in certain of the components, modules and subsystems we manufacture, which enables us to shorten time to market and reduce the cost for our customers. We believe this level of vertical integration positions us to capitalize on further opportunities to cross-sell our design and fabrication capabilities.</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Turn-Key Supply Chain Management: </w:t>
      </w:r>
      <w:r>
        <w:rPr>
          <w:rFonts w:ascii="Times New Roman;serif" w:hAnsi="Times New Roman;serif"/>
          <w:b w:val="false"/>
          <w:color w:val="000000"/>
          <w:sz w:val="20"/>
        </w:rPr>
        <w:t>We have created a proprietary set of automated manufacturing resource planning tools designed specifically to address the unique inventory management demands of the production of a wide variety of high complexity products in any mix and any volume. Over the years, we have developed strong relationships with thousands of suppliers and implemented inventory management strategies with many of them, which enables us to obtain inventory on an as-needed basis and provide on-site stocking programs. We believe our deep expertise, relationships and capabilities in supply chain and materials management often allows us to further reduce costs and cycle times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elements of our growth strategy are to:</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Strengthen Our Presence in the Optical Communications Market: </w:t>
      </w:r>
      <w:r>
        <w:rPr>
          <w:rFonts w:ascii="Times New Roman;serif" w:hAnsi="Times New Roman;serif"/>
          <w:b w:val="false"/>
          <w:color w:val="000000"/>
          <w:sz w:val="20"/>
        </w:rPr>
        <w:t>We believe we are a leader in manufacturing products for the optical communications market. The optical communications market is growing rapidly, driven by the growth in demand for increased network bandwidth and penetration from core to metro networks and data center infrastructures. We believe this trend will continue to increase the demand for the products that we manufacture and the services we provide. We continue to invest resources in advanced manufacturing process and optical packaging technologies to support the manufacture of the next generation of complex optical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Leverage Our Technology and Manufacturing Capabilities to Continue to Diversify Our End-Markets: </w:t>
      </w:r>
      <w:r>
        <w:rPr>
          <w:rFonts w:ascii="Times New Roman;serif" w:hAnsi="Times New Roman;serif"/>
          <w:b w:val="false"/>
          <w:color w:val="000000"/>
          <w:sz w:val="20"/>
        </w:rPr>
        <w:t>We intend to use our technological strengths in precision optical and electro-mechanical manufacturing, advanced packaging and process design engineering to continue our diversification into industrial lasers, medical, sensors, and other select markets that require similar capabilities.</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Continue to Extend Our Customized Optics and Glass Vertical Integration: </w:t>
      </w:r>
      <w:r>
        <w:rPr>
          <w:rFonts w:ascii="Times New Roman;serif" w:hAnsi="Times New Roman;serif"/>
          <w:b w:val="false"/>
          <w:color w:val="000000"/>
          <w:sz w:val="20"/>
        </w:rPr>
        <w:t>We will continue to extend our vertical integration into customized optics and glass in order to gain greater access to key components used in the complex products we manufacture as well as to continue our diversification into new markets. We believe our customized optics and glass capabilities are highly complementary to our optical and electro-mechanical manufacturing services, and we intend to continue to market these products to our existing manufacturing services customers. In addition, we intend to continue our focus on customized optics and glass through further investment into research and development, as well as through potential acquisitions in what remains a highly fragmented market.</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Evaluate Potential Strategic Alternatives such as Acquisitions and Joint Ventures: </w:t>
      </w:r>
      <w:r>
        <w:rPr>
          <w:rFonts w:ascii="Times New Roman;serif" w:hAnsi="Times New Roman;serif"/>
          <w:b w:val="false"/>
          <w:color w:val="000000"/>
          <w:sz w:val="20"/>
        </w:rPr>
        <w:t>We will continue to evaluate opportunities to further expand our manufacturing capabilities and diversify our end-markets through the evaluation of various acquisition and joint venture opportunities around the globe.</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Broaden Our Client Base Geographically: </w:t>
      </w:r>
      <w:r>
        <w:rPr>
          <w:rFonts w:ascii="Times New Roman;serif" w:hAnsi="Times New Roman;serif"/>
          <w:b w:val="false"/>
          <w:color w:val="000000"/>
          <w:sz w:val="20"/>
        </w:rPr>
        <w:t>Our manufacturing services are incorporated into products that are distributed in markets worldwide, but we intend to further build out our client base in strategic regions. We intend to continue our focus on expanding our client base in Europe, Asia-Pacific, the Middle East and the United States. We believe these regions have a large and robust optics market, as well as a need for advanced manufacturing services in other growth markets, and would benefit from our precision optical and electromechanical manufacturing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Establish New Product Introduction (“NPI”) Centers to Generate and Transfer New Business to Thailand: </w:t>
      </w:r>
      <w:r>
        <w:rPr>
          <w:rFonts w:ascii="Times New Roman;serif" w:hAnsi="Times New Roman;serif"/>
          <w:b w:val="false"/>
          <w:color w:val="000000"/>
          <w:sz w:val="20"/>
        </w:rPr>
        <w:t>We established Fabrinet West, Inc. as an NPI center in the heart of Silicon Valley and Fabrinet Israel as an NPI center in Israel’s “Startup Village.” These NPI centers serve as business development arms with an emphasis on new business generation, helping our customers with design for manufacturability and then transferring those programs to Thailand for volume manufacturing. Equipped with state-of-the-art surface mount and advanced optical packaging technologies and infrastructure, and with close proximity to a large portion of our customer base, these centers help to accelerate customer NPI and provide seamless access and future transfer to the low-cost manufacturing base in Thailand.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Service Offerings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integrated precision optical, electro-mechanical, and electronic manufacturing services and customized optics and glass fabrication services for our OEM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Precision Optical, Electro-Mechanical, and Electronic Manufacturing Services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Process Design and Engineering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continuously analyze our customers’ product designs for cost and manufacturability improvements. We perform detailed design for manufacturability studies and design of experiments to assist in optimizing a product’s design for the lowest cost possible without compromising the quality specifications of form, fit and function. In the case of a new product design, we may assist in assembling one or more prototype products using the same production line and the same engineering and manufacturing teams that would be used for product qualification and volume production. We often transfer production from a customer’s internal prototype or production lines to our own facilities, requiring a copy-exact: the setup of a production process identical to the one used by our customer to minimize the number of variables and expedite qualification.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Advanced Optical Packaging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dedicated team of experienced engineers supporting our advanced optical packaging development capabilities. These highly qualified engineers work closely with our customers to understand the development requirements of their new products and assist them to build prototypes, as well as source materials, optimize manufacturing processes and develop schedules to bring these products to volume production. We maintain a real-time roadmap for the packaging requirements of our customers and the industry in general. Our advanced packaging team develops and maintains generic recipes that are readily available to be tailored and refined for the specific new applications of our customers, which helps to further accelerate prototype development and product delivery time.</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Printed Circuit Board Assembly and Test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Printed circuit board assembly involves attaching electronic components, such as integrated circuits, capacitors, receivers, transceivers and other components and modules to printed circuit boards. We employ a variety of mounting and assembly technologies, including SMT, PTH and ACT, press-fit, and other connection processes that are focused on miniaturization and increasing the density of component placement on printed circuit boards. These technologies, which support the needs of our customers to provide greater functionality in smaller products, include chip-scale packaging, ball grid array, direct chip attach and high density interconnect. We perform in-circuit, functional and environmental testing of printed circuit board assemblies to verify all components are properly inserted, attached and the electrical circuits are complete, and that the board or assembly operates in accordance with its final design and manufacturing specifications.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Dedicated New Product Introduction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committed to providing NPI capabilities designed to ensure that our customers’ products get to market as quickly as possible. Co-locating strong engineering services in process design, prototyping, design for manufacturability (“DFM”) and test at these locations gives customers a full suite of NPI services for quick-turn PCBA to box-build to full system assembly. Stringent IP protection protocols are strictly enforced throughout the entire process, safeguarding our customers’ intellectual property. Our NPI sites are outfitted with state-of-the-art production equipment that mirrors the equipment used in our low-cost manufacturing facilities, ensuring a fast, smooth transition to a low-cost production environment once the product is qualified.</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Qualifications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Production line and environmental qualifications require a variety of process engineering and technical skills, and the use of specialized equipment. Many of the products that we produce for our customers require extensive environmental and reliability qualification involving, in some cases, a three to six months or longer duration prior to volume production. The qualification phase may include a customer’s certification of a production line or process and one or a series of qualification tests for mechanical integrity and environmental endurance as specified by an industry standards organization, such as Telcordia for telecommunication equipment. We have extensive expertise in the planning, executing, troubleshooting and ultimate success of these qualifications and testing environments, which provides our customers a higher likelihood of completing these qualifications in a timely fashion.</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Continuous Improvement and Optimization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Once we have completed the qualification phase and stabilized production yields, we shift our focus to cost and quality optimization. This requires a close working relationship with our customer to optimize processes and identify alternative sources for materials to improve efficiency, yields and cost. Design and process improvements may include reducing the number of parts, simplifying the assembly process, eliminating non-value add operations, using standard materials and optimizing manufacturing lines.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Supply Chain and Inventory Management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expertise in supply chain and materials management often allows us to further reduce costs and cycle times for our customers. Our procurement and materials management services include planning, purchasing, expediting, warehousing and financing materials from thousands of suppliers. We have created a proprietary set of automated manufacturing resource planning tools to manage our inventory. We have also implemented inventory management strategies with certain suppliers that enable us to use inventory on an as-needed basis and provide on-site stocking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Quality Control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 integration of our manufacturing and test controls, quality systems, and software platforms contribute significantly to our ability to deliver high-quality products on a consistent basis and reduce the risk that we will be required to repair or replace defective products. Our manufacturing execution system (“MES”) is directly integrated with our test system and enterprise resource planning (“ERP”) database allowing us to respond to any process deviations in real time. We work with customers to develop product-specific test strategies. We also provide a variety of test management services, including material and process testing and reliability testing. In addition to providing yield, manufacturing data tracking and other information, our data tracking system also performs process route checking to ensure that products follow the correct process steps and that test results meet all specified criteria. Our test capabilities include traditional PCBA testing, mechanical testing and optical testing, which includes parametric testing, such as insertion loss, return loss and extinction ratio, and functional testing (e.g., bit error ratio).</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Customized Glass and Crystal Optics Fabrication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and fabricate our own customized glass and crystal optics, which are core components of the higher level assemblies that we manufacture for our customers. Our fabrication facilities are located in Fuzhou, China and Mountain Lakes, New Jersey. Our customized glass and crystal optics products include the following: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Fiber Optic Ferrules and Alignment Sleeves; Fiber Optic Substrates; Precision Glass Tubing, Precision Capillaries and Rods: </w:t>
      </w:r>
      <w:r>
        <w:rPr>
          <w:rFonts w:ascii="Times New Roman;serif" w:hAnsi="Times New Roman;serif"/>
          <w:b w:val="false"/>
          <w:color w:val="000000"/>
          <w:sz w:val="20"/>
        </w:rPr>
        <w:t>These single bore and multi-bore products, in various shapes and dimensions, are used principally in optical communications, medical and industrial applications.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Laser Optics: </w:t>
      </w:r>
      <w:r>
        <w:rPr>
          <w:rFonts w:ascii="Times New Roman;serif" w:hAnsi="Times New Roman;serif"/>
          <w:b w:val="false"/>
          <w:color w:val="000000"/>
          <w:sz w:val="20"/>
        </w:rPr>
        <w:t>Includes crystals (such as YVO4, Nd: YVO4, Cr: YAG, and BBO), optics, high reflectivity mirrors, lenses, prisms and windows used in laser applications.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Medical Optics: </w:t>
      </w:r>
      <w:r>
        <w:rPr>
          <w:rFonts w:ascii="Times New Roman;serif" w:hAnsi="Times New Roman;serif"/>
          <w:b w:val="false"/>
          <w:color w:val="000000"/>
          <w:sz w:val="20"/>
        </w:rPr>
        <w:t>Includes mirrors, lenses, filters, wave plates, windows, and prisms incorporated into various medical equipment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Storage Optics: </w:t>
      </w:r>
      <w:r>
        <w:rPr>
          <w:rFonts w:ascii="Times New Roman;serif" w:hAnsi="Times New Roman;serif"/>
          <w:b w:val="false"/>
          <w:color w:val="000000"/>
          <w:sz w:val="20"/>
        </w:rPr>
        <w:t>Includes mirrors, polarizing beam splitters or PBS, and wave plates incorporated into optical storage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Surveying Optics: </w:t>
      </w:r>
      <w:r>
        <w:rPr>
          <w:rFonts w:ascii="Times New Roman;serif" w:hAnsi="Times New Roman;serif"/>
          <w:b w:val="false"/>
          <w:color w:val="000000"/>
          <w:sz w:val="20"/>
        </w:rPr>
        <w:t>Includes penta prisms, corner cubes, and T-Windows incorporated into precision surveying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Telecom Optics: </w:t>
      </w:r>
      <w:r>
        <w:rPr>
          <w:rFonts w:ascii="Times New Roman;serif" w:hAnsi="Times New Roman;serif"/>
          <w:b w:val="false"/>
          <w:color w:val="000000"/>
          <w:sz w:val="20"/>
        </w:rPr>
        <w:t>Includes lenses (such as spherical, a-spherical, C-lens, and cylindrical), wave plates, mirrors, prisms, filters and YVO4 crystals used for telecommunications applications.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Telecommunication Subassemblies: </w:t>
      </w:r>
      <w:r>
        <w:rPr>
          <w:rFonts w:ascii="Times New Roman;serif" w:hAnsi="Times New Roman;serif"/>
          <w:b w:val="false"/>
          <w:color w:val="000000"/>
          <w:sz w:val="20"/>
        </w:rPr>
        <w:t>Includes fiber pigtails (both single and dual), assemblies and collimators used in many fiber optic components such as isolators, circulators, optical switches and three-port filters.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experience with customers and our qualitative assessment of our capabilities, we believe we provide a broader array of process technologies to the optics industry than any other manufacturing services provider. We also continue to invest in customized optics and glass technology including in the areas of crystal growth, crystal and glass processing, optical coating, polishing and lapping, optical assemblies and precision glass drawing. We intend to continue to increase our process engineering capabilities and manufacturing technologies to extend our product portfolio and continue to gain market share in the optics industry. Our internally developed and licensed technologies include the following: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Advanced Optical Packaging: </w:t>
      </w:r>
      <w:r>
        <w:rPr>
          <w:rFonts w:ascii="Times New Roman;serif" w:hAnsi="Times New Roman;serif"/>
          <w:b w:val="false"/>
          <w:color w:val="000000"/>
          <w:sz w:val="20"/>
        </w:rPr>
        <w:t>We have extensive experience in developing manufacturing processes and performing value engineering to improve our customers’ product performance, quality, reliability and manufacturing yields. In many cases, we partner with our customers to develop custom manufacturing solutions for their optics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Reliability Testing: </w:t>
      </w:r>
      <w:r>
        <w:rPr>
          <w:rFonts w:ascii="Times New Roman;serif" w:hAnsi="Times New Roman;serif"/>
          <w:b w:val="false"/>
          <w:color w:val="000000"/>
          <w:sz w:val="20"/>
        </w:rPr>
        <w:t>Our reliability laboratory enables us to test the degree to which our results and specifications conform to our customers’ requirements. Through the reliability laboratory, we are able to perform most of the tests required by industry standards, including damp heat, thermal aging, thermal shock, temperature cycling, shock and vibration, accelerated life testing and stress screening. The reliability laboratory is critical to verification of root cause failure analysis.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Optical and Mechanical Material and Process Analysis: </w:t>
      </w:r>
      <w:r>
        <w:rPr>
          <w:rFonts w:ascii="Times New Roman;serif" w:hAnsi="Times New Roman;serif"/>
          <w:b w:val="false"/>
          <w:color w:val="000000"/>
          <w:sz w:val="20"/>
        </w:rPr>
        <w:t>Our in-house material and process laboratory analyzes materials to support incoming inspection, process development, process monitoring, failure analysis and verification of compliance with the applicable environmental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Precision Optical Fiber and Electro-Mechanical Assembly: </w:t>
      </w:r>
      <w:r>
        <w:rPr>
          <w:rFonts w:ascii="Times New Roman;serif" w:hAnsi="Times New Roman;serif"/>
          <w:b w:val="false"/>
          <w:color w:val="000000"/>
          <w:sz w:val="20"/>
        </w:rPr>
        <w:t>We have extensive experience in precision optical and electro-mechanical assemblies in clean room environments, clean room control discipline, cleaning technologies and electro-static discharge (“ESD”) protection.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Fiber Metallization and Lensing: </w:t>
      </w:r>
      <w:r>
        <w:rPr>
          <w:rFonts w:ascii="Times New Roman;serif" w:hAnsi="Times New Roman;serif"/>
          <w:b w:val="false"/>
          <w:color w:val="000000"/>
          <w:sz w:val="20"/>
        </w:rPr>
        <w:t>We use our fiber metallization and fiber lensing capabilities to assist our customers in packaging their products. Many optical component package designs require metallized fiber and some designs also require lensing at the tip of the fiber. We have in-house capabilities that enable us to produce these products at a low cost, with short lead times and high quality.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Fiber Handling and Fiber Alignment: </w:t>
      </w:r>
      <w:r>
        <w:rPr>
          <w:rFonts w:ascii="Times New Roman;serif" w:hAnsi="Times New Roman;serif"/>
          <w:b w:val="false"/>
          <w:color w:val="000000"/>
          <w:sz w:val="20"/>
        </w:rPr>
        <w:t>The technique with which optical fiber is handled can have a significant impact on the functionality and reliability of optics products due to the risk of damage or flaws introduced to the fiber surface or micro-cracks to the core of the fiber, which may impact alignment or signal quality, among other things. We have implemented a number of processes, techniques, and best practices to avoid stressing or otherwise damaging fiber during stripping, cleaving and connectorization. Such techniques are also designed to achieve optimal alignment of fiber in the shortest period of time during these processes.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Optical Testing: </w:t>
      </w:r>
      <w:r>
        <w:rPr>
          <w:rFonts w:ascii="Times New Roman;serif" w:hAnsi="Times New Roman;serif"/>
          <w:b w:val="false"/>
          <w:color w:val="000000"/>
          <w:sz w:val="20"/>
        </w:rPr>
        <w:t>We have the capability to perform parametric and functional tests for a wide variety of optical devices. In many cases, we are also able to help our customers develop their own proprietary software and test fixtures.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Crystal Growth and Processing: </w:t>
      </w:r>
      <w:r>
        <w:rPr>
          <w:rFonts w:ascii="Times New Roman;serif" w:hAnsi="Times New Roman;serif"/>
          <w:b w:val="false"/>
          <w:color w:val="000000"/>
          <w:sz w:val="20"/>
        </w:rPr>
        <w:t>Our crystal growth technology produces non-linear optical crystals and crystals used in laser applications. Our processing capabilities include dicing, grinding, polishing and inspection with high dimension, tolerance and surface quality.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Precision Glass Drawing: </w:t>
      </w:r>
      <w:r>
        <w:rPr>
          <w:rFonts w:ascii="Times New Roman;serif" w:hAnsi="Times New Roman;serif"/>
          <w:b w:val="false"/>
          <w:color w:val="000000"/>
          <w:sz w:val="20"/>
        </w:rPr>
        <w:t>We have developed the specialized capabilities necessary to draw precision structures within tight tolerances using borosilicate, clear fused quartz and synthetic fused silica glass. Using these processes, we produce customized rectangular and circular glass tubes and rods in various configurations and with multiple bores that are accurately drawn in precise locations within the tubing. These tubes can be sliced into thin wafers for use in various applications, such as ultra-filtration of bacteria, micro-organism counting, and identification of organisms and substances. These tubes can also be cut into larger lengths to produce ferrules and sleeves for use in fiber optic communications components.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i/>
          <w:color w:val="000000"/>
          <w:sz w:val="20"/>
        </w:rPr>
        <w:t xml:space="preserve">Optical Coating: </w:t>
      </w:r>
      <w:r>
        <w:rPr>
          <w:rFonts w:ascii="Times New Roman;serif" w:hAnsi="Times New Roman;serif"/>
          <w:b w:val="false"/>
          <w:color w:val="000000"/>
          <w:sz w:val="20"/>
        </w:rPr>
        <w:t>We provide a wide variety of coating from simple single layer anti-reflection coatings to complex multi-layer stacks. The types of coating we provide include anti-reflection, partial reflection and high reflection.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continuously invest in new and optimized processes to accommodate the next generation of optical devices, such as optical packaging, anti-reflective coating and complex printed circuit board technologies. We believe many of these manufacturing processes and technologies will be key to developing and commercializing the next generation of optical devices, which may include multi-function passive optics and photonic integrated circuits (which are devices that incorporate various optical components and modules into a packaged chip), receivers integrated with an optical amplifier, and active optical cabling. We also anticipate our customers will continue to desire our vertically integrated capabilities, designing customized optics and glass to be incorporated into optical components, modules and complete network or laser systems.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Customers, Sales and Marketing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optical communications market we serve is highly concentrated. Therefore, we expect a significant percentage of our revenues will continue to come from a small number of customers. During fiscal years 2026 and 2025, we had four and two customers, respectively, that each contributed 10% or more of our revenues. During fiscal year 2026, Cisco Systems, Inc., NVIDIA Corporation, Nokia Corporation and Amazon.com, Inc. contributed 19.9%, 16.3%, 10.7% and 10.5%, respectively, of our revenues. During fiscal year 2025, NVIDIA Corporation and Cisco Systems, Inc. contributed 27.6% and 18.2%, respectively, of our 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production of optical devices is characterized by a lengthy qualification process. In particular, the qualification and field testing of the products that we produce for our customers may take three to six months or longer to complete. Generally, we must qualify our production process with our customers, and the products that we manufacture must also meet the product quality requirements of our customers’ customers. While most of our customers do not purchase our services until they qualify the services and satisfactorily complete factory audits and vendor evaluations, we typically produce a test run of their products to demonstrate that the products we produce will meet their qualification standards in advance of receiving an order. As part of this process, our engineers work closely with the customer’s design and procurement teams. We believe that the rigorous product transfer and qualification processes, and the close relationships that we develop with our customers during those processes, result in greater visibility into product life cycles and longer-term customer engagements.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substantially dependent on orders we receive and fill on a short-term basis. Although we often receive a 12-month forecast from our customers, our customer contracts do not provide any assurance of future sales, and sales are typically made pursuant to individual purchase orders that have short lead times and are subject to revision or cancellation. Because of the possibility of changes in delivery or acceptance schedules, cancellations of orders, returns or price reductions, we do not believe that backlog is a reliable indicator of our future revenues.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Suppliers of Raw Materials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manufacturing operations use a wide variety of optical, semiconductor, mechanical and electronic components, assemblies and raw materials. We generally purchase materials from suppliers through standard purchase orders, as opposed to long-term supply agreements. We rely on sole-source suppliers for a number of critical materials. Some of these sole-source suppliers are small businesses, which presents risks to us based on their financial health and reliability, which we continually monitor. We have historically experienced supply shortages resulting from various causes, including reduced yields by suppliers, which have prevented us from manufacturing products for our customers in a timely manner. Furthermore, in some cases, our efforts to identify and secure alternative supply chain sources has resulted in our customers or their end customers requiring requalification and validation of components, a process that can often be lengthy and has negatively impacted the timing of our revenue.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an extensive quality management system that focuses on continual process improvement and achieving high levels of customer satisfaction. We employ a variety of enhanced statistical engineering techniques and other tools to improve product and service quality. In addition, we generally offer a warranty ranging from one to five years on the products that we assemble. Generally, this warranty is limited to our workmanship and our liability is capped at the price of the product.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quality management systems help to ensure that the products we provide to our customers meet or exceed industry standards. We maintain the following certifications: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ISO/IEC 27001 for Information Security Management Systems; and ISO 50001 for Energy Management Systems. We also maintain compliance with various additional standards imposed by the U.S. Food and Drug Administration (“FDA”) with respect to the manufacture of medical devices.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Transported Asset Protection Association (“TAPA”) and Customs Trade Partnership Against Terrorism (“CTPAT”) for logistics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these standards, we are committed to the deployment of sustainable manufacturing, lean initiatives, and continuous improvement throughout our operations. The implementation of lean manufacturing initiatives helps improve efficiency and reduce waste in the manufacturing process in areas such as inventory on hand, set up times, and floor space and the number of people required for production, while Kaizen and Six Sigma ensures continuous improvement by reducing process variation.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manufacturing services market is highly competitive, we believe that there are significant barriers to entry in our existing and target markets, including lengthy sales cycles, the need to demonstrate complex precision optical and electro-mechanical engineering and manufacturing capabilities to a prospective customer and the ability to protect a customer’s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competitive position depends upon a number of factors, including: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manufacturing technologies and capacity;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quality of our manufacturing processes and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supply chain tools and data management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safeguard and protect our customers’ intellectual property;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engineering and prototyping capabilities;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strengthen and broaden our engineering services and know-how to participate in the growth of emerging technologies;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deliver on-time;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deliver continuous cost improvements;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responsiveness and flexibility.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in the market for optical manufacturing services include Benchmark Electronics, Inc., Celestica Inc., InnoLight Technology (Suzhou) Ltd., Jabil Inc., Sanmina Corporation, Venture Corporation Limited and Eoptolink Technology Inc., Ltd., as well as the internal manufacturing capabilities of our customers. Our customized optics and glass operations face competition from companies such as CASTECH Inc., Excelitas Technologies Corp. and Photop Technologies, Inc. (a subsidiary of Coherent Corp.).</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customers’ intellectual property. We license various technologies from our customers on a non-exclusive, royalty-free, non-transferable basis for the sole purpose of allowing us to manufacture products for those customers in accordance with their specifications. We have no rights to disclose, use, sublicense or sell this licensed technology for any other purpose. The duration of these licenses is limited to the duration of the underlying supply or manufacturing agreement. To meet the demands of certain customers, we created a factory-within-a-factory manufacturing environment that physically separates the manufacturing sites from one another. Some customers, for example, demand anonymity at our facilities while other customers require additional security measures such as biometric devices to safeguard their segregated manufacturing areas.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regard our own manufacturing process technologies and customized optics and glass designs as proprietary intellectual property. We own any process engineering technology independently developed in-house by our technical staff. As part of our manufacturing services, to the extent we utilize our own manufacturing process technologies in the manufacture of our customers’ products, we grant our customers a royalty-free license to these process engineering technologies for the purpose of allowing our customers to make their products. Any process engineering or other improvements that we develop in connection with the improvement or optimization of a process for the manufacturing of a customer’s products are immediately assigned to that customer. To protect our proprietary rights, we rely largely upon a combination of trade secrets, non-disclosure agreements and internal security systems. Historically, patents have not played a significant role in the protection of our proprietary rights. Nevertheless, we currently have a relatively small number of solely-owned and jointly-held PRC patents in various customized optic technologies with expiration dates between 2026 and 2040. We believe that both our evolving business practices and industry trends may result in the continued growth of our patent portfolio and its importance to us, particularly as we expand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Government Regulations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Environmental Compliance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international and U.S. laws and regulations relating to the use, disposal, cleanup of and human exposure to hazardous materials. To date, such laws and regulations have not materially affected our business. We do not anticipate any material capital expenditures for environmental control facilities for the foreseeable future. While to date we are not aware of any material exposures, there can be no assurance that environmental matters will not arise in the future or that costs will not be incurred with respect to sites as to which no problem is currently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the International Organization for Standardization (“ISO”) 14001 environmental management systems framework, we have established and continue to enforce at our facilities a global environmental policy that includes evaluation and control, compliance obligations, commitment, training, communication, control of documented information, operational control, emergency preparedness and response, and management review. While environmental regulations have not thus far resulted in a material adverse effect on our operations, changes in regulations could necessitate additional capital expenditures, modification of our operations, or other compliance actions.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Trade Regulations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 increase their cost. In addition, compliance with trade regulations may result in disruptions in logistics, which could delay our receipt of materials. We have experienced increased lead times and expedite fees for the supply of materials. The disruption of our supply of parts and materials, including where such disruption results in the extension of our lead times, could have a material adverse effect on our business, results of operations, or financial condition. Similarly, if our customers experience disruptions to their supplies or materials, or the extension of their lead times, they may reduce, cancel, or alter the timing of their purchases with us, which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Tax Law Changes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various jurisdictions. Our provision for income taxes and effective tax rate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our tax liability.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OECD has issued Pillar Two model rules and continues to release guidance on these rules. As of June 26, 2026, these rules are either effective or have been adopted in draft form in various countries. We evaluated the applicable tax law changes resulting from Pillar Two implementation in the countries where we operate. Fabrinet is incorporated in a jurisdiction that has not adopted Pillar Two rules. Certain other jurisdictions in which we operate, including Thailand, have enacted legislation that may impose Undertaxed Profits Rule (UTPR) top-up tax with respect to low-taxed income of other constituent entities within our consolidated group.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 ended June 26, 2026, we recognized $57.4 million of current income tax expense related to enacted Pillar Two UTPR legislation. The related liability is included within income tax payable in the consolidated balance sheets. We continue to evaluate enacted legislation, administrative guidance, and the application of transitional safe harbors in the jurisdictions in which we operate. Future changes in enacted tax laws and interpretations could materially affect our future effective tax rate and cash tax obligations.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Social Responsibility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social responsibility practices focus on creating better social, economic and environmental outcomes for all stakeholders in the global electronics supply chain. These outcomes include improved conditions for workers, increased efficiency and productivity for customers and suppliers, economic development, and a clean environment for our communities. We are committed to implementing programs that focus on driving continuous improvements in social, ethical, and environmental compliance throughout all of our global operating units in accordance with our Code of Business Conduct. As a guide to achieve this end, we look at principles, policies and standards as prescribed by the Responsible Business Alliance (“RBA”), an association of global electronics companies whose mission is to enable companies to improve the social and environmental conditions in the global supply chain. Fabrinet is a member of the RBA.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Structure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Fabrinet was incorporated under the laws of the Cayman Islands in August 1999 and commenced business operations in January 2000. We have twelve direct and indirect subsidiaries, all of which are wholly-owned. As the parent company, we enter into contracts directly with our customers while some of our subsidiaries in the PRC and the U.S. enter into sales contracts or purchase orders directly with their customers. We have an inter-company agreement with our subsidiary in Thailand to provide manufacturing services to us, and we have inter-company agreements with certain of our subsidiaries in the U.S. and Singapore to provide certain administrative and business development services to 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workforce is distributed globally over six countries. As of June 26, 2026, we employed approximately 21,521 full-time employees worldwide, with approximately 21,221 employees located in the Asia-Pacific region, and 300 employees located in North America. Of our total workforce, approximately 21,020 employees were involved in manufacturing operations and 501 employees were involved in business development and general and administrative functions. None of our employees are represented by a labor union. We have not experienced any work stoppages, slowdowns, or strikes. We consider our relations with our employees to be positive.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committed to developing our employees and supporting our employees’ well-being and safety. We advertise job openings and source candidates broadly to attract a diverse candidate pool. We also monitor hiring, termination and pay practices to ensure compliance with established regulations across the world, and we track and report internally on key talent metrics including talent pipeline, employee promotions, employee turnover, and engagement of our employees. We provide employee career guidance and counseling through established employee development and training opportunities.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website is located at www.fabrinet.com.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through the “Investors” section of our website as soon as reasonably practicable after we electronically file such material with, or furnish it to, the U.S. Securities and Exchange Commission (“SEC”). The SEC maintains a website at www.sec.gov that contains reports, proxy statements and other information regarding SEC registrants, including Fabrinet.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ordinary shares involves a high degree of risk. You should carefully consider the following risks as well as the other information contained in this Annual Report on Form 10-K, including our consolidated financial statements and the related notes, before investing in our ordinary shares. The risks and uncertainties described below are not the only ones that we may face. Additional risks and uncertainties of which we are unaware, or that we currently deem immaterial, also may become important factors that affect us or our ordinary shares. If any of the following risks actually occur, they may harm our business, financial condition and operating results. In this event, the market price of our ordinary shares could decline and you could lose some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and Operational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depended, and will continue to depend, upon a small number of customers for a significant percentage of our revenues. During fiscal years 2026, 2025 and 2024, we had four, two and two customers, respectively, that each contributed 10% or more of our revenues. Such customers together accounted for 57.4%, 45.8% and 48.5% of our revenues during the respective periods. Dependence on a small number of customers means that a reduction in orders from, a loss of, or other adverse actions by any one of these customers would reduce our revenues and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all of which may be exacerbated by the current global economic downturn and subsequent adverse conditions in the credit markets, as well as the impact of changes to U.S. and international trade policies. Certain of our customers have gone out of business, declared bankruptcy,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reliance on a small number of customers gives our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Consolidation in the markets we serve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Consolidation in the markets we serve has resulted in a reduction in the number of potential customers for our services. For example, Nokia Corporation completed its acquisition of Infinera Corporation in February 2025; Lumentum Holdings Inc. completed its acquisition of NeoPhotonics Corporation in August 2022; Coherent Corp. (formerly known as II-VI Incorporated) completed its acquisition of Coherent, Inc. in July 2022; and Cisco Systems, Inc. completed its acquisition of Acacia Communications, Inc. in March 2021. In some cases, consolidation among our customers has led to a reduction in demand for our services as customers have acquired the capacity to manufacture products in-house.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Consolidation among our customers and their customers will continue to adversely affect our business, financial condition and operating results in several ways. Consolidation among our customers and their customers may result in a smaller number of large customers whose size and purchasing power give them increased leverage that may result in, among other things, decreases in our average selling prices. In addition to pricing pressures, this consolidation may also reduce overall demand for our manufacturing services if customers obtain new capacity to manufacture products in-house or discontinue duplicate or competing product lines in order to streamline operations. If demand for our manufacturing services decreases, our business, financial condition and operating results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data center and communications infrastructure markets do not expand as we expect, our business may not grow as fast as we expect, which could adversely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data center products represented 47.9% and 46.2% of our revenues for fiscal year 2026 and fiscal year 2025, respectively. Revenues from communications infrastructure products represented 33.3% and 30.7% of our revenues for fiscal year 2026 and fiscal year 2025, respectively. Our future success as a provider of precision optical, electro-mechanical and electronic manufacturing services for the data center and communications infrastructure markets depends on the continued growth of the optics industry and, in particular, the continued expansion of global information networks, particularly those directly or indirectly dependent upon a fiber optic infrastructure. As part of that growth, we anticipate that demand for voice, video, and other data services delivered over high-speed connections (both wired and wireless) will continue to increase. Without network and bandwidth growth, the need for enhanced communications products would be jeopardized. Currently, demand for network services and for high-speed broadband access, in particular, is increasing but growth may be limited by several factors, including, among others: (1) relative strength or weakness of the global economy or the economy in certain countries or regions, (2) an uncertain regulatory environment, and (3) uncertainty regarding long-term sustainable business models as multiple industries, such as the cable, traditional telecommunications, wireless and satellite industries, offer competing content delivery solutions. The optical communications market also has experienced periods of overcapacity, some of which have occurred even during periods of relatively high network usage and bandwidth demands. If the factors described above were to slow, stop or reverse the expansion in the optical communications market, our business, financial condition and operating results would be negatively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revenues, gross profit margins and operating results have fluctuated significantly and may continue to do so in the future, which may cause the market price of our ordinary shares to decline or be volatile.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revenues, gross profit margins, and operating results have fluctuated significantly and may continue to fluctuate significantly in the future. For example, any of the risks described in this “Risk Factors” section and, in particular, the following factors, could cause our revenues, gross profit margins, and operating results to fluctuate from quarter to quarter: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any reduction in customer demand or our ability to fulfill customer orders as a result of disruptions in our supply chain;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acquire new customers and retain our existing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cyclicality of the optical communications, automotive, industrial lasers, medical, and sensors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achieve favorable pricing for our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 of fluctuations in foreign currency exchange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manage our headcount and other costs;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relative mix in our 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Therefore, we believe that quarter-to-quarter comparisons of our operating results may not be useful in predicting our future operating results. You should not rely on our results for one quarter as any indication of our future performance. Quarterly variations in our operations could result in significant volatility in the market price of our ordinary shares.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diversifying across other markets within the optics industry, such as the semiconductor processing, biotechnology, metrology, and material processing markets, to reduce our dependence on the optical communications market and to grow our business. Currently, the optical communications market contributes the significant majority of our revenues. There can be no assurance that our efforts to further expand and diversify into other markets within the optics industry will prove successful or that these markets will continue to grow as fast as we expect. If the opportunities presented by these markets prove to be less than anticipated, if we are less successful than expected in diversifying into these markets, or if our margins in these markets prove to be less than expected, our growth may slow or stall, and we may incur costs that are not offset by revenues in these markets, all of which could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significant competition in our business. If we are unable to compete successfully against our current and future competitors,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and prospective customers tend to evaluate our capabilities against the merits of their internal manufacturing as well as the capabilities of other third-party manufacturers. We believe the internal manufacturing capabilities of current and prospective customers are our primary competition. This competition is particularly strong when our customers have excess manufacturing capacity, as was the case when the markets that we serve experienced a significant downturn in 2008 and 2009 that resulted in underutilized capacity. Should our existing and potential customers have excess manufacturing capacity at their facilities, it could adversely affect our business. In addition, as a result of the 2011 flooding in Thailand, some of our customers began manufacturing products internally or using other third-party manufacturers that were not affected by the flooding. If our customers choose to manufacture products internally rather than to outsource production to us, or choose to outsource to a different third-party manufacturer,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in the market for optical manufacturing services include Benchmark Electronics, Inc., Celestica Inc., InnoLight Technology (Suzhou) Ltd., Jabil Inc., Sanmina Corporation, Venture Corporation Limited and Eoptolink Technology Inc., Ltd. Our customized optics and glass operations face competition from companies such as CASTECH Inc., Excelitas Technologies Corp. and Photop Technologies, Inc. (a subsidiary of Coherent Corp.). Other existing contract manufacturing companies, original design manufacturers or outsourced semiconductor assembly and test companies could also enter our target markets. In addition, we may face new competitors as we attempt to penetrate new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our customers and potential competitors have longer operating histories, greater name recognition, larger customer bases and significantly greater resources than we have. These advantages may allow them to devote greater resources than we can to the development and promotion of service offerings that are similar or superior to our service offerings. These competitors may also engage in more extensive research and development, undertake more far-reaching marketing campaigns, adopt more aggressive pricing policies or offer services that achieve greater market acceptance than ours. These competitors may also compete with us by making more attractive offers to our existing and potential employees, suppliers, and strategic partners. Further, consolidation in the optics industry could lead to larger and more geographically diverse competitors. New and increased competition could result in price reductions for our services, reduced gross profit margins or loss of market share. We may not be able to compete successfully against our current and future competitors, and the competitive pressures we face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Cancellations, delays or reductions of customer orders and the relatively short-term nature of the commitments of our customers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typically obtain firm purchase orders or commitments from our customers that extend beyond 13 weeks. While we work closely with our customers to develop forecasts for periods of up to one year, these forecasts are not binding and may be unreliable. Customers may cancel their orders, change production quantities from forecasted volumes or delay production for a number of reasons beyond our control. Any material delay, cancellation or reduction of orders could cause our revenues to decline significantly and could cause us to hold excess materials. Many of our costs and operating expenses are fixed. As a result, a reduction in customer demand could decrease our gross profit and harm our business, financial condition and operating results.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make significant decisions with respect to production schedules, material procurement commitments, personnel needs and other resource requirements based on our estimate of our customers’ requirements. The short-term nature of our customers’ commitments and the possibility of rapid changes in demand for their products reduce our ability to accurately estimate the future requirements of our customers. Inability to forecast the level of customer orders with certainty makes it difficult to allocate resources to specific customers, order appropriate levels of materials and maximize the use of our manufacturing capacity. This could also lead to an inability to meet a spike in production demand, all of which could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exposure to financially troubled customers or suppliers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customers and suppliers have in the past and may in the future experience financial difficulty, particularly in light of adverse conditions in the credit markets that have affected access to capital and liquidity. During challenging economic times, our customers may face difficulties in gaining timely access to sufficient credit, which could impact their ability to make timely payments to us. As a result, we devote significant resources to monitor receivables and inventory balances with certain of our customers. If our customers experience financial difficulty, we could have difficulty recovering amounts owed to us from these customers, or demand for our services from these customers could decline. If our suppliers experience financial difficulty, we could have trouble sourcing materials necessary to fulfill production requirements and meet scheduled shipments. Any such financial difficulty could adversely affect our operating results and financial condition by resulting in a reduction in our revenues, a charge for inventory write-offs, a provision for expected credit losses, and larger working capital requirements due to increased days in inventory and days in accounts receivable.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 single source or a limited number of suppliers for critical materials used in a significant number of the products we manufacture. We generally purchase these single or limited source materials through standard purchase orders and do not maintain long-term supply agreements with our suppliers. We generally use a rolling 12-month forecast based on anticipated product orders, customer forecasts, product order history, backlog, and warranty and service demand to determine our materials requirements. Lead times for the parts and components that we order vary significantly and depend on factors such as manufacturing cycle times, manufacturing yields, and the availability of raw materials used to produce the parts or components. Historically, we have experienced supply shortages resulting from various causes, including reduced yields by our suppliers, which prevented us from manufacturing products for our customers in a timely manner. The semiconductor supply chain is complex, and, in recent years, there has been a significant global shortage of semiconductors. Demand for consumer electronics surged during the COVID-19 pandemic, which in turn has increased the demand for semiconductors. At the same time, wafer foundries that support chipmakers have not invested enough in recent years to increase capacities to the levels needed to support the increased demand from all of their customers. Further exacerbating the shortage is the long production lead-time for wafers, which can be as long as 30 weeks in some cases. A shortage of semiconductors or other key components can cause a significant disruption to our production schedule and have a substantial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profitability and customer relations will be harmed by continued fluctuations in the availability of materials, a stoppage or delay of supply, a substitution of more expensive or less reliable parts, the receipt of defective parts or contaminated materials, an increase in the price of supplies, or an inability to obtain reductions in price from our suppliers in response to competitive pressures. We continue to undertake programs to strengthen our supply chain. Nevertheless, we are experiencing, and expect for the foreseeable future to experience, strain on our supply chain, as well as periodic supplier problems. These supply chain issues have impacted, and will continue to impact, our ability to generate revenue. In addition, we have incurred, and expect for the foreseeable future to incur, increased costs related to our efforts to address these problems.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Managing our inventory is complex and may require write-downs due to excess or obsolete inventory, which could cause our operating results to decrease significantly in a given fiscal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Managing our inventory is complex. We are generally required to procure materials based upon the anticipated demand of our customers. The inaccuracy of these forecasts or estimates could result in excess supply or shortages of certain materials. Inventory that is not used or expected to be used as and when planned may become excess or obsolete. Generally, we are unable to use most of the materials purchased for one of our customers to manufacture products for any of our other customers. Additionally, we could experience reduced or delayed product shipments or incur additional inventory write-downs and cancellation charges or penalties, which would increase costs and could harm our business, financial condition and operating results. While our agreements with customers are structured to mitigate our risks related to excess or obsolete inventory, enforcement of these provisions may result in material expense, and delay in payment for inventory. If any of our significant customers becomes unable or unwilling to purchase inventory or does not agree to such contractual provisions in the future, our business, financial condition and operating results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be able to pursue many large customer orders or sustain our historical growth rates if we do not have sufficient manufacturing capacity to enable us to commit to provide customers with specified quantities of products. If our customers do not believe that we have sufficient manufacturing capacity, they may: (1) outsource all of their production to another manufacturer that they believe can fulfill all of their production requirements; (2) look to a second manufacturer for the manufacture of additional quantities of the products that we currently manufacture for them; (3) manufacture the products themselves; or (4) decide against using our services for their new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most recently expanded our manufacturing capacity by acquiring an 8-acre campus in Navanakorn, Thailand in May 2026, and we began construction of a new manufacturing building of approximately 2.0 million square feet at our Chonburi campus in February 2025. We may continue to devote significant resources to the expansion of our manufacturing capacity, and any such expansion will be expensive, will require management’s time and may disrupt our operations. In the event we are unsuccessful in our attempts to expand our manufacturing capacity,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However, if we successfully expand our manufacturing capacity but are unable to promptly utilize the additional space due to reduced demand for our services or an inability to win new projects, add new customers or penetrate new markets, or if the optics industry does not grow as we expect, we may experience periods of excess capacity,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experience manufacturing yields that are lower than expected, potentially resulting in increased costs, which could harm our business, operating results and customer relations.</w:t>
      </w:r>
    </w:p>
    <w:p>
      <w:pPr>
        <w:pStyle w:val="TextBody"/>
        <w:bidi w:val="0"/>
        <w:spacing w:lineRule="auto" w:line="288" w:before="240" w:after="283"/>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Manufacturing yields depend on a number of factors,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quality of input, materials and</w:t>
      </w:r>
      <w:r>
        <w:rPr>
          <w:color w:val="000000"/>
        </w:rPr>
        <w:t xml:space="preserve"> </w:t>
      </w:r>
      <w:r>
        <w:rPr>
          <w:rFonts w:ascii="Times New Roman;serif" w:hAnsi="Times New Roman;serif"/>
          <w:b w:val="false"/>
          <w:color w:val="000000"/>
          <w:sz w:val="20"/>
        </w:rPr>
        <w:t>equipment;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quality and feasibility of our customer’s</w:t>
      </w:r>
      <w:r>
        <w:rPr>
          <w:color w:val="000000"/>
        </w:rPr>
        <w:t xml:space="preserve"> </w:t>
      </w:r>
      <w:r>
        <w:rPr>
          <w:rFonts w:ascii="Times New Roman;serif" w:hAnsi="Times New Roman;serif"/>
          <w:b w:val="false"/>
          <w:color w:val="000000"/>
          <w:sz w:val="20"/>
        </w:rPr>
        <w:t>design;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repeatability and complexity of the manufacturing</w:t>
      </w:r>
      <w:r>
        <w:rPr>
          <w:color w:val="000000"/>
        </w:rPr>
        <w:t xml:space="preserve"> </w:t>
      </w:r>
      <w:r>
        <w:rPr>
          <w:rFonts w:ascii="Times New Roman;serif" w:hAnsi="Times New Roman;serif"/>
          <w:b w:val="false"/>
          <w:color w:val="000000"/>
          <w:sz w:val="20"/>
        </w:rPr>
        <w:t>process;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experience and quality of training of our manufacturing and engineering teams;</w:t>
      </w:r>
      <w:r>
        <w:rPr>
          <w:color w:val="000000"/>
        </w:rPr>
        <w:t xml:space="preserve"> </w:t>
      </w:r>
      <w:r>
        <w:rPr>
          <w:rFonts w:ascii="Times New Roman;serif" w:hAnsi="Times New Roman;serif"/>
          <w:b w:val="false"/>
          <w:color w:val="000000"/>
          <w:sz w:val="20"/>
        </w:rPr>
        <w:t>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monitoring of the manufacturing</w:t>
      </w:r>
      <w:r>
        <w:rPr>
          <w:color w:val="000000"/>
        </w:rPr>
        <w:t xml:space="preserve"> </w:t>
      </w:r>
      <w:r>
        <w:rPr>
          <w:rFonts w:ascii="Times New Roman;serif" w:hAnsi="Times New Roman;serif"/>
          <w:b w:val="false"/>
          <w:color w:val="000000"/>
          <w:sz w:val="20"/>
        </w:rPr>
        <w:t>environment.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Lower volume production due to continually changing designs generally results in lower yields. Manufacturing yields and margins can also be lower if we receive or inadvertently use defective or contaminated materials from our suppliers. In addition, our customer contracts typically provide that we will supply products at a fixed price each quarter, which assumes specific production yields and quality metrics. If we do not meet the yield assumptions and quality metrics used in calculating the price of a product, we may not be able to recover the costs associated with our failure to do so. Consequently, our operating results and profitability may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manufacture products to our customers’ specifications, and our manufacturing processes and facilities must comply with applicable statutory and regulatory requirements. In addition, our customers’ products and the manufacturing processes that we use to produce them are often complex. As a result, products that we manufacture may at times contain manufacturing or design defects, and our manufacturing processes may be subject to errors or fail to be in compliance with applicable statutory or regulatory requirements. Additionally, not all defects are immediately detectable. The testing procedures of our customers are generally limited to the evaluation of the products that we manufacture under likely and foreseeable failure scenarios. For various reasons (including, among others, the occurrence of performance problems that are unforeseeable at the time of testing or that are detected only when products are fully deployed and operated under peak stress conditions), these products may fail to perform as expected after their initial acceptance by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generally provide a warranty of between one to five years on the products that we manufacture for our customers. This warranty typically guarantees that products will conform to our customers’ specifications and be free from defects in workmanship. Defects in the products we manufacture, whether caused by a design, engineering, manufacturing or component failure or by deficiencies in our manufacturing processes, and whether such defects are discovered during or after the warranty period, could result in product or component failures, which may damage our business reputation, whether or not we are indemnified for such failures. We could also incur significant costs to repair or replace defective products under warranty, particularly when such failures occur in installed systems. In some instances, we may also be required to incur costs to repair or replace defective products outside of the warranty period in the event that a recurring defect is discovered in a certain percentage of a customer’s products delivered over an agreed upon period of time. We have experienced product or component failures in the past and remain exposed to such failures, as the products that we manufacture are widely deployed throughout the world in multiple environments and applications. Further, due to the difficulty in determining whether a given defect resulted from our customer’s design of the product or our manufacturing process, we may be exposed to product liability or product warranty claims arising from defects that are not attributable to our manufacturing process. In addition, if the number or type of defects exceeds certain percentage limitations contained in our contractual arrangements, we may be required to conduct extensive failure analysis, re-qualify for production or cease production of the specified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 liability claims may include liability for personal injury or property damage. Product warranty claims may include liability for a recall, repair or replacement of a product or component. Although liability for these claims is generally assigned to our customers in our contracts, even where they have assumed liability our customers may not, or may not have the resources to, satisfy claims for costs or liabilities arising from a defective product. Additionally, under one of our contracts, in the event the products we manufacture do not meet the end-customer’s testing requirements or otherwise fail, we may be required to pay penalties to our customer, including a fee during the time period that the customer or end-customer’s production line is not operational as a result of the failure of the products that we manufacture, all of which could harm our business, operating results and customer relations. If we engineer or manufacture a product that is found to cause any personal injury or property damage or is otherwise found to be defective, we could incur significant costs to resolve the claim. While we maintain insurance for certain product liability claims, we do not maintain insurance for any recalls and, therefore, would be required to pay any associated costs that are determined to be our responsibility. A successful product liability or product warranty claim in excess of our insurance coverage or any material claim for which insurance coverage is denied, limited, is not available or has not been obtained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attract additional skilled employees or retain key personnel, our business, financial condition and operating results could suffer.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upon our ability to attract additional skilled employees and retain our current key personnel. We have identified several areas where we intend to expand our hiring, including business development, finance, human resources, operations and supply chain management. We may not be able to hire and retain such personnel at compensation levels consistent with our existing compensation and salary structure. Our future also depends on the continued contributions of our executive management team and other key management and technical personnel, each of whom would be difficult to replace. Although we have key person life insurance policies on some of our executive officers, the loss of any of our executive officers or key personnel or the inability to continue to attract qualified personnel could harm our business, financial condition and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Fluctuations in foreign currency exchange rates and changes in governmental policies regarding foreign currencies could increase our operating costs, which would adversely affect our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Volatility in the functional and non-functional currencies of our entities and the U.S. dollar could seriously harm our business, financial condition and operating results. The primary impact of currency exchange fluctuations is on our cash, receivables, and payables of our operating entities. We may experience significant unexpected losses from fluctuations in exchange rates. For example, in the three months ended December 26, 2025, we experienced a $3.2 million foreign exchange loss, which negatively affected our net income per share for the same period by $0.09.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 contracts generally require that our customers pay us in U.S. dollars. However, the majority of our payroll and other operating expenses are paid in Thai baht. As a result of these arrangements, we have significant exposure to changes in the exchange rate between the Thai baht and the U.S. dollar, and our operating results are adversely impacted when the U.S. dollar depreciates relative to the Thai baht and other currencies. As of June 26, 2026, the U.S. dollar had depreciated approximately 9.4% against the Thai baht since June 28, 2024. While we attempt to hedge against certain exchange rate risks, we typically enter into hedging contracts with maturities of up to 12 months, leaving us exposed to longer term changes in exchange rates.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significant exposure to changes in the exchange rate between the Chinese Renminbi (“RMB”) and the U.S. dollar. The expenses of our subsidiaries located in the PRC are denominated in RMB. Currently, RMB are convertible in connection with trade and service-related foreign exchange transactions, foreign debt service, and payment of dividends. The PRC government may at its discretion restrict access in the future to foreign currencies for current account transactions. If this occurs, our PRC subsidiary may not be able to pay us dividends in U.S. dollars without prior approval from the PRC State Administration of Foreign Exchange. In addition, conversion of RMB for most capital account items, including direct investments, is still subject to government approval in the PRC. This restriction may limit our ability to invest the earnings of our PRC subsidiary. As of June 26, 2026, the U.S. dollar had depreciated approximately 6.6% against the RMB since June 28, 2024. There remains significant international pressure on the PRC government to adopt a substantially more liberalized currency policy. Any appreciation in the value of the RMB against the U.S. dollar could negatively impact our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conduct operations in a number of countries, which creates logistical and communications challenges for us and exposes us to other risks and challenges that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vast majority of our operations, including manufacturing and customer support, are located primarily in the Asia- Pacific region. The distances between Thailand, the PRC and our customers and suppliers globally create a number of logistical and communications challenges for us, including managing operations across multiple time zones, directing the manufacture and delivery of products across significant distances, coordinating the procurement of raw materials and their delivery to multiple locations and coordinating the activities and decisions of our management team, the members of which are based in different countries.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are located throughout the world, and our principal manufacturing facilities are located in Thailand. Beginning in the fourth quarter of fiscal year 2026, we updated our geographic area presentation from the bill-to-location of our customers to the ship-to-location of our customers. Prior periods have been recast to conform to the current presentation. See Note 3 of the Notes to Consolidated Financial Statements. Revenues from the ship-to-location of customers outside of North America accounted for 77.3%, 78.4% and 81.8% of our revenues for fiscal year 2026, fiscal year 2025 and fiscal year 2024, respectively. We expect that revenues from the ship-to-location of customers outside of North America will continue to account for a significant portion of our revenues. Our customers also depend on international sales, which further exposes us to the risks associated with international operations. Conducting business outside the United States subjects us to a number of risks and challenges, including: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compliance with a variety of domestic and foreign laws and regulations, including trade regulatory requirements;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periodic changes in a specific country or region’s economic conditions, such as recession;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unanticipated restrictions on our ability to sell to foreign customers where sales of products and the provision of services may require export licenses or are prohibited by government action (for example, the U.S. Department of Commerce has prohibited the export and sale of a broad category of U.S. products, as well as the provision of services, to ZTE Corporation and to Huawei, both of which are customers of certain of our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inadequate protection of intellectual property rights in some countries;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political, legal and economic instability, foreign armed conflicts (such as the U.S.-Iran war, the Israel-Hamas war, and the Russia-Ukraine war), and the impact of regional and global infectious illnesses in the countries in which we and our customers and suppliers are located.</w:t>
      </w:r>
    </w:p>
    <w:p>
      <w:pPr>
        <w:pStyle w:val="TextBody"/>
        <w:bidi w:val="0"/>
        <w:spacing w:lineRule="auto" w:line="247"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manage the risks and challenges associated with our international operations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in several jurisdictions that subject us to a variety of risks, including liability, impairment of our ability to compete in international markets, and decreased sales and customer orders.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governmental export and import controls in Thailand, the PRC, Israel and the United States that may limit our business opportunities. Various countries regulate the import of certain technologies and have enacted laws or taken actions that could limit (1) our ability to export or sell the products we manufacture and (2) our customers’ ability to export or sell products that we manufacture for them. The export of certain technologies from the United States and other nations to the PRC is barred by applicable export controls, and similar prohibitions could be extended to Thailand, thereby limiting our ability to manufacture certain products. Any change in export or import regulations or related legislation, shift in approach to the enforcement of existing regulations, or change in the countries, persons or technologies targeted by such regulations could limit our ability to offer our manufacturing services to existing or potential customers,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risks related to changes in U.S. and international trade policies, including new or increased tariffs on materials that we use in manufacturing, which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may be adversely affected by evolving global trade policies, including tariffs and other trade restrictions. We are subject to risks associated with changes in international trade policies, regulations, and relationships. In recent years, multiple countries, including the United States, the PRC, and members of the European Union, among others have enacted tariffs, export controls, quotas, and other forms of trade restrictions on a variety of goods and services. These measures have led to increased costs, supply chain disruptions, and reduced demand across several industries. Although certain tariffs have been reduced or delayed, the potential for future escalation or the imposition of new trade restrictions remains. Ongoing or future trade disputes may impact the availability and cost of materials used in our manufacturing processes. In some cases, suppliers may struggle to meet increased demand resulting from accelerated purchasing ahead of anticipated policy changes, further exacerbating supply chain instability. Additionally, retaliatory actions or changes in trade policies by foreign governments may reduce the demand for our customers’ products in impacted regions, which could lead to reduced orders and revenue for us. If we are unable to mitigate the effects of increased costs or pass them on to our customers, our gross margins, financial condition, and results of operations could be materially and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the outcome of current or future trade negotiations, the timing of any policy changes, or the impact such changes may have on our industry, supply chain, or customer base.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Political unrest and demonstrations, as well as changes in the political, social, business or economic conditions in Thailand,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assets and manufacturing operations are located in Thailand. Therefore, political, social, business and economic conditions in Thailand have a significant effect on our business. Any changes to tax regimes, laws, exchange controls or political action in Thailand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Thailand has a history of political unrest that includes the involvement of the military as an active participant in the ruling government. In recent years, political unrest in the country has sparked political demonstrations and, in some instances, violence. Any future political instability in Thailand could prevent shipments from entering or leaving the country, disrupt our ability to manufacture products in Thailand, and force us to transfer our operations to more stable, and potentially more costly, regions, which would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Thai government may raise the minimum wage standards for labor and could repeal certain promotional certificates that we have received or tax holidays for certain export and value added taxes that we enjoy, either preventing us from engaging in our current or anticipated activities or subjecting us to higher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expect to continue to invest in our manufacturing operations in the PRC, which will continue to expose us to risks inherent in doing business in the PRC, any of which risks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our customized optics manufacturing facilities located in Fuzhou, the PRC. Because these operations are located in the PRC, they are subject to greater political, legal and economic risks than the geographies in which the facilities of many of our competitors and customers are located. In particular, the political and economic climate in the PRC (both at national and regional levels) is fluid and unpredictable. A large part of the PRC’s economy is still being operated under varying degrees of control by the PRC government. By imposing industrial policies and other economic measures, such as control of foreign exchange, taxation, import and export tariffs, environmental regulations, land use rights, intellectual property and restrictions on foreign participation in the domestic market of various industries, the PRC government exerts considerable direct and indirect influence on the development of the PRC economy. Many of the economic reforms carried out by the PRC government are unprecedented or experimental and are expected to change further. Any changes to the political, legal or economic climate in the PRC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PRC subsidiary is a “wholly foreign-owned enterprise” and is therefore subject to laws and regulations applicable to foreign investment in the PRC, in general, and laws and regulations applicable to wholly foreign-owned enterprises, in particular. The PRC has made significant progress in the promulgation of laws and regulations pertaining to economic matters such as corporate organization and governance, foreign investment, commerce, taxation and trade. However, the promulgation of new laws, changes in existing laws and abrogation of local regulations by national laws may have a negative impact on our business and prospects. In addition, these laws and regulations are relatively new, and published cases are limited in volume and non-binding. Therefore, the interpretation and enforcement of these laws and regulations involve significant uncertainties. Laws may be changed with little or no prior notice, for political or other reasons. These uncertainties could limit the legal protections available to foreign investors. Furthermore, any litigation in the PRC may be protracted and result in substantial costs and diversion of resources and management’s attention.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Natural disasters, epidemics, acts of terrorism and political and economic developments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Natural disasters could severely disrupt our manufacturing operations and increase our supply chain costs. These events, over which we have little or no control, could cause a decrease in demand for our services, make it difficult or impossible for us to manufacture and deliver products or for our suppliers to deliver components allowing us to manufacture those products, require large expenditures to repair or replace our facilities, or create delays and inefficiencies in our supply chain. For example, the 2011 flooding in Thailand forced us to temporarily shut down all of our manufacturing facilities in Thailand and cease production permanently at our former Chokchai facility, which adversely affected our ability to meet our customers’ demands during fiscal year 2012.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some countries in which we operate, including the PRC, the U.S., and Thailand, outbreaks of infectious diseases such as COVID-19, H1N1 influenza virus, severe acute respiratory syndrome or bird flu could disrupt our manufacturing operations, reduce demand for our customers’ products and increase our supply chain costs. For example, the outbreak of COVID-19 resulted in a two-week suspension of operations at our facility in Fuzhou, the PRC in February 2020 and caused labor shortages for us and some of our suppliers and customers in the PRC during the three months ended March 27, 2020, which negatively affected our revenues during the same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increased international political instability, the threat or occurrence of terrorist attacks, conflicts in the Middle East, Asia and Europe (including the U.S.-Iran war, the Israel-Hamas war, and the Russia-Ukraine war), strained international relations arising from these conflicts and the related decline in consumer confidence and economic weakness, may hinder our ability to do business. Any escalation in these events or similar future events may disrupt our operations and the operations of our customers and suppliers and may affect the availability of materials needed for our manufacturing services. Such events may also disrupt the transportation of materials to our manufacturing facilities and finished products to our customers. These events have had, and may continue to have, an adverse impact on the U.S. and world economy in general, and customer confidence and spending in particular, which in turn could adversely affect our total revenues and operating results. The impact of these events on the volatility of the U.S. and world financial markets also could increase the volatility of the market price of our ordinary shares and may limit the capital resources available to us, our customers and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Unfavorable worldwide economic conditions (including inflation and supply chain disruptions) may negatively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volatility and adverse conditions in the capital and credit markets have negatively affected levels of business and consumer spending, heightening concerns about the likelihood of a global recession and potential default of various national bonds and debt backed by individual countries. Such developments, as well as the policies impacting these, could adversely affect our financial results. Uncertainty about worldwide economic conditions poses a risk as businesses may further reduce or postpone spending in response to reduced budgets, tight credit, negative financial news and declines in income or asset values, which could adversely affect our business, financial condition and operating results and increase the volatility of our share price. In addition, our ability to access capital markets may be restricted, which could have an impact on our ability to react to changing economic and business conditions and could also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2022 and 2023, inflation increased globally to levels not seen in decades. Although inflation rates have recently declined, inflation can adversely affect us by increasing the costs of labor and other expenses. There is no assurance that our revenues will increase at the same rate to maintain the same level of profitability. Inflation and government efforts to combat inflation, such as raising the benchmark interest rate, could increase market volatility and have an adverse effect on the financial market and global economy. In addition, we expect that disruptions in our supply chain and fluctuations in the availability of parts and materials will continue to have a significant impact on our ability to generate revenue, despite strong demand from our customers. Such adverse conditions could negatively impact demand for our products, which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obtain capital when desired on favorable terms, if at all, or without dilution to our shareholders.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our current cash and cash equivalents, together with cash provided by operating activities and funds available through our working capital and credit facilities, will be sufficient to meet our current and anticipated needs for general corporate purposes for at least the next 12 months. However, we operate in a market that makes our prospects difficult to evaluate. It is possible that we may not generate sufficient cash flow from operations or otherwise have the capital resources to meet our future capital needs. If this occurs, we may need additional financing to execute on our current or future business strategies.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if we raise additional funds through the issuance of equity or convertible debt securities, the percentage ownership of our shareholders could be significantly diluted, and these newly issued securities may have rights, preferences or privileges senior to those of existing shareholders. If adequate additional funds are not available or are not available on acceptable terms, if and when needed, our ability to fund our operations, take advantage of unanticipated opportunities, develop or enhance our manufacturing services, hire additional technical and other personnel, or otherwise respond to competitive pressures could be significantly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investment portfolio may become impaired by deterioration of the capital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professional investment management firms to manage our excess cash and cash equivalents. Our short-term investments as of June 26, 2026 are primarily investments in a fixed income portfolio, including liquidity funds, certificates of deposit and time deposits, corporate debt securities, and U.S. agency and U.S. Treasury securities. Our investment portfolio may become impaired by deterioration of the capital markets. We follow an established investment policy and set of guidelines to monitor and help mitigate our exposure to interest rate and credit risk. The policy sets forth credit quality standards and limits our exposure to any one issuer, as well as our maximum exposure to various asset classes. The policy also provides that we may not invest in short-term investments with a maturity in excess of three years.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Should financial market conditions worsen, investments in some financial instruments may pose risks arising from market liquidity and credit concerns. In addition, any deterioration of the capital markets could cause our other income and expense to vary from expectations. As of June 26, 2026, we did not record any impairment charges associated with our portfolio of short-term investments, and although we believe our current investment portfolio has little risk of material impairment, we cannot predict future market conditions or market liquidity, or credit availability, and can provide no assurance that our investment portfolio will remain materially unimpaired.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not fully insured against all potential losses. Natural disasters or other catastrophes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property and casualty insurance covers loss or damage to our property and third-party property over which we have custody and control, as well as losses associated with business interruption, subject to specified exclusions and limitations such as coinsurance, facilities location sub-limits and other policy limitations and covenants. Even with insurance coverage, natural disasters or other catastrophic events, including acts of war, could cause us to suffer substantial losses in our operational capacity and could also lead to a loss of opportunity and to a potential adverse impact on our relationships with our existing customers resulting from our inability to produce products for them, for which we might not be compensated by existing insurance. This in turn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U.S. GAAP involves making estimates, judgments and assumptions that affect reported amounts of assets (including intangible assets), liabilities and related reserves, revenues, expenses and income. Estimates, judgments and assumptions are inherently subject to change in the future, and any such changes could result in corresponding changes to the amounts of assets, liabilities, revenues, expenses and income. Any such changes could have a material adverse effect on our business, financial condition and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 and Cybersecurity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and operations would be adversely impacted in the event of a failure of our information technology infrastructure and/or cyber security attacks.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upon the capacity, availability and security of our information technology hardware and software infrastructure. For instance, we use a combination of standard and customized software platforms to manage, record, and report all aspects of our operations and, in many instances, enable our customers to remotely access certain areas of our databases to monitor yields, inventory positions, work-in-progress status and vendor quality data. We are constantly expanding and updating our information technology infrastructure in response to our changing needs. Any failure to manage, expand and update our information technology infrastructure or any failure in the operation of this infrastructure could harm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implementation of security measures, our systems are vulnerable to damage caused by computer viruses, natural disasters, unauthorized access and other similar disruptions. Any system failure, accident or security breach could result in disruptions to our operations. To the extent that any disruption, cyber-attack or other security breach results in a loss or damage to our data or inappropriate disclosure of confidential information, our business could be harmed. In addition, we may be required to incur significant costs to protect against damage caused by these disruptions or security breaches in the future.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Intellectual property infringement claims against our customers or us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services involve the creation and use of intellectual property rights, which subject us to the risk of intellectual property infringement claims from third parties and claims arising from the allocation of intellectual property rights among us and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may require that we indemnify them against the risk of intellectual property infringement arising out of our manufacturing processes. If any claims are brought against us or our customers for such infringement, whether or not these claims have merit, we could be required to expend significant resources in defense of such claims. In the event of an infringement claim, we may be required to spend a significant amount of time and money to develop non-infringing alternatives or obtain licenses. We may not be successful in developing such alternatives or obtaining such licenses on reasonable terms or at all, which could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failure to protect our customers’ intellectual property that we use in the products we manufacture for them could harm our customer relationships and subject us to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focus on manufacturing complex optical products for our customers. These products often contain our customers’ intellectual property, including trade secrets and know-how. Our success depends, in part, on our ability to protect our customers’ intellectual property. We may maintain separate and secure areas for customer proprietary manufacturing processes and materials and dedicate floor space, equipment, engineers and supply chain management to protect our customers’ proprietary drawings, materials and products. The steps we take to protect our customers’ intellectual property may not adequately prevent its disclosure or misappropriation. If we fail to protect our customers’ intellectual property, our customer relationships could be harmed, and we may experience difficulty in establishing new customer relationships. In addition, our customers might pursue legal claims against us for any failure to protect their intellectual property, possibly resulting in harm to our reputation and our business, financial condition and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Tax, Compliance and Regulatory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the risk of increased income taxes,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and other taxes in Thailand, the PRC, the U.K., the U.S. and Israel. Our effective income tax rate, provision for income taxes and future tax liability could be adversely affected by numerous factors, including the results of tax audits and examinations, income before taxes being lower than anticipated in countries with lower statutory tax rates and higher than anticipated in countries with higher statutory tax rates, changes in income tax rates, changes in the valuation of deferred tax assets and liabilities, failure to meet obligations with respect to tax exemptions, and changes in tax laws and regulations. From time to time, we engage in discussions and negotiations with tax authorities regarding tax matters in various jurisdictions. As of June 26, 2026, our U.S. federal and state tax returns remain open to examination for the tax years 2021 through 2024. In addition, tax returns that remain open to examination in Thailand, the PRC, the U.K. and Israel range from the tax years 2019 through 2025. The results of audits and examinations of previously filed tax returns and continuing assessments of our tax exposures may have an adverse effect on our provision for income taxes and tax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year 2025, our U.S. federal tax returns were under examination by the U.S. Internal Revenue Service (“IRS”) for fiscal years 2022 and 2023. As a result of this examination, which was completed in the fourth quarter of fiscal year 2025, we paid an aggregate additional tax liability of $5.6 million, including interest and penalties, during fiscal year 2025 and fiscal year 2026.</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base our tax position upon the anticipated nature and conduct of our business and upon our understanding of the tax laws of the various countries in which we have assets or conduct activities. However, our tax position is subject to review and possible challenge by tax authorities and to possible changes in law, which may have retroactive effect. Fabrinet (the “Cayman Islands Parent”) is an exempted company incorporated in the Cayman Islands. We maintain manufacturing operations in Thailand, the PRC, the U.S. and Israel. We cannot determine in advance the extent to which some jurisdictions may require us to pay taxes or make payments in lieu of taxes. Under the current laws of the Cayman Islands, we are not subject to tax in the Cayman Islands on income or capital gains until March 6, 2039.</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Preferential tax treatment from the Thai government is available to us for products manufactured at our Chonburi campus Building 9, where income generated will be tax exempt through 2031, capped at our actual investment amount of $52.2 million. Similar preferential tax treatment was available to us through June 2026 with respect to products manufactured at our Chonburi campus and through June 2020 with respect to products manufactured at our Pinehurst campus. Between June 2020 and June 2025, 50% of our income generated from products manufactured at our Pinehurst campus was exempted from tax. Beginning in August 2027, preferential tax treatment will be available to us for products manufactured at our Navanakorn campus for 8 years, capped at our actual investment amount of $25.1 million.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We will lose this favorable tax treatment in Thailand unless we comply with these restrictions, and as a result we may delay or forego certain strategic business decisions due to these tax considerations.</w:t>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is also a risk that Thailand or another jurisdiction in which we operate may treat the Cayman Islands Parent as having a permanent establishment in such jurisdiction and subject its income to tax. If we become subject to additional taxes in any jurisdiction or if any jurisdiction begins to treat the Cayman Islands Parent as having a permanent establishment, such tax treatment could materially and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provide products and services to, and may from time to time undertake certain significant transactions with, us and our other subsidiaries in different jurisdictions. For instance, we have intercompany agreements in place that provide for our California and Singapore subsidiaries to provide administrative services for the Cayman Islands Parent, and the Cayman Islands Parent has entered into manufacturing agreements with our Thai subsidiary. In general, related party transactions and, in particular, related party financing transactions, are subject to close review by tax authorities. Moreover, several jurisdictions in which we operate have tax laws with detailed transfer pricing rules that require all transactions with non-resident related parties to be priced using arm’s length pricing principles and require the existence of contemporaneous documentation to support such pricing. Tax authorities in various jurisdictions could challenge the validity of our related party transfer pricing policies. Such a challenge generally involves a complex area of taxation and a significant degree of judgment by management. If any tax authorities are successful in challenging our financing or transfer pricing policies, our income tax expense may be adversely affected and we could become subject to interest and penalty charges, which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OECD has issued Pillar Two model rules and continues to release guidance on these rules. As of June 26, 2026, these rules are either effective or have been adopted in draft form in various countries. We evaluated the applicable tax law changes resulting from Pillar Two implementation in the countries where we operate. Fabrinet is incorporated in a jurisdiction that has not adopted Pillar Two rules. Certain other jurisdictions in which we operate, including Thailand, have enacted legislation that may impose UTPR top-up tax with respect to low-taxed income of other constituent entities within our consolidated group.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 ended June 26, 2026, we recognized $57.4 million of current income tax expense related to enacted Pillar Two UTPR legislation. The related liability is included within income tax payable in the consolidated balance sheets. We continue to evaluate enacted legislation, administrative guidance, and the application of transitional safe harbors in the jurisdictions in which we operate. Future changes in enacted tax laws and interpretations could materially affect our future effective tax rate and cash tax obligations.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significant increased costs as a result of operating as a public company, and our management will be required to continue to devote substantial time to various compliance initiatives.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Sarbanes-Oxley Act of 2002, the Dodd-Frank Wall Street Reform and Consumer Protection Act of 2010, as well as other rules implemented by the SEC and the New York Stock Exchange (“NYSE”),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operating results. The Sarbanes-Oxley Act requires, among other things, that we assess the effectiveness of our internal control over financial reporting annually and disclosure controls and procedures quarterly. While we are able to assert in this Annual Report on Form 10-K that our internal control over financial reporting was effective as of June 26, 2026, we cannot predict the outcome of our testing in future periods. If we are unable to assert in any future reporting periods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would have an adverse effect on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nature and complexity of our business and the fact that some members of our management team are located in Thailand while others are located in the U.S., control deficiencies may periodically occur. While we have ongoing measures and procedures to prevent and remedy control deficiencies, if they occur there can be no assurance that we will be successful or that we will be able to prevent material weaknesses or significant deficiencies in our internal control over financial reporting in the future. Moreover, if we identify deficiencies in our internal control over financial reporting that are deemed to be material weaknesses in future periods, the market price of our ordinary shares could decline and we could be subject to potential delisting by the NYSE and review by the NYSE, the SEC, or other regulatory authorities, which would require us to expend additional financial and management resources. As a result, our shareholders could lose confidence in our financial reporting, which would harm our business and the market price of our ordinary shares.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meet regulatory quality standards applicable to our manufacturing and quality processes for the products we manufacture,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manufacturer of products for the optics industry, we are required to meet certain certification standards, including the following: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ISO/IEC 27001 for Information Security Management Systems; and ISO 50001 for Energy Management Systems. We also maintain compliance with various additional standards imposed by the FDA with respect to the manufacture of medical devices.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TAPA and CTPAT for logistics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 If any regulatory inspection reveals that we are not in compliance with applicable standards, regulators may take action against us, including issuing a warning letter, imposing fines on us, requiring a recall of the products we manufactured for our customers, or closing our manufacturing facilities. If any of these actions were to occur, it could harm our reputation as well as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comply with applicable environmental laws and regulations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sale and manufacturing of products in certain states and countries may subject us to environmental laws and regulations. In addition, rules adopted by the SEC implementing the Dodd-Frank Wall Street Reform and Consumer Protection Act of 2010 impose diligence and disclosure requirements regarding the use of “conflict minerals” mined from the Democratic Republic of Congo and adjoining countries in the products we manufacture for our customers. Compliance with these rules has resulted in additional cost and expense, including for due diligence to determine and verify the sources of any conflict minerals used in the products we manufacture, and may result in additional costs of remediation and other changes to processes or sources of supply as a consequence of such verification activities. These rules may also affect the sourcing and availability of minerals used in the products we manufacture, as there may be only a limited number of suppliers offering “conflict free” metals that can be used in the products we manufacture for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do not anticipate any material adverse effects based on the nature of our operations and these laws and regulations, we will need to ensure that we and, in some cases, our suppliers comply with applicable laws and regulations. If we fail to timely comply with such laws and regulations, our customers may cease doing business with us, which would have a material adverse effect on our business, financial condition and operating results. In addition, if we were found to be in violation of these laws, we could be subject to governmental fines, liability to our customers and damage to our reputation, which would also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Ordinary Shares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share price may be volatile due to fluctuations in our operating results and other factors, including the activities and operating results of our customers or competitors, any of which could cause our share price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expenses and results of operations have fluctuated in the past and are likely to do so in the future from quarter-to-quarter and year-to-year due to the risk factors described in this section and elsewhere in this Annual Report on Form 10-K. In addition to market and industry factors, the price and trading volume of our ordinary shares may fluctuate in response to a number of events and factors relating to us, our competitors, our customers and the markets we serve, many of which are beyond our control. Factors such as variations in our total revenues, earnings and cash flow, announcements of new investments or acquisitions, changes in our pricing practices or those of our competitors, commencement or outcome of litigation, sales of ordinary shares by us or our principal shareholders, fluctuations in market prices for our services and general market conditions could cause the market price of our ordinary shares to change substantially. Any of these factors may result in large and sudden changes in the volume and price at which our ordinary shares trade. Volatility and weakness in our share price could mean that investors may not be able to sell their shares at or above the prices they paid and could also impair our ability in the future to offer our ordinary shares or convertible securities as a source of additional capital and/or as consideration in the acquisition of other businesses.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cause the market price of our ordinary shares to decline.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if they publish misleading or unfavorable research about our business, the market price and trading volume of our ordinary shares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ordinary shares depends in part on the research and reports that securities or industry analysts publish about us or our business. If securities or industry analysts stop covering us, or if too few analysts cover us, the market price of our ordinary shares could be adversely impacted. If one or more of the analysts who covers us downgrades our ordinary shares or publishes misleading or unfavorable research about our business, our market price would likely decline. If one or more of these analysts ceases coverage of us or fails to publish reports on us regularly, demand for our ordinary shares could decrease, which could cause the market price or trading volume of our ordinary shares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become a passive foreign investment company, which could result in adverse U.S. tax consequences to U.S. investors.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upon estimates of the value of our assets, which are based in part on the trading price of our ordinary shares, we do not expect to be a passive foreign investment company (“PFIC”) for U.S. federal income tax purposes for the taxable year 2026 or for the foreseeable future. However, despite our expectations, we cannot guarantee that we will not become a PFIC for the taxable year 2026 or any future year because our PFIC status is determined at the end of each year and depends on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composition of our income and assets during such year. If we become a PFIC, our U.S. investors will be subject to increased tax liabilities under U.S. tax laws and regulations as well as burdensome reporting requirements.</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and share price could be negatively affected as a result of activist shareholders.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activist investor takes an ownership position in our ordinary shares, responding to actions by such activist shareholder could be costly and time-consuming, disrupt our operations and divert the attention of management and our employees. Additionally, perceived uncertainties as to our future direction as a result of shareholder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because of any such issues, then our business, financial condition and operating results would be adversely affected. In addition, our share price could experience periods of increased volatility as a result of shareholder activism.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provisions in our constitutional documents may discourage our acquisition by a third party, which could limit our shareholders' opportunity to sell shares at a premium.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constitutional documents include provisions that could limit the ability of others to acquire control of us, modify our structure or cause us to engage in change-of-control transactions, including, among other things, provisions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establish a classified board of directors;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prohibit our shareholders from calling meetings or acting by written consent in lieu of a meeting;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limit the ability of our shareholders to propose actions at duly convened meetings;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authorize our board of directors, without action by our shareholders, to issue preferred shares and additional ordinary shares.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could have the effect of depriving our shareholders of an opportunity to sell their ordinary shares at a premium over prevailing market prices by discouraging third parties from seeking to acquire control of us in a tender offer or similar transaction.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shareholders may face difficulties in protecting their interests because we are incorporated under Cayman Islands law.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affairs are governed by our amended and restated memorandum and articles of association (“MOA”), by the Companies Law (as amended) of the Cayman Islands and the common law of the Cayman Islands. The rights of our shareholders and the fiduciary responsibilities of our directors under the laws of the Cayman Islands are not as clearly established under statutes or judicial precedent as in jurisdictions in the U.S. Therefore, our shareholders may have more difficulty in protecting their interests than would shareholders of a corporation incorporated in a jurisdiction in the U.S., due to the comparatively less developed nature of Cayman Islands law in this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Companies Law permits mergers and consolidations between Cayman Islands companies and between Cayman Islands companies and non-Cayman Islands companies.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convened for that purpose. The convening of the meeting and subsequently the arrangement must be sanctioned by the Grand Court of the Cayman Islands. A dissenting shareholder has the right to express to the court the view that the transaction ought not to be approved.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a takeover offer is made and accepted by holders of 90.0% of the shares within four months, the offeror may, within a two-month period, require the holders of the remaining shares to transfer such shares on the terms of the offer. An objection can be made to the Grand Court of the Cayman Islands but is unlikely to succeed unless there is evidence of fraud, bad faith or collusion.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arrangement and reconstruction is thus approved, the dissenting shareholder would have no rights comparable to appraisal rights, which would otherwise ordinarily be available to dissenting shareholders of a corporation incorporated in a jurisdiction in the U.S., providing rights to receive payment in cash for the judicially determined value of the shares. This may make it more difficult for our shareholders to assess the value of any consideration they may receive in a merger or consolidation or to require that the offeror give them additional consideration if they believe the consideration offered is insufficient.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Shareholders of Cayman Islands exempted companies have no general rights under Cayman Islands law to inspect corporate records and accounts or to obtain copies of lists of shareholders. Our directors have discretion under our MOA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Subject to limited exceptions, under Cayman Islands law, a minority shareholder may not bring a derivative action against the board of directors.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judgments obtained against us by our shareholders may not be enforceable.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Cayman Islands Parent is a Cayman Islands exempted company and substantially all of our assets are located outside of the U.S. Given our domicile and the location of our assets, it may be difficult to enforce in U.S. courts judgments obtained against us in U.S. courts based on the civil liability provisions of the U.S. federal securities laws. In addition, there is uncertainty as to whether the courts of the Cayman Islands, Thailand or the PRC would recognize or enforce judgments of U.S. courts against us predicated upon the civil liability provisions of the securities laws of the U.S. or any state. In particular, a judgment in a U.S. court would not be recognized and accepted by Thai courts without a re-trial or examination of the merits of the case. In addition, there is uncertainty as to whether such Cayman Islands, Thai or PRC courts would be competent to hear original actions brought in the Cayman Islands, Thailand or the PRC against us predicated upon the securities laws of the U.S. or any state.</w:t>
      </w:r>
    </w:p>
    <w:p>
      <w:pPr>
        <w:pStyle w:val="TextBody"/>
        <w:bidi w:val="0"/>
        <w:spacing w:before="0" w:after="0"/>
        <w:ind w:left="0" w:right="0" w:firstLine="6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47"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Energy price volatility may negatively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along with our suppliers and customers, rely on various energy sources in our manufacturing and transportation activities. Energy prices have been subject to increases and general volatility caused by market fluctuations, supply and demand, currency fluctuation, production and transportation disruption, world events and government regulations. While we are currently experiencing lower energy prices, a significant increase is possible, which could increase our raw material and transportation costs. In addition, increased transportation costs of our suppliers and customers could be passed along to us. We may not be able to increase our prices to adequately offset these increased costs, and any increase in our prices may reduce our future customer orders,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1C.CYBERSECURITY.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policies and processes for assessing, identifying, managing and disclosing, as necessary, risks from cybersecurity threats, and have integrated these processes into our overall risk management systems and processes as described below.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foundation of our cybersecurity program is based on the International Organization for Standardization (ISO) and the National Institute of Standards and Technology (NIST) Cybersecurity Framework. We routinely assess material risks from cybersecurity threats, including from any potential unauthorized occurrence on or conducted through our information systems that may result in adverse effects on the confidentiality, integrity, or availability of our information systems or any information residing therein. These risk assessments are designed to identify internal and external risks, the likelihood and potential damage that could result from such risks, and the sufficiency of existing policies, procedures, systems, and safeguards in place to manage such risks. Following these risk assessments, we evaluate whether and how to re-design, implement, and maintain safeguards intended to address and minimize identified risks and continue monitoring and testing the effectiveness of such safeguards.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VP of Information Technology and Information Security (“VP of IT/IS”), who reports to our Chief Executive Officer, manages our cybersecurity and information security risk assessment and mitigation process. We have established an internal IT security committee that includes our VP of IT/IS and other members of our information security, information technology, internal audit/compliance, and finance teams, to instill a thoughtful security culture across Fabrinet. Our employees are made aware of our cybersecurity policies through mandatory trainings during onboarding and on an annual basis. We also engage and consult with third parties in connection with our risk assessment processes, including advisors, consultants and auditors. These service providers assist us to design and implement our cybersecurity policies and procedures, as well as to monitor and test our safeguards.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deploy multiple tools and processes to monitor the prevention, detection, mitigation, and remediation of cybersecurity incidents, both internal and associated with the use of any third-party service provider.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experienced a material security breach in our systems, or, to our knowledge, in our third-parties’ systems, nor incurred any significant expenses or penalties to resolve or settle any security breach in the past three years.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whether any risks from cybersecurity threats are reasonably likely to materially affect our Company, including our business strategy, results of operations, or financial condition, please refer to Item 1A, “Risk Factors—Intellectual Property and Cybersecurity Risks,” in this Annual Report on Form 10-K.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well as through the audit committee of the board of directors, which has been tasked with such oversight in the audit committee charter. The audit committee of our board of directors reviews our cybersecurity and information security risks and mitigation strategies. Our VP of IT/IS provides briefings to the audit committee on a quarterly or more often basis as needed regarding our cybersecurity risks and activities, including any recent cybersecurity incidents and related responses and remediation efforts, cybersecurity systems testing, activities of third parties, policies and the like.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VP of IT/IS is a Certified Information Security Manager (CISM) and has more than 10 years of experience implementing cybersecurity at technology companies. Our VP of IT/IS, together with our internal IT security committee, is primarily responsible for assessing and managing our material risks from cybersecurity threats.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internal guidelines governing our identification, assessment, communication, and escalation upon the occurrence of a cybersecurity incident. Depending on the nature and severity of an incident, this process provides for escalating notification to the chair of the audit committee, among others as needed, to manage our response.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2.PROPERTIES.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own or lease manufacturing, engineering and administrative facilities in Thailand, the People's Republic of China ("PRC"), the United States, Israel and the Cayman Islands. We believe these facilities are suitable and adequate to support our current operations and expected near-term growth.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principal properties as of June 26, 2026:</w:t>
      </w:r>
    </w:p>
    <w:tbl>
      <w:tblPr>
        <w:tblW w:w="9126" w:type="dxa"/>
        <w:jc w:val="left"/>
        <w:tblInd w:w="0" w:type="dxa"/>
        <w:tblLayout w:type="fixed"/>
        <w:tblCellMar>
          <w:top w:w="28" w:type="dxa"/>
          <w:left w:w="28" w:type="dxa"/>
          <w:bottom w:w="28" w:type="dxa"/>
          <w:right w:w="28" w:type="dxa"/>
        </w:tblCellMar>
      </w:tblPr>
      <w:tblGrid>
        <w:gridCol w:w="509"/>
        <w:gridCol w:w="449"/>
        <w:gridCol w:w="452"/>
        <w:gridCol w:w="109"/>
        <w:gridCol w:w="109"/>
        <w:gridCol w:w="109"/>
        <w:gridCol w:w="1271"/>
        <w:gridCol w:w="1271"/>
        <w:gridCol w:w="1282"/>
        <w:gridCol w:w="109"/>
        <w:gridCol w:w="109"/>
        <w:gridCol w:w="109"/>
        <w:gridCol w:w="464"/>
        <w:gridCol w:w="464"/>
        <w:gridCol w:w="466"/>
        <w:gridCol w:w="109"/>
        <w:gridCol w:w="109"/>
        <w:gridCol w:w="109"/>
        <w:gridCol w:w="488"/>
        <w:gridCol w:w="488"/>
        <w:gridCol w:w="541"/>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Owned/Leased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w:t>
              <w:br/>
              <w:t>Square Footage</w:t>
              <w:br/>
              <w:t>(Square feet)</w:t>
            </w:r>
          </w:p>
        </w:tc>
      </w:tr>
      <w:tr>
        <w:trPr/>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3,875,000 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PRC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Owned /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Thailand facilities consist of multiple manufacturing campuses. During fiscal 2026, we acquired an additional facility in Pathum Thani, Thailand, which is currently undergoing renovation. We expect the facility to support future manufacturing capacity and operational growth upon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28, 2024, Ngan In Leng and First Laser Limited (collectively, the “Plaintiffs”) filed a complaint in the Fuzhou Intermediate People’s Court (the “Court”) in Fuzhou, China against Fujian Enterprises (Holdings) Co., Ltd. (“FEHC”), Jian An Investment Limited (“Jian”), and Casix, Inc. (“Casix”), our wholly-owned subsidiary located in the PRC. The complaint alleged unjust enrichment related to a purported investment in Casix by the Plaintiffs in 1997, which predates our acquisition of Casix from JDS Uniphase Corporation. The Plaintiffs requested that the Court order FEHC to return the unjust enrichment to the Plaintiffs in the amount of RMB 400 million, with interest from March 1, 2000, and order Jian and Casix to bear joint and several liability for all payment obligations of FEHC.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the Court dismissed the complaint in its entirety based on jurisdictional grounds. The Plaintiffs subsequently appealed the Court’s ruling to the High People's Court of Fujian Province (the "Appellate Court"). In their appeal, the Plaintiffs claimed that Casix is the primary obligor to return the alleged unjust enrichment to the Plaintiffs. In November 2025, the Appellate Court upheld the Court's ruling and dismissed the complaint on jurisdictional grounds.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2026, the Plaintiffs appealed the Appellate Court’s ruling to the Supreme People’s Court of the People’s Republic of China (the “PRC Supreme Court”). The PRC Supreme Court held an initial hearing on July 2, 2026 and, on July 30, 2026, rendered a ruling accepting the case for retrial. The acceptance of the case for retrial does not represent a determination on the merits of the Plaintiffs' claims. At this time, we are not able to quantify any potential liability in connection with this litigation because of the early stage of this litigation.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international and U.S. laws and regulations relating to the use, disposal, cleanup of and human exposure to hazardous materials. 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$0.3 million, or at our election, a threshold that does not exceed the lesser of $1.0 million or one percent of our consolidated current assets. As permitted by Item 103, we have elected to adopt a quantitative threshold for environmental proceedings of $1.0 million. Given the size of our operations, we believe that environmental matters under this threshold are not material to our business or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from time to time subject to, and are presently involved in, litigation and other legal proceedings in the ordinary course of business. While it is not possible to determine the outcome of any legal proceedings brought against us, we believe that, except for the matter described above, there are no pending lawsuits or claims that, individually or in the aggregate, may have a material effect on our business, financial condition or operating results. Our views and estimates related to these matters may change in the future, as new events and circumstances arise and as the matters continue to develop.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pPr>
      <w:r>
        <w:rPr>
          <w:rFonts w:ascii="Times New Roman;serif" w:hAnsi="Times New Roman;serif"/>
          <w:b/>
          <w:color w:val="000000"/>
          <w:sz w:val="20"/>
        </w:rPr>
        <w:t>ITEM 4.MINE SAFETY DISCLOSURES</w:t>
      </w:r>
      <w:r>
        <w:rPr>
          <w:rFonts w:ascii="Times New Roman;serif" w:hAnsi="Times New Roman;serif"/>
          <w:b w:val="false"/>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ordinary shares are listed on the New York Stock Exchange under the symbol “FN”.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6 shareholders of record of our ordinary shares. Because most of our ordinary shares are held by brokers and other institutions on behalf of shareholders, we are unable to estimate the total number of shareholders represented by these record holders.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any earnings for use in our business and do not currently intend to pay dividends on our ordinary shares. Dividends, if any, on our ordinary shares will be declared by and subject to the discretion of our board of directors. Even if our board of directors decides to distribute dividends, the form, frequency and amount of such dividends will depend upon our future operations and earnings, capital requirements and surplus, general financial conditions, contractual restrictions, applicable laws and regulations and other factors our board of directors may deem relevant.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pStyle w:val="TextBody"/>
        <w:bidi w:val="0"/>
        <w:spacing w:before="0" w:after="0"/>
        <w:ind w:left="0" w:right="0" w:firstLine="650"/>
        <w:jc w:val="left"/>
        <w:rPr/>
      </w:pPr>
      <w:r>
        <w:rPr/>
      </w:r>
    </w:p>
    <w:p>
      <w:pPr>
        <w:pStyle w:val="TextBody"/>
        <w:bidi w:val="0"/>
        <w:spacing w:lineRule="auto" w:line="247" w:before="0" w:after="0"/>
        <w:ind w:left="0" w:right="0" w:firstLine="650"/>
        <w:jc w:val="left"/>
        <w:rPr>
          <w:rFonts w:ascii="Times New Roman;serif" w:hAnsi="Times New Roman;serif"/>
          <w:b w:val="false"/>
          <w:color w:val="000000"/>
          <w:sz w:val="20"/>
        </w:rPr>
      </w:pPr>
      <w:r>
        <w:rPr>
          <w:rFonts w:ascii="Times New Roman;serif" w:hAnsi="Times New Roman;serif"/>
          <w:b w:val="false"/>
          <w:color w:val="000000"/>
          <w:sz w:val="20"/>
        </w:rPr>
        <w:t>See Part III, Item 12 “Security Ownership of Certain Beneficial Owners and Management and Related Stockholder Matters” of this Annual Report on Form 10-K for information regarding securities authorized for issuance under our equity compensation plans.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for the three months ended June 26, 2026:</w:t>
      </w:r>
    </w:p>
    <w:tbl>
      <w:tblPr>
        <w:tblW w:w="10205" w:type="dxa"/>
        <w:jc w:val="left"/>
        <w:tblInd w:w="0" w:type="dxa"/>
        <w:tblLayout w:type="fixed"/>
        <w:tblCellMar>
          <w:top w:w="28" w:type="dxa"/>
          <w:left w:w="28" w:type="dxa"/>
          <w:bottom w:w="28" w:type="dxa"/>
          <w:right w:w="28" w:type="dxa"/>
        </w:tblCellMar>
      </w:tblPr>
      <w:tblGrid>
        <w:gridCol w:w="990"/>
        <w:gridCol w:w="864"/>
        <w:gridCol w:w="880"/>
        <w:gridCol w:w="109"/>
        <w:gridCol w:w="109"/>
        <w:gridCol w:w="109"/>
        <w:gridCol w:w="454"/>
        <w:gridCol w:w="454"/>
        <w:gridCol w:w="455"/>
        <w:gridCol w:w="109"/>
        <w:gridCol w:w="109"/>
        <w:gridCol w:w="109"/>
        <w:gridCol w:w="327"/>
        <w:gridCol w:w="631"/>
        <w:gridCol w:w="169"/>
        <w:gridCol w:w="109"/>
        <w:gridCol w:w="109"/>
        <w:gridCol w:w="109"/>
        <w:gridCol w:w="614"/>
        <w:gridCol w:w="614"/>
        <w:gridCol w:w="616"/>
        <w:gridCol w:w="109"/>
        <w:gridCol w:w="109"/>
        <w:gridCol w:w="109"/>
        <w:gridCol w:w="247"/>
        <w:gridCol w:w="1393"/>
        <w:gridCol w:w="189"/>
      </w:tblGrid>
      <w:tr>
        <w:trPr/>
        <w:tc>
          <w:tcPr>
            <w:tcW w:w="99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Program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Maximum</w:t>
              <w:br/>
              <w:t>Approximate</w:t>
              <w:br/>
              <w:t>Dollar Value</w:t>
              <w:br/>
              <w:t>of Shares</w:t>
              <w:br/>
              <w:t>That May Yet Be</w:t>
              <w:br/>
              <w:t>Purchased</w:t>
              <w:br/>
              <w:t>Under the Program (1)</w:t>
            </w:r>
          </w:p>
        </w:tc>
      </w:tr>
      <w:tr>
        <w:trPr/>
        <w:tc>
          <w:tcPr>
            <w:tcW w:w="2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28, 2026 – April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169,047,719 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25, 2026 – May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169,047,719 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23, 2026 – June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169,047,719 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On August 21, 2017, we announced that our board of directors had approved a share repurchase program to permit us to repurchase up to $30.0 million worth of our issued and outstanding ordinary shares in the open market in accordance with applicable rules and regulations. In February 2018, May 2019, August 2020, August 2022, August 2023, August 2024, and January 2025, we announced that our board of directors approved increases of $30.0 million, $50.0 million, $58.5 million, $78.7 million, $47.6 million, $139.5 million, and $100.0 million, respectively, to the original share repurchase authorization, bringing the aggregate authorization to $534.3 million. The repurchased shares will be held as treasury stock. Our share repurchase program does not have an expiration date. Any repurchases under our share repurchase program are made in accordance with Rule 10b-18, including pursuant to pre-set trading plans adopted in accordance with Rule 10b5-1 under the Exchange Act of 1934. During the year ended June 26, 2026, 13,766 shares were repurchased under the program, at an average price per share (excluding other direct costs) of $379.99, for an aggregate purchase price of $5.2 million. As of June 26, 2026, we had a remaining authorization to repurchase up to $169.0 million worth of our ordinary shares.</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Five-Year Performance Graph</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performance graph shall not be deemed “soliciting material” or to be “filed” for purposes of Section 18 of the Securities Exchange Act of 1934, as amended, or otherwise subject to the liabilities under that Section, and shall not be deemed to be incorporated by reference into any filing of Fabrinet under the Securities Act of 1933, as amended, or the Exchange Act.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to holders of Fabrinet’s ordinary shares with the cumulative total return of the NASDAQ Composite Index, and the NASDAQ Telecommunications Index.</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graph assumes that $100 was invested in Fabrinet’s ordinary shares and each index on June 25, 2021, and that all dividends were reinvested. Historic stock performance is not necessarily indicative of future stock price performance.</w:t>
      </w:r>
    </w:p>
    <w:p>
      <w:pPr>
        <w:pStyle w:val="TextBody"/>
        <w:bidi w:val="0"/>
        <w:spacing w:before="240" w:after="283"/>
        <w:jc w:val="left"/>
        <w:rPr/>
      </w:pPr>
      <w:r>
        <w:rPr/>
        <w:drawing>
          <wp:inline distT="0" distB="0" distL="0" distR="0">
            <wp:extent cx="6496050" cy="3810000"/>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496050" cy="38100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6.[Reserved]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Annual Report on Form 10-K contains forward-looking statements within the meaning of Section 27A of the Securities Act of 1933 and Section 21E of the Securities Exchange Act of 1934. These statements relate to future events or to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goals and strategies;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and our customers’ estimates regarding future revenues, operating results, expenses, capital requirements and liquidity;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belief that we will be able to maintain favorable pricing on our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the portion of our future revenues attributable to customers in regions outside of North America will increase compared with the portion of those revenues for fiscal year 2026;</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our fiscal year 2027 selling, general and administrative (“SG&amp;A”) expenses will increase compared to our fiscal year 2026 SG&amp;A expenses;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our employee costs will increase in Thailand and the PRC;</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future capital expenditures, including the expansion of our manufacturing capacity;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growth rates of our existing markets and potential new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and the ability of our customers and suppliers, to respond successfully to technological or industry developments;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the potential impact of macroeconomic conditions and international political instability on our business, financial condition and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suppliers’ estimates regarding future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increase our penetration of existing markets and to penetrate new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diversify our sources of revenues;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execute acquisitions;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trends in the optical communications, automotive, industrial lasers and other markets, including trends to outsource the production of components used in those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attract and retain a qualified management team and other qualified personnel and advisors;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competition in our existing and new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in particular, the risks discussed under the heading “Risk Factors” in Item 1A, as well as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 “We,” “us” and “our” refer to Fabrinet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an overview of our business, see PART I – 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Fiscal Years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utilize a 52-53 week fiscal year ending on the last Friday in June. Our fiscal years 2026, 2025, and 2024 ended on June 26, 2026, June 27, 2025, and June 28, 2024, respectively, and each consisted of 52 weeks.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we are able to expand our relationships with existing customers and attract new customers due to, among other factors, our broad range of complex engineering and manufacturing service offerings, flexible low-cost manufacturing platform, process optimization capabilities, advanced supply chain management, excellent customer service, and experienced management team. Although we expect the prices we charge for our manufactured products to decrease over time (partly as a result of competitive market forces), we believe we will be able to continue to maintain favorable pricing for our services because of our ability to reduce cycle time, adjust our product mix by focusing on more complicated products, improve product quality and yields, and reduce material costs for the products we manufacture. We believe these capabilities have enabled us to help our OEM customers reduce their manufacturing costs while maintaining or improving the design, quality, reliability, and delivery times for their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by percentage, from individual customers representing 10% or more of our revenues is set forth in Note 21 of our audited consolidated financial statements. Because we depend upon a small number of customers for a significant percentage of our total revenues, a reduction in orders from, a loss of, or any other adverse actions by, any one of these customers would reduce our revenues and could have a material adverse effect on our business, operating results and share price. Moreover,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Certain customers have gone out of business or have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 Therefore, any financial difficulties that our key customers experience could materially and adversely affect our operating results and financial condition by generating charges for inventory write-offs, provisions for expected credit losses, and increases in working capital requirements due to increased days inventory and in accounts receivable.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reliance on a small number of customers gives those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better reflect our current business profile, beginning in the fourth quarter of fiscal year 2026, we updated our revenue category presentation from optical communications and non-optical communications to data center, communications infrastructure, and automotive, industrial and other markets. Beginning in the fourth quarter of fiscal year 2026, we also updated our geographic area presentation from the bill-to-location of our customers to the ship-to-location of our customers. Prior periods have been recast to conform to the current presentation.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Revenues by Geography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revenues from three geographic regions: Asia-Pacific and others, North America, and Europe. Revenues are attributed to a particular geographic area based on the ship-to location of our customers, notwithstanding that the products may be billed to a different geographic region. The substantial majority of our revenues are derived from our manufacturing facilities in Asia-Pacific.</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percentage of our revenues generated from a ship-to location outside of North America decreased from 78.4% in fiscal year 2025 to 77.3% in fiscal year 2026, primarily because of an increase in revenue from sales to our customers in North America. Based on the short- and medium-term indications and forecasts from our customers, we expect that the portion of our future revenues attributable to customers in regions outside of North America will increase as compared with the portion of revenues attributable to such customers during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percentages of total revenues by geographic regions:</w:t>
      </w:r>
    </w:p>
    <w:tbl>
      <w:tblPr>
        <w:tblW w:w="6421" w:type="dxa"/>
        <w:jc w:val="center"/>
        <w:tblInd w:w="0" w:type="dxa"/>
        <w:tblLayout w:type="fixed"/>
        <w:tblCellMar>
          <w:top w:w="28" w:type="dxa"/>
          <w:left w:w="28" w:type="dxa"/>
          <w:bottom w:w="28" w:type="dxa"/>
          <w:right w:w="28" w:type="dxa"/>
        </w:tblCellMar>
      </w:tblPr>
      <w:tblGrid>
        <w:gridCol w:w="717"/>
        <w:gridCol w:w="630"/>
        <w:gridCol w:w="632"/>
        <w:gridCol w:w="307"/>
        <w:gridCol w:w="309"/>
        <w:gridCol w:w="624"/>
        <w:gridCol w:w="109"/>
        <w:gridCol w:w="109"/>
        <w:gridCol w:w="109"/>
        <w:gridCol w:w="307"/>
        <w:gridCol w:w="309"/>
        <w:gridCol w:w="624"/>
        <w:gridCol w:w="109"/>
        <w:gridCol w:w="109"/>
        <w:gridCol w:w="109"/>
        <w:gridCol w:w="307"/>
        <w:gridCol w:w="309"/>
        <w:gridCol w:w="69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 and others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supply agreements with our customers which generally have an initial term of up to three years, subject to automatic renewals for subsequent one-year terms unless expressly terminated. Although there are no minimum purchase requirements in our supply agreements, our customers provide us with rolling forecasts of their demand requirements. Our supply agreements generally include provisions for pricing and periodic review of pricing, consignment of our customer’s unique production equipment to us, and the sharing of benefits from cost-savings derived from our efforts. We are generally required to purchase materials, which may include long lead-time materials and materials that are subject to minimum order quantities and/or non-cancelable or non-returnable terms, to meet the stated demands of our customers. After procuring materials, we manufacture products for our customers based on purchase orders that contain terms regarding product quantities, delivery locations and delivery dates. Our customers generally are obligated to purchase finished goods that we have manufactured according to their demand requirements. Materials that are not consumed by our customers within a specified period of time, or that are no longer required due to a product’s cancellation or end-of-life, are typically designated as excess or obsolete inventory under our contracts. Once materials are designated as either excess or obsolete inventory, our customers are typically required to purchase such inventory from us even if they have chosen to cancel production of the related products. The excess or obsolete inventory is shipped to the customer and recognized as an offset against cost of revenue upon shipment.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components of our cost of revenues are material costs, employee costs, and infrastructure-related costs. Material costs generally represent the majority of our cost of revenues. Several of the materials we require to manufacture products for our customers are customized for their products and often sourced from a single supplier or in some cases, our own subsidiaries. Shortages from sole-source suppliers due to yield loss, quality concerns and capacity constraints, among other factors, may increase our expenses and negatively impact our gross profit margin or total revenues in a given quarter. Material costs include scrap material. Historically, scrap rate diminishes during a product’s life cycle due to process, fixturing and test improvement and optimization.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second significant element of our cost of revenues is employee costs, including indirect employee costs related to design, configuration and optimization of manufacturing processes for our customers, quality testing, materials testing and other engineering services, and direct costs related to our manufacturing employees. Direct employee costs include employee salaries, insurance and benefits, merit-based bonuses, recruitment, training and retention. Historically, our employee costs have increased primarily due to increases in the number of employees necessary to support our growth and, to a lesser extent, costs to recruit, train and retain employees. Our cost of revenues is significantly impacted by salary levels in Thailand and the PRC, the fluctuation of the Thai baht and RMB against our functional currency, the U.S. dollar, and our ability to retain our employees. We expect our employee costs to increase as wages continue to increase in Thailand and the PRC. Wage increases may impact our ability to sustain our competitive advantage and may reduce our profit margin. We seek to mitigate these cost increases through improvements in employee productivity, employee retention and asset utilization.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infrastructure costs are comprised of depreciation, utilities, facilities management and overhead costs. Most of our facility leases are long-term agreements. Our depreciation costs include buildings and fixed assets, primarily at our Pinehurst and Chonburi campuses in Thailand, and capital equipment located at each of our manufacturing locations.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years 2026, 2025 and 2024, discretionary merit-based bonus awards were made to our non-executive employees. Charges included in cost of revenues for bonus awards to non-executive employees were $9.5 million, $7.7 million and $7.1 million for fiscal years 2026,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included in cost of revenues was $11.5 million, $10.5 million and $7.2 million for fiscal years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SG&amp;A expenses primarily consist of corporate employee costs for sales and marketing, general and administrative and other support personnel, including research and development expenses related to the design of customized optics and glass, travel expenses, legal and other professional fees, share-based compensation expense and other general expenses not related to cost of revenues. In fiscal year 2027, we expect our SG&amp;A expenses will increase compared with our fiscal year 2026 SG&amp;A expenses, mainly due to increases in research and development expenses, investments in information technology hardware, and compensation-related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our board of directors approved a fiscal year 2026 executive incentive plan with quantitative objectives based solely on achieving certain revenue targets and non-U.S. GAAP operating margin targets for fiscal year 2026. Bonuses under the fiscal year 2026 executive incentive plan are payable after the end of fiscal year 2026. In fiscal year 2025, the compensation committee approved a fiscal year 2025 executive incentive plan with quantitative objectives that were based solely on achieving certain revenue targets and non-U.S. GAAP operating margin targets for fiscal year 2025. In August 2025, the compensation committee awarded bonuses to our executive employees for Company achievements of performance under our fiscal year 2025 executive incentive plan. Discretionary merit-based bonus awards are also available to our non-executive employees and payable on a quarterly basis.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Charges included in SG&amp;A expenses for bonus distributions to non-executive and executive employees were $7.0 million, $6.8 million and $6.4 million for fiscal years 2026,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included in SG&amp;A expenses was $23.2 million, $22.5 million and $21.2 million for fiscal years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Additional Financial Disclosures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Foreign Exchange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operations, we are exposed to foreign exchange risk arising from various currency exposures, and primarily with respect to the Thai baht. Although a majority of our total revenues is denominated in U.S. dollars, a substantial portion of our payroll plus certain other operating expenses are incurred and paid in Thai baht. The exchange rate between the Thai baht and the U.S. dollar has fluctuated substantially in recent years and may continue to fluctuate substantially in the future. We report our financial results in U.S. dollars and our results of operations have been and could in the future be negatively impacted if the Thai baht appreciates against the U.S. dollar. Smaller portions of our expenses are incurred in a variety of other currencies, including RMB, GBP, Canadian dollars, Euros, and Japanese yen, the appreciation of which may also negatively impact our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manage the risks arising from fluctuations in foreign currency exchange rates, we use derivative instruments. We may enter into foreign currency exchange forward or put option contracts to manage foreign currency exposures associated with certain assets and liabilities and other forecasted foreign currency transactions and may designate these instruments as hedging instruments. The forward and put option contracts generally have maturities of up to 12 months. All foreign currency exchange contracts are recognized in the consolidated balance sheets at fair value. Gains or losses on our forward and put option contracts generally present gross amount in the assets, liabilities, and transactions economically hedged.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foreign currency denominated assets and liabilities in Thai baht, RMB and GBP as follows:</w:t>
      </w:r>
    </w:p>
    <w:tbl>
      <w:tblPr>
        <w:tblW w:w="10205" w:type="dxa"/>
        <w:jc w:val="left"/>
        <w:tblInd w:w="0" w:type="dxa"/>
        <w:tblLayout w:type="fixed"/>
        <w:tblCellMar>
          <w:top w:w="28" w:type="dxa"/>
          <w:left w:w="28" w:type="dxa"/>
          <w:bottom w:w="28" w:type="dxa"/>
          <w:right w:w="28" w:type="dxa"/>
        </w:tblCellMar>
      </w:tblPr>
      <w:tblGrid>
        <w:gridCol w:w="835"/>
        <w:gridCol w:w="729"/>
        <w:gridCol w:w="734"/>
        <w:gridCol w:w="488"/>
        <w:gridCol w:w="488"/>
        <w:gridCol w:w="266"/>
        <w:gridCol w:w="109"/>
        <w:gridCol w:w="109"/>
        <w:gridCol w:w="109"/>
        <w:gridCol w:w="211"/>
        <w:gridCol w:w="826"/>
        <w:gridCol w:w="109"/>
        <w:gridCol w:w="109"/>
        <w:gridCol w:w="109"/>
        <w:gridCol w:w="109"/>
        <w:gridCol w:w="307"/>
        <w:gridCol w:w="309"/>
        <w:gridCol w:w="109"/>
        <w:gridCol w:w="109"/>
        <w:gridCol w:w="109"/>
        <w:gridCol w:w="109"/>
        <w:gridCol w:w="488"/>
        <w:gridCol w:w="488"/>
        <w:gridCol w:w="266"/>
        <w:gridCol w:w="109"/>
        <w:gridCol w:w="109"/>
        <w:gridCol w:w="109"/>
        <w:gridCol w:w="211"/>
        <w:gridCol w:w="826"/>
        <w:gridCol w:w="109"/>
        <w:gridCol w:w="109"/>
        <w:gridCol w:w="109"/>
        <w:gridCol w:w="109"/>
        <w:gridCol w:w="307"/>
        <w:gridCol w:w="309"/>
        <w:gridCol w:w="155"/>
      </w:tblGrid>
      <w:tr>
        <w:trPr/>
        <w:tc>
          <w:tcPr>
            <w:tcW w:w="83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As of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As of June 27, 2025</w:t>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 baht</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1,132,961 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1,812,680 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RMB</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 baht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7,086,071 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4,434,661 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RMB</w:t>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106,118 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Thai baht assets represent cash and cash equivalents, trade accounts receivable, deposits and other current assets. The Thai baht liabilities represent trade accounts payable, accrued expenses, income tax payable, accrued employee benefits and other payables. We manage our exposure to fluctuations in foreign exchange rates by the use of foreign currency contracts and offsetting assets and liabilities denominated in the same currency in accordance with management’s policy. As of June 26, 2026, there was $280.0 million of foreign currency forward contracts outstanding on the Thai baht payables. As of June 27, 2025, there was $165.0 million of foreign currency forward contracts outstanding on the Thai baht payables.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RMB assets represent cash and cash equivalents, trade accounts receivable, other receivables, and other current assets. The RMB liabilities represent trade accounts payable, accrued expenses, income tax payable, accrued payroll, bonus and related expenses, and other payables. As of June 26, 2026 and June 27, 2025, we did not have any derivative contracts denominated in RMB.</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GBP assets represent cash, trade accounts receivable, and other current assets. The GBP liabilities represent trade accounts payable, and accrued expenses. As of June 26, 2026 and June 27, 2025, we did not have any derivative contracts denominated in GBP.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fiscal years 2026, 2025 and 2024, we recorded an unrealized loss of $2.8 million, unrealized gain of $1.9 million and unrealized gain of $0.7 million, respectively, related to derivatives that are not designated as hedging instruments in the consolidated statements of operations and comprehensive income.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Currency Regulation and Dividend Distribution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exchange regulation in the PRC is primarily governed by the following rules: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Foreign Currency Administration Rules, as amended on August 5, 2008, or the Exchange Rules;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Administration Rules of the Settlement, Sale and Payment of Foreign Exchange (1996), or the Administration Rules;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Notice on Perfecting Practices Concerning Foreign Exchange Settlement Regarding the Capital Contribution by Foreign-invested Enterprises, as promulgated by the State Administration of Foreign Exchange (“SAFE”), on August 29, 2008, or Circular 142.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Exchange Rules, RMB is freely convertible into foreign currencies for current account items, including the distribution of dividends, interest payments, trade and service-related foreign exchange transactions. However, conversion of RMB for capital account items, such as direct investments, loans, security investments and repatriation of investments, is still subject to the approval of SAFE.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Administration Rules, foreign-invested enterprises may only buy, sell, or remit foreign currencies at banks authorized to conduct foreign exchange business after providing valid commercial documents and relevant supporting documents and, in the case of capital account item transactions, obtaining approval from SAFE. Capital investments by foreign-invested enterprises outside of the PRC are also subject to limitations, which include approvals by the Ministry of Commerce, SAFE and the State Development and Reform Commission.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Circular 142 regulates the conversion by a foreign-invested company of foreign currency into RMB by restricting how the converted RMB may be used. Circular 142 requires that the registered capital of a foreign-invested enterprise settled in RMB converted from foreign currencies may only be used for purposes within the business scope approved by the applicable governmental authority and may not be used for equity investments within the PRC. In addition, SAFE strengthened its oversight of the flow and use of the registered capital of foreign-invested enterprises settled in RMB converted from foreign currencies. The use of such RMB capital may not be changed without SAFE’s approval and may not be used to repay RMB loans if the proceeds of such loans have not been used.</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5, 2007, SAFE promulgated the Detailed Rules for Implementing the Measures for the Administration on Individual Foreign Exchange, or the Implementation Rules. Under the Implementation Rules, PRC citizens who are granted share options by an overseas publicly-listed company are required, through a PRC agent or PRC subsidiary of such overseas publicly-listed company, to register with SAFE and complete certain other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General Administration of Taxation has issued circulars concerning employee share options. Under these circulars, our employees working in the PRC who exercise share options will be subject to PRC individual income tax. Our PRC subsidiary has obligations to file documents related to employee share options with relevant tax authorities and withhold individual income taxes of those employees who exercise their share options.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transfer of funds to our subsidiaries in Thailand and the PRC are each subject to approval by governmental authorities in case of an increase in registered capital, or subject to registration with governmental authorities in case of a shareholder loan. These limitations on the flow of funds between our subsidiaries and us could restrict our ability to act in response to changing market conditions.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Income Tax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tax rate is a function of the mix of tax rates in the various jurisdictions in which we do business. We are domiciled in the Cayman Islands. Under the current laws of the Cayman Islands, we are not subject to tax in the Cayman Islands on income or capital gains until March 6, 2039.</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Throughout the period of our operations in Thailand, we have generally received income tax and other incentives from the Thailand Board of Investment. Preferential tax treatment from the Thai government is available to us for products manufactured at our Chonburi campus Building 9, where income generated will be tax exempt through 2031, capped at our actual investment amount of $52.2 million. Similar preferential tax treatment was available to us through June 2026 with respect to products manufactured at our Chonburi campus and through June 2020 with respect to products manufactured at our Pinehurst campus Building 6. Between June 2020 and June 2025, 50% of our income generated from products manufactured at our Pinehurst campus was exempted from tax. Beginning in August 2027, preferential tax treatment will be available to us for products manufactured at our Navanakorn campus for 8 years, capped at our actual investment amount of $25.1 million.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Currently, the corporate income tax rate for our Thai subsidiary is 20%.</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corporate income tax rates for our subsidiaries in the PRC, the U.S., the U.K. and Israel are 25%, 21%, 25% and 23%,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OECD introduced a global minimum tax framework (“Pillar Two”) that imposes a minimum tax rate of 15% on multinational enterprise groups with annual consolidated revenue exceeding €750 million. Pillar Two includes a Qualified Domestic Minimum Top-up Tax (“QDMTT”), an Income Inclusion Rule (“IRR”), and an Undertaxed Profits Rule (“UTPR”).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OECD has issued Pillar Two model rules and continues to release guidance on these rules. As of June 26, 2026, these rules are either effective or have been adopted in draft form in various countries. We evaluated the applicable tax law changes resulting from Pillar Two implementation in the countries where we operate. Fabrinet is incorporated in a jurisdiction that has not adopted Pillar Two rules. Certain other jurisdictions in which we operate, including Thailand, have enacted legislation that may impose UTPR top-up tax with respect to low-taxed income of other constituent entities within our consolidated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 ended June 26, 2026, we recognized $57.4 million of current income tax expense related to enacted Pillar Two UTPR legislation. The related liability is included within income tax payable in the consolidated balance sheets. We continue to evaluate enacted legislation, administrative guidance, and the application of transitional safe harbors in the jurisdictions in which we operate. Future changes in enacted tax laws and interpretations could materially affect our future effective tax rate and cash tax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conformity with U.S. GAAP, which requires us to make estimates and assumptions that affect the reported amounts of assets and liabilities, the disclosure of contingent liabilities on the date of the consolidated financial statements and the reported amounts of revenues and expenses during the financial reporting period. We continually evaluate these estimates and assumptions based on the most recently available information, our own historical experience and on various other assumptions that we believe to be reasonable under the circumstances. The results of these estimates form the basis for making judgments about the carrying values of assets and liabilities that are not readily apparent from other sources. Because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consolidated financial statements, as their application places the most significant demands on our management’s judgment.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quantitative sensitivity analysis is provided where such information is reasonably available, can be reliably estimated, and provides material information to investors. The amounts used to assess sensitivity are included for illustrative purposes only and do not represent management’s predictions of variability.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the adoption of new accounting policies are disclosed in Note 2 – Summary of significant accounting policies. There were no changes to our accounting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total revenues primarily from the assembly of products under supply agreements with our customers and the fabrication of customized optics and glass. We recognize revenue relating to contracts that depict the transfer of promised goods or services to customers in an amount reflecting the consideration to which we expect to be entitled in exchange for such goods or services. In order to meet this requirement, we apply the following five steps: (1) identify the contract with a customer, (2) identify the performance obligations in the contract, (3) determine the transaction price, (4) allocate the transaction price to the performance obligations in the contract, and (5) recognize revenue when a performance obligation is satisfied. Revenue is recognized net of any taxes collected from customers, which is subsequently remitted to governmental authorities.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contractual promise to transfer a distinct good or service to the customer. In contracts with multiple performance obligations, we identify each performance obligation and evaluate whether such obligation is distinct within the context of the contract at contract inception. The majority of our contracts have a single performance obligation, as the promise to transfer the individual goods or services is not separately identifiable from other promises under the contracts and, therefore, is not distinct.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uses judgment to identify performance obligations within a contract and to determine whether multiple promised goods or services in a contract should be accounted for separately or as a group. Judgment is also used in interpreting commercial terms and determining when transfer of control occurs. Moreover, judgment is used to estimate the contract’s transaction price and allocate it to each performance obligation. Any material changes in the identification of performance obligations, determination and allocation of the transaction price to performance obligations, and determination of when transfer of control occurs to the customer, could impact the timing and amount of revenue recognition, which could have a material effect on our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review property, plant and equipment for impairment on a quarterly basis or when events or changes in circumstances indicate the carrying amount of an asset may not be recoverable. An impairment loss is recognized when the carrying amount of a long-lived asset or assets group exceeds its fair value. Recoverability of property and equipment is measured by comparing carrying amount to the projected undiscounted cash flows the property and equipment are expected to generate. If such assets are considered to be impaired, the impairment loss recognized, if any, is the amount by which the carrying amount of the property and equipment exceeds its fair value. The estimate of projected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 ongoing credit evaluations of our customers’ financial condition and make provisions for expected credit losses based on the outcomes of these credit evaluations. We evaluate the collectability of our accounts receivable based on specific customer circumstances, current economic trends, historical experience with collections, and the age of past due receivables. Changes in circumstances, such as an unexpected material adverse change in a major customer’s ability to meet its financial obligation to us or its payment trends, may require us to further adjust estimates of the recoverability of amounts due to us, which could have a material adverse effect on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Inventory Valuation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inventory is stated at the lower of cost (on a first-in, first-out basis) or market value. Our industry is characterized by rapid technological change, short-term customer commitments, and rapid changes in demand. We make provisions for estimated excess and obsolete inventory based on regular reviews of inventory quantities on hand on a quarterly basis and the latest forecasts of product demand and production requirements from our customers. If actual market conditions or our customers’ product demands are less favorable than those projected, additional provisions may be required. In addition, unanticipated changes in liquidity or the financial positions of our customers or changes in economic conditions may require additional provisions for inventory due to our customers’ inability to fulfill their contractual obligations. As the market conditions or our customers’ product demands are inherently difficult to predict, the actual volumes may vary significantly from projected volumes. Differences in forecasted volume used in calculating excess and obsolete inventory can result in a material adverse effect on our business, financial condition and results of operations. During fiscal year 2026 and fiscal year 2025, a change of 10% for excess and obsolete materials, based on product demand and production requirements from our customers, would have affected our net income by approximately $0.7 million and $0.6 million, respectively.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deferred income tax assets represent temporary differences between the carrying amount and the tax basis of existing assets and liabilities that will result in deductible and payable amounts in future years, including net operating loss carry forwards. Based on estimates, the carrying value of our net deferred tax assets assumes that it is more likely than not that we will be able to generate sufficient future taxable income in certain tax jurisdictions to realize these deferred income tax assets. Our judgments regarding future profitability may change depending on future market conditions, changes in U.S. or international tax laws, or other factors. If these estimates and related assumptions change in the future, we may be required to increase or decrease our valuation allowance against the deferred tax assets, resulting in additional or lesser income tax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year 2024, our subsidiary in Israel generated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$2.7 million for the deferred tax assets was set up as of the end of fiscal year 2024. We continued to record the full valuation allowance of $0.8 million and $2.1 million for fiscal year 2025 and fiscal year 2026,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consist of investments in private companies without readily determinable fair values. It is measured at cost minus impairment, if any, and are adjusted for observable price changes. These adjustments may require use of unobservable inputs.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 impairment annually based on qualitative and quantitative factors, including the investee’s operating performance, financial condition, market conditions, and other relevant events and circumstances that may indicate the carrying amount is not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consolidated statements of operations and comprehensive income. Note that period-to-period comparisons of operating results should not be relied upon as indicative of future performance.</w:t>
      </w:r>
    </w:p>
    <w:tbl>
      <w:tblPr>
        <w:tblW w:w="8412" w:type="dxa"/>
        <w:jc w:val="left"/>
        <w:tblInd w:w="0" w:type="dxa"/>
        <w:tblLayout w:type="fixed"/>
        <w:tblCellMar>
          <w:top w:w="28" w:type="dxa"/>
          <w:left w:w="28" w:type="dxa"/>
          <w:bottom w:w="28" w:type="dxa"/>
          <w:right w:w="28" w:type="dxa"/>
        </w:tblCellMar>
      </w:tblPr>
      <w:tblGrid>
        <w:gridCol w:w="1385"/>
        <w:gridCol w:w="1219"/>
        <w:gridCol w:w="1221"/>
        <w:gridCol w:w="211"/>
        <w:gridCol w:w="976"/>
        <w:gridCol w:w="109"/>
        <w:gridCol w:w="109"/>
        <w:gridCol w:w="109"/>
        <w:gridCol w:w="109"/>
        <w:gridCol w:w="211"/>
        <w:gridCol w:w="976"/>
        <w:gridCol w:w="109"/>
        <w:gridCol w:w="109"/>
        <w:gridCol w:w="109"/>
        <w:gridCol w:w="109"/>
        <w:gridCol w:w="211"/>
        <w:gridCol w:w="97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(2,526,849)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consolidated statements of operations and comprehensive income as a percentage of total revenues for the periods indicated.</w:t>
      </w:r>
    </w:p>
    <w:tbl>
      <w:tblPr>
        <w:tblW w:w="8267" w:type="dxa"/>
        <w:jc w:val="left"/>
        <w:tblInd w:w="0" w:type="dxa"/>
        <w:tblLayout w:type="fixed"/>
        <w:tblCellMar>
          <w:top w:w="28" w:type="dxa"/>
          <w:left w:w="28" w:type="dxa"/>
          <w:bottom w:w="28" w:type="dxa"/>
          <w:right w:w="28" w:type="dxa"/>
        </w:tblCellMar>
      </w:tblPr>
      <w:tblGrid>
        <w:gridCol w:w="1387"/>
        <w:gridCol w:w="1215"/>
        <w:gridCol w:w="1223"/>
        <w:gridCol w:w="308"/>
        <w:gridCol w:w="308"/>
        <w:gridCol w:w="624"/>
        <w:gridCol w:w="109"/>
        <w:gridCol w:w="109"/>
        <w:gridCol w:w="109"/>
        <w:gridCol w:w="308"/>
        <w:gridCol w:w="308"/>
        <w:gridCol w:w="624"/>
        <w:gridCol w:w="109"/>
        <w:gridCol w:w="109"/>
        <w:gridCol w:w="109"/>
        <w:gridCol w:w="308"/>
        <w:gridCol w:w="308"/>
        <w:gridCol w:w="692"/>
      </w:tblGrid>
      <w:tr>
        <w:trPr/>
        <w:tc>
          <w:tcPr>
            <w:tcW w:w="13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better reflect our current business profile, beginning in the fourth quarter of fiscal year 2026, we updated our revenue category presentation from optical communications and non-optical communications to data center, communications infrastructure, and automotive, industrial and other markets. Prior periods have been recast to conform to the current presentation. The following table sets forth our revenues by end market and product category for the periods indicated.</w:t>
      </w:r>
    </w:p>
    <w:tbl>
      <w:tblPr>
        <w:tblW w:w="11059" w:type="dxa"/>
        <w:jc w:val="left"/>
        <w:tblInd w:w="0" w:type="dxa"/>
        <w:tblLayout w:type="fixed"/>
        <w:tblCellMar>
          <w:top w:w="28" w:type="dxa"/>
          <w:left w:w="28" w:type="dxa"/>
          <w:bottom w:w="28" w:type="dxa"/>
          <w:right w:w="28" w:type="dxa"/>
        </w:tblCellMar>
      </w:tblPr>
      <w:tblGrid>
        <w:gridCol w:w="911"/>
        <w:gridCol w:w="302"/>
        <w:gridCol w:w="303"/>
        <w:gridCol w:w="211"/>
        <w:gridCol w:w="976"/>
        <w:gridCol w:w="109"/>
        <w:gridCol w:w="109"/>
        <w:gridCol w:w="109"/>
        <w:gridCol w:w="109"/>
        <w:gridCol w:w="308"/>
        <w:gridCol w:w="308"/>
        <w:gridCol w:w="699"/>
        <w:gridCol w:w="109"/>
        <w:gridCol w:w="109"/>
        <w:gridCol w:w="109"/>
        <w:gridCol w:w="211"/>
        <w:gridCol w:w="976"/>
        <w:gridCol w:w="109"/>
        <w:gridCol w:w="109"/>
        <w:gridCol w:w="109"/>
        <w:gridCol w:w="109"/>
        <w:gridCol w:w="308"/>
        <w:gridCol w:w="308"/>
        <w:gridCol w:w="699"/>
        <w:gridCol w:w="109"/>
        <w:gridCol w:w="109"/>
        <w:gridCol w:w="109"/>
        <w:gridCol w:w="211"/>
        <w:gridCol w:w="976"/>
        <w:gridCol w:w="109"/>
        <w:gridCol w:w="109"/>
        <w:gridCol w:w="109"/>
        <w:gridCol w:w="109"/>
        <w:gridCol w:w="308"/>
        <w:gridCol w:w="308"/>
        <w:gridCol w:w="774"/>
      </w:tblGrid>
      <w:tr>
        <w:trPr/>
        <w:tc>
          <w:tcPr>
            <w:tcW w:w="9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Data center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Communications infrastructure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Automotive, Industrial and Others </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Data center includes data center interconnect (DCI), high-performance computing (HPC), and other data center-specific applications.</w:t>
      </w:r>
    </w:p>
    <w:p>
      <w:pPr>
        <w:pStyle w:val="TextBody"/>
        <w:bidi w:val="0"/>
        <w:spacing w:lineRule="auto" w:line="288" w:before="120" w:after="283"/>
        <w:ind w:left="0" w:right="0" w:hanging="54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 xml:space="preserve">Communications infrastructure includes communications and networking products that are not specific to data center applications, primarily telecommunications products excluding DCI. </w:t>
      </w:r>
    </w:p>
    <w:p>
      <w:pPr>
        <w:pStyle w:val="TextBody"/>
        <w:bidi w:val="0"/>
        <w:spacing w:lineRule="auto" w:line="288" w:before="120" w:after="283"/>
        <w:ind w:left="0" w:right="0" w:hanging="54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Automotive, Industrial and Others includes products serving automotive components, industrial, medical devices and sensors.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Comparison of Fiscal Year 2026 with Fiscal Year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Our revenues increased by $1,221.8 million, or 35.7%, to $4,641.1 million for fiscal year 2026, compared with $3,419.3 million for fiscal year 2025. This increase was primarily due to an increase in our key customers’ demand for both data center products and communications infrastructure products. Revenues from data center products, which represented $2,225.1 million, or 47.9%, of our revenues for fiscal year 2026, increased by $645.2 million, or 40.8%, compared to the prior fiscal year. Revenues from communications infrastructure products, which represented $1,546.4 million, or 33.3%, of our revenues for fiscal year 2026, increased by $497.0 million, or 47.4%, compared to the prior fiscal year. Revenues from automotive, industrial and others products, which represented $869.6 million, or 18.8%, of our revenues for fiscal year 2026, increased by $79.6 million, or 10.1%, compared to the prior fiscal year.</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 of revenues</w:t>
      </w:r>
      <w:r>
        <w:rPr>
          <w:rFonts w:ascii="Times New Roman;serif" w:hAnsi="Times New Roman;serif"/>
          <w:b w:val="false"/>
          <w:color w:val="000000"/>
          <w:sz w:val="20"/>
        </w:rPr>
        <w:t>. Our cost of revenues increased by $1,078.6 million, or 35.9%, to $4,084.6 million, or 88.0% of revenues, for fiscal year 2026, compared with $3,006.0 million, or 87.9% of revenues, for fiscal year 2025. The increase was in line with the increase in sales volume.</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gross profit increased by $143.2 million, or 34.6%, to $556.5 million, or 12.0% of revenues, for fiscal year 2026, compared with $413.3 million, or 12.1% of revenues, for fiscal year 2025. The increase was primarily due to sales volume and product mix.</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SG&amp;A expenses</w:t>
      </w:r>
      <w:r>
        <w:rPr>
          <w:rFonts w:ascii="Times New Roman;serif" w:hAnsi="Times New Roman;serif"/>
          <w:b w:val="false"/>
          <w:color w:val="000000"/>
          <w:sz w:val="20"/>
        </w:rPr>
        <w:t>. Our SG&amp;A expenses increased by $6.0 million, or 6.9%, to $93.5 million, or 2.0% of revenues, for fiscal year 2026, compared with $87.5 million, or 2.6% of revenues, for fiscal year 2025. Our SG&amp;A expenses increased during fiscal year 2026, compared with fiscal year 2025, mainly due to (1) an increase in information technology related expenses of $2.2 million, mainly from network, security system and new hardware costs, (2) an increase in executive compensation related expenses of $1.3 million, (3) an increase in R&amp;D expenses of $1.2 million, (4) an increase in share-based compensation expenses of $0.6 million, (5) a net realized loss from financial instruments of $0.4 million, and (6) an increase in severance expenses of $0.3 million.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Restructuring and other related costs. </w:t>
      </w:r>
      <w:r>
        <w:rPr>
          <w:rFonts w:ascii="Times New Roman;serif" w:hAnsi="Times New Roman;serif"/>
          <w:b w:val="false"/>
          <w:color w:val="000000"/>
          <w:sz w:val="20"/>
        </w:rPr>
        <w:t>We recorded $0.1 million and $1.4 million in restructuring costs for fiscal year 2026 and 2025, respectively.</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Operating income</w:t>
      </w:r>
      <w:r>
        <w:rPr>
          <w:rFonts w:ascii="Times New Roman;serif" w:hAnsi="Times New Roman;serif"/>
          <w:b w:val="false"/>
          <w:color w:val="000000"/>
          <w:sz w:val="20"/>
        </w:rPr>
        <w:t>. Our operating income increased by $138.5 million, or 42.7%, to $462.9 million, or 10.0% of revenues, for fiscal year 2026, compared with $324.4 million, or 9.4% of revenues, for fiscal year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Interest income</w:t>
      </w:r>
      <w:r>
        <w:rPr>
          <w:rFonts w:ascii="Times New Roman;serif" w:hAnsi="Times New Roman;serif"/>
          <w:b w:val="false"/>
          <w:color w:val="000000"/>
          <w:sz w:val="20"/>
        </w:rPr>
        <w:t>. Our interest income decreased by $7.8 million, or 19.4% to $32.4 million, or 0.7% of revenues, for fiscal year 2026, compared with $40.2 million, or 1.2% for fiscal year 2025. The decrease was primarily due to a lower average cash balance and short-term investment of $872.0 million in fiscal year 2026, compared with $919.0 million in fiscal year 2025, and the average interest rate decreasing from 4.2% to 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Foreign exchange gain (loss), net</w:t>
      </w:r>
      <w:r>
        <w:rPr>
          <w:rFonts w:ascii="Times New Roman;serif" w:hAnsi="Times New Roman;serif"/>
          <w:b w:val="false"/>
          <w:color w:val="000000"/>
          <w:sz w:val="20"/>
        </w:rPr>
        <w:t>. We recorded foreign exchange gain, net of $2.9 million for fiscal year 2026, compared with foreign exchange loss, net of $9.3 million for fiscal year 2025. The foreign exchange gain was mainly due to (1) unrealized gain from revaluation of outstanding Thai baht assets and liabilities of $11.9 million, (2) unrealized gain from revaluation of currencies other than Thai baht of $3.0 million, (3) lower realized loss from payment/receipt of $1.6 million, and (4) lower foreign exchange loss totaling $0.5 million from our subsidiaries in the PRC and the U.K., offset by unrealized loss from mark-to-market of forward contracts of $4.8 million.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Income before income taxes</w:t>
      </w:r>
      <w:r>
        <w:rPr>
          <w:rFonts w:ascii="Times New Roman;serif" w:hAnsi="Times New Roman;serif"/>
          <w:b w:val="false"/>
          <w:color w:val="000000"/>
          <w:sz w:val="20"/>
        </w:rPr>
        <w:t>. We recorded income before income taxes of $555.1 million for fiscal year 2026, compared with $355.2 million for fiscal year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Income tax expense</w:t>
      </w:r>
      <w:r>
        <w:rPr>
          <w:rFonts w:ascii="Times New Roman;serif" w:hAnsi="Times New Roman;serif"/>
          <w:b w:val="false"/>
          <w:color w:val="000000"/>
          <w:sz w:val="20"/>
        </w:rPr>
        <w:t>. Our provision for income tax reflects an effective tax rate of 14.8% and 6.4% for fiscal year 2026 and fiscal year 2025, respectively. The increase was primarily due to top-up taxes recorded under the Pillar Two framework in fiscal year 2026.</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Net income</w:t>
      </w:r>
      <w:r>
        <w:rPr>
          <w:rFonts w:ascii="Times New Roman;serif" w:hAnsi="Times New Roman;serif"/>
          <w:b w:val="false"/>
          <w:color w:val="000000"/>
          <w:sz w:val="20"/>
        </w:rPr>
        <w:t>. We recorded net income of $473.0 million, or 10.2% of revenues, for fiscal year 2026, compared with net income of $332.5 million, or 9.7% of revenues, for fiscal year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Other comprehensive income (loss)</w:t>
      </w:r>
      <w:r>
        <w:rPr>
          <w:rFonts w:ascii="Times New Roman;serif" w:hAnsi="Times New Roman;serif"/>
          <w:b w:val="false"/>
          <w:color w:val="000000"/>
          <w:sz w:val="20"/>
        </w:rPr>
        <w:t>. We recorded other comprehensive loss of $9.3 million, or 0.2% of revenues, for fiscal year 2026, compared with other comprehensive income of $13.4 million, or 0.4% of revenues, for fiscal year 2025. The change was mainly due to (1) unrealized loss from mark-to-market of available-for-sale debt securities of $13.0 million, (2) unrealized loss from mark-to-market of forward contracts of $8.4 million, and (3) unrealized loss from foreign currency translation adjustment of $1.3 million.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Comparison of Fiscal Year 2025 with Fiscal Year 2024</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Our revenues increased by $536.3 million, or 18.6%, to $3,419.3 million for fiscal year 2025, compared with $2,883.0 million for fiscal year 2024. This increase was primarily due to an increase in our key customers’ demand for data center products, communications infrastructure products, and automotive, industrial and others products. Revenues from data center products, which represented $1,579.9 million, or 46.2%, of our revenues for fiscal year 2025, increased by $50.2 million, or 3.3%, compared to the prior fiscal year. Revenues from communications infrastructure products, which represented $1,049.4 million, or 30.7%, of our revenues for fiscal year 2025, increased by $282.0 million, or 36.8%, compared to the prior fiscal year. Revenues from automotive, industrial and others products, which represented $790.0 million, or 23.1%, of our revenues for fiscal year 2025, increased by $204.1 million, or 34.8%, compared to the prior fiscal year, primarily due to growth in automotive revenue as short-term inventory absorption issues substantially subsided during fiscal year 2025.</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Cost of revenues. </w:t>
      </w:r>
      <w:r>
        <w:rPr>
          <w:rFonts w:ascii="Times New Roman;serif" w:hAnsi="Times New Roman;serif"/>
          <w:b w:val="false"/>
          <w:color w:val="000000"/>
          <w:sz w:val="20"/>
        </w:rPr>
        <w:t>Our cost of revenues increased by $479.2 million, or 19.0%, to $3,006.0 million, or 87.9% of revenues, for fiscal year 2025, compared with $2,526.8 million, or 87.6% of revenues, for fiscal year 2024. The increase in cost of revenues was primarily due to a proportional increase in sales volume.</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gross profit increased by $57.2 million, or 16.1%, to $413.3 million, or 12.1% of revenues, for fiscal year 2025, compared with $356.1 million, or 12.4% of revenues, for fiscal year 2024. The increase was primarily due to sales volume and product mix.</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SG&amp;A expenses</w:t>
      </w:r>
      <w:r>
        <w:rPr>
          <w:rFonts w:ascii="Times New Roman;serif" w:hAnsi="Times New Roman;serif"/>
          <w:b w:val="false"/>
          <w:color w:val="000000"/>
          <w:sz w:val="20"/>
        </w:rPr>
        <w:t>. Our SG&amp;A expenses increased by $9.0 million, or 11.5%, to $87.5 million, or 2.6% of revenues, for fiscal year 2025, compared with $78.5 million, or 2.8% of revenues, for fiscal year 2024. Our SG&amp;A expenses increased during fiscal year 2025, compared with fiscal year 2024, mainly due to (1) an increase in executive compensation related expenses of $3.3 million, (2) an increase in legal and consulting fees of $1.6 million, (3) an increase in R&amp;D expenses of $1.4 million, (4) an increase in share-based compensation expenses of $1.4 million, (5) an increase in information technology related expenses of $1.3 million, mainly from network, security system and new hardware costs, (6) recognizing an actuarial loss on obligation of $0.9 million in fiscal year 2025 compared with recognizing an actuarial gain on obligation of $0.4 million in fiscal year 2024, and (7) an increase in severance expenses of $0.7 million, offset by (1) a net decrease in allowance for expected credit losses of $1.1 million, (2) a decrease in sales and marketing expenses of $0.5 million, and (3) a net realized gain from financial instruments of $0.5 million.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Restructuring and other related costs. </w:t>
      </w:r>
      <w:r>
        <w:rPr>
          <w:rFonts w:ascii="Times New Roman;serif" w:hAnsi="Times New Roman;serif"/>
          <w:b w:val="false"/>
          <w:color w:val="000000"/>
          <w:sz w:val="20"/>
        </w:rPr>
        <w:t>We recorded $1.4 million in restructuring costs for fiscal year 2025, due to restructuring of operations in our subsidiary in Thailand. We recorded an immaterial amount of restructuring costs for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Operating income</w:t>
      </w:r>
      <w:r>
        <w:rPr>
          <w:rFonts w:ascii="Times New Roman;serif" w:hAnsi="Times New Roman;serif"/>
          <w:b w:val="false"/>
          <w:color w:val="000000"/>
          <w:sz w:val="20"/>
        </w:rPr>
        <w:t>. Our operating income increased by $46.8 million, or 16.9%, to $324.4 million, or 9.4% of revenues, for fiscal year 2025, compared with $277.6 million, or 9.6% of revenues, for fiscal year 2024.</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Interest income</w:t>
      </w:r>
      <w:r>
        <w:rPr>
          <w:rFonts w:ascii="Times New Roman;serif" w:hAnsi="Times New Roman;serif"/>
          <w:b w:val="false"/>
          <w:color w:val="000000"/>
          <w:sz w:val="20"/>
        </w:rPr>
        <w:t>. Our interest income increased by $7.0 million, or 21.1% to $40.2 million, or 1.2% of revenues, for fiscal year 2025, compared with $33.2 million, or 1.2% of revenues, for fiscal year 2024. The increase was primarily due to a higher average cash balance and short-term investment of $919.0 million in fiscal year 2025, compared with $722.0 million in fiscal year 2024.</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Interest expense</w:t>
      </w:r>
      <w:r>
        <w:rPr>
          <w:rFonts w:ascii="Times New Roman;serif" w:hAnsi="Times New Roman;serif"/>
          <w:b w:val="false"/>
          <w:color w:val="000000"/>
          <w:sz w:val="20"/>
        </w:rPr>
        <w:t>. Our interest expense decreased for fiscal year 2025, compared with fiscal year 2024, due to full repayment of our long-term loan balance.</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Foreign exchange gain (loss), net</w:t>
      </w:r>
      <w:r>
        <w:rPr>
          <w:rFonts w:ascii="Times New Roman;serif" w:hAnsi="Times New Roman;serif"/>
          <w:b w:val="false"/>
          <w:color w:val="000000"/>
          <w:sz w:val="20"/>
        </w:rPr>
        <w:t>. We recorded foreign exchange loss, net of $9.3 million for fiscal year 2025, compared with foreign exchange gain, net of $0.4 million for fiscal year 2024. The foreign exchange loss was mainly due to (1) unrealized loss from revaluation of outstanding Thai baht assets and liabilities of $8.0 million, (2) higher unrealized loss from revaluation of currencies other than Thai baht of $1.1 million, (3) higher realized loss from payment/receipt of $1.0 million, and (4) foreign exchange loss totaling $0.8 million from our subsidiaries in the PRC and the U.K., offset by higher unrealized gain from mark-to-market of forward contracts of $1.2 million.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Income before income taxes</w:t>
      </w:r>
      <w:r>
        <w:rPr>
          <w:rFonts w:ascii="Times New Roman;serif" w:hAnsi="Times New Roman;serif"/>
          <w:b w:val="false"/>
          <w:color w:val="000000"/>
          <w:sz w:val="20"/>
        </w:rPr>
        <w:t>. We recorded income before income taxes of $355.2 million for fiscal year 2025, compared with $311.4 million for fiscal year 2024.</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Income tax expense</w:t>
      </w:r>
      <w:r>
        <w:rPr>
          <w:rFonts w:ascii="Times New Roman;serif" w:hAnsi="Times New Roman;serif"/>
          <w:b w:val="false"/>
          <w:color w:val="000000"/>
          <w:sz w:val="20"/>
        </w:rPr>
        <w:t>. Our provision for income tax reflects an effective tax rate of 6.4% and 4.9% for fiscal year 2025 and fiscal year 2024, respectively. The increase was primarily due to higher income subject to tax and IRS audit assessment in fiscal year 2025, offset by a full valuation allowance for deferred tax assets set up in fiscal year 2024.</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Net income</w:t>
      </w:r>
      <w:r>
        <w:rPr>
          <w:rFonts w:ascii="Times New Roman;serif" w:hAnsi="Times New Roman;serif"/>
          <w:b w:val="false"/>
          <w:color w:val="000000"/>
          <w:sz w:val="20"/>
        </w:rPr>
        <w:t>. We recorded net income of $332.5 million, or 9.7% of revenues, for fiscal year 2025, compared with net income of $296.2 million, or 10.3% of revenues, for fiscal year 2024.</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Other comprehensive income (loss)</w:t>
      </w:r>
      <w:r>
        <w:rPr>
          <w:rFonts w:ascii="Times New Roman;serif" w:hAnsi="Times New Roman;serif"/>
          <w:b w:val="false"/>
          <w:color w:val="000000"/>
          <w:sz w:val="20"/>
        </w:rPr>
        <w:t>. We recorded other comprehensive income of $13.4 million, or 0.4% of revenues, for fiscal year 2025, compared with other comprehensive income of $5.0 million, or 0.2% of revenues, for fiscal year 2024. The increase in other comprehensive income was mainly due to (1) higher unrealized gain from mark-to-market of available-for-sale debt securities of $7.8 million, and (2) unrealized gain from foreign currency translation adjustment of $1.2 million, offset by (1) lower gain from retirement benefits plan of $0.3 million, and (2) lower unrealized gain from mark-to-market of forward contracts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Cash Flows and Working Capital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finance our operations through cash flow from operating activities. As of June 26, 2026 and June 27, 2025, we had cash, cash equivalents, and short-term investments of $875.1 million and $934.2 million, respectively, and no outstanding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which primarily consist of cash on hand, demand deposits and liquid investments with original maturities of three months or less, are placed with banks and other financial institutions. The weighted average interest rate on our cash and cash equivalents for fiscal year 2026, fiscal year 2025 and fiscal year 2024 was 3.7%, 4.2% and 4.4%,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investments are made in accordance with an investment policy approved by the audit committee of our board of directors. In general, our investment policy requires that securities purchased be rated A1, P-1, F1 or better. No security may have an effective maturity that exceeds three years. Our investments in fixed income securities are primarily classified as available-for-sale and held-to-maturity. Investments in debt securities that we have the positive intent and ability to hold to maturity are carried at amortized cost and classified as held-to-maturity. Investments in debt securities that are not classified as held-to-maturity are carried at fair value and classified as available-for-sale with any unrealized gains and losses included in AOCI in the consolidated balance sheets. We determine realized gains or losses on sale of available-for-sale debt securities on a specific identification method and record such gains or losses as interest income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cash and cash equivalents, short-term investments, cash flow from operations, and funds available through our credit facility will be sufficient to meet our working capital and capital expenditure needs for at least the next 12 months following the filing of this Annual Report on Form 10-K. Our ability to sustain our working capital position is subject to a number of risks that we discuss in Item 1A of this Annual Report on Form 10-K.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believe that our current manufacturing capacity is sufficient to meet our anticipated production requirements for at least the next few quarters. In February 2025, we began construction of a new manufacturing facility of approximately 2.0 million square feet at our Chonburi campus. The total expected cost of the project is approximately $132.5 million (Thai baht 4.45 billion). As of June 26, 2026, the remaining balance was approximately $39.7 million.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cash flows for the periods indicated:</w:t>
      </w:r>
    </w:p>
    <w:tbl>
      <w:tblPr>
        <w:tblW w:w="9987" w:type="dxa"/>
        <w:jc w:val="left"/>
        <w:tblInd w:w="0" w:type="dxa"/>
        <w:tblLayout w:type="fixed"/>
        <w:tblCellMar>
          <w:top w:w="28" w:type="dxa"/>
          <w:left w:w="28" w:type="dxa"/>
          <w:bottom w:w="28" w:type="dxa"/>
          <w:right w:w="28" w:type="dxa"/>
        </w:tblCellMar>
      </w:tblPr>
      <w:tblGrid>
        <w:gridCol w:w="2038"/>
        <w:gridCol w:w="1790"/>
        <w:gridCol w:w="1797"/>
        <w:gridCol w:w="211"/>
        <w:gridCol w:w="901"/>
        <w:gridCol w:w="109"/>
        <w:gridCol w:w="109"/>
        <w:gridCol w:w="109"/>
        <w:gridCol w:w="109"/>
        <w:gridCol w:w="211"/>
        <w:gridCol w:w="901"/>
        <w:gridCol w:w="109"/>
        <w:gridCol w:w="109"/>
        <w:gridCol w:w="109"/>
        <w:gridCol w:w="109"/>
        <w:gridCol w:w="211"/>
        <w:gridCol w:w="901"/>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net income adjusted for certain non-cash items and changes in certain assets and liabilities. The decrease in cash provided by operating activities for fiscal year 2026 as compared to fiscal year 2025 was primarily due to (1) an increase in inventories to support higher demand in the next quarter, and (2) an increase in trade receivables due to timing of collection, partially offset by (1) an increase in trade payables aligned with the increasing volume of inventories, and (2) an increase in net income.</w:t>
      </w:r>
    </w:p>
    <w:p>
      <w:pPr>
        <w:pStyle w:val="TextBody"/>
        <w:bidi w:val="0"/>
        <w:spacing w:lineRule="auto" w:line="26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Investing cash flows consist primarily of investment purchases, sales, maturities, and disposals; and capital expenditures. The decrease in cash used in investing activities for fiscal year 2026 as compared to cash used in investing activities for fiscal year 2025 was primarily due to (1) net proceeds of short-term investments, partially offset by (1) an increase in capital expenditures related to construction of a new manufacturing building at Chonburi campus and support certain customers, and (2) investment in non-marketable equity securities.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cash flows consist primarily of repayment of long-term debt, share repurchases, and withholding tax related to net share settlement of restricted share units. The decrease in cash used in financing activities for fiscal year 2026 as compared to the fiscal year 2025 was primarily due to a decrease in share repurchases, offset by an increase in withholding tax related to net share settlement of restricted share units.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Material Cash Requirements for Contractual Obligations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Operating Lease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26, 2026, we have certain operating lease arrangements under which the lease payments are calculated using the straight-line method. Our rental expenses under these leases to be paid within one year and after one year are $1.4 million and $3.3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capital expenditures, which include amounts for which payments have been accrued, for the periods indicated.</w:t>
      </w:r>
    </w:p>
    <w:tbl>
      <w:tblPr>
        <w:tblW w:w="5930" w:type="dxa"/>
        <w:jc w:val="left"/>
        <w:tblInd w:w="0" w:type="dxa"/>
        <w:tblLayout w:type="fixed"/>
        <w:tblCellMar>
          <w:top w:w="28" w:type="dxa"/>
          <w:left w:w="28" w:type="dxa"/>
          <w:bottom w:w="28" w:type="dxa"/>
          <w:right w:w="28" w:type="dxa"/>
        </w:tblCellMar>
      </w:tblPr>
      <w:tblGrid>
        <w:gridCol w:w="655"/>
        <w:gridCol w:w="576"/>
        <w:gridCol w:w="583"/>
        <w:gridCol w:w="211"/>
        <w:gridCol w:w="826"/>
        <w:gridCol w:w="109"/>
        <w:gridCol w:w="109"/>
        <w:gridCol w:w="109"/>
        <w:gridCol w:w="109"/>
        <w:gridCol w:w="211"/>
        <w:gridCol w:w="826"/>
        <w:gridCol w:w="109"/>
        <w:gridCol w:w="109"/>
        <w:gridCol w:w="109"/>
        <w:gridCol w:w="109"/>
        <w:gridCol w:w="227"/>
        <w:gridCol w:w="777"/>
        <w:gridCol w:w="166"/>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fiscal year 2026, we invested in new manufacturing buildings at our Chonburi and Pathum Thani campuses, and equipment for expansion of our manufacturing facilities in Thailand. We expect our capital expenditures for fiscal year 2027 to increase compared to fiscal year 2026, mainly due to the purchase of a new manufacturing building in California, continued investment in our manufacturing facilities at our Pathum Thani campus, and ongoing investments in equipment to support the expansion of our manufacturing capacity. These investments are intended to support future growth and increase production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2 of the Notes to Consolidated Financial Statements for recent accounting pronouncements that could have an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7A.QUANTITATIVE AND QUALITATIVE DISCLOSURES ABOUT MARKET RISK.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cash equivalents, and short-term investments totaling $875.1 million, $934.2 million and $858.6 million, as of June 26, 2026, June 27, 2025 and June 28, 2024, respectively. We have interest rate risk exposure relating to the interest income generated by excess cash invested in highly liquid investments with maturities of three months or less from the original dates of purchase. The cash, cash equivalents, and short-term investments are held for working capital purposes. We have not used derivative financial instruments in our investment portfolio. We have not been exposed nor do we anticipate being exposed to material risks due to changes in market interest rates. Declines in interest rates, however, will reduce future investment income. If overall interest rates had declined by 10 basis points during fiscal year 2026, fiscal year 2025 and fiscal year 2024, our interest income would have decreased by approximately $0.9 million, $0.9 million and $0.7 million, respectively, assuming consistent investment levels.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an investment portfolio in a variety of financial instruments, including, but not limited to, U.S. government and agency bonds, corporate obligations, money market funds, asset-backed securities, and other investment-grade securities. The majority of these investments pay a fixed rate of interest. The securities in the investment portfolio are subject to market price risk due to changes in interest rates, perceived issuer creditworthiness, marketability, and other factors. These investments are generally classified as available-for-sale and, consequently, are recorded on our consolidated balance sheets at fair value with unrealized gains or losses reported as a separate component of shareholders’ equity.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Investments in both fixed-rate and floating-rate interest earning instruments carry a degree of interest rate risk. The fair market values of our fixed-rate securities decline if interest rates rise, while floating-rate securities may produce less income than expected if interest rates fall. Due in part to these factors, our future investment income may be less than we expect because of changes in interest rates, or we may suffer losses in principal if forced to sell securities that have experienced a decline in market value because of changes in interest rates.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foreign operations, we have significant expenses, assets and liabilities that are denominated in foreign currencies. Substantially all of our employees and most of our facilities are located in Thailand and the PRC. Therefore, a substantial portion of our payroll as well as certain other operating expenses are paid in Thai baht and RMB. The significant majority of our revenues are denominated in U.S. dollars because our customer contracts generally provide that our customers will pay us in U.S. dollars.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consequence, our gross profit margins, operating results, profitability and cash flows are adversely impacted when the dollar depreciates relative to the Thai baht or the RMB. We have a particularly significant currency rate exposure to changes in the exchange rate between the Thai baht, the RMB and the U.S. dollar. We must translate foreign currency-denominated results of operations, assets and liabilities for our foreign subsidiaries to U.S. dollars in our consolidated financial statements. Consequently, increases and decreases in the value of the U.S. dollar compared with such foreign currencies will affect our reported results of operations and the value of our assets and liabilities on our consolidated balance sheets, even if our results of operations or the value of those assets and liabilities has not changed in its original currency. These transactions could significantly affect the comparability of our results between financial periods or result in significant changes to the carrying value of our assets, liabilities and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attempt to hedge against these exchange rate risks by entering into derivative instruments that are typically one to twelve months in duration, leaving us exposed to longer term changes in exchange rates. We designated the foreign currency forward contracts used to hedge fluctuations in the U.S. dollar value of forecasted transactions denominated in Thai baht as cash flow hedges, as they qualified for hedge accounting because the hedges are highly effective. While we intend to continue to meet the conditions for hedge accounting, if hedges do not qualify as highly effective, the changes in the fair value of the derivatives used as hedges would be reflected in our earnings. Any gains or losses related to these outstanding foreign currency forward contracts will be recorded in accumulated other comprehensive income in the consolidated balance sheets, with subsequent reclassification to the same statement of operations and comprehensive income line item as the earnings effect of hedge items when settled. We recorded an unrealized loss of $2.8 million and an unrealized gain of $1.9 million for the year ended June 26, 2026 and June 27, 2025, respectively, related to derivatives that are not designated as hedging instruments. As foreign currency exchange rates fluctuate relative to the U.S. dollar, we expect to incur foreign currency translation adjustments and may incur foreign currency exchange losses. For example, a 10% weakening in the U.S. dollar against the Thai baht and the RMB would have resulted in a decrease in our net dollar position of approximately $20.4 million and $9.4 million as of June 26, 2026 and June 27, 2025, respectively. We cannot give any assurance as to the effect that future changes in foreign currency rates will have on our consolidated financial position, operating results or cash flows.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Credit risk refers to our exposures to financial institutions, suppliers and customers that have in the past and may in the future experience financial difficulty, particularly in light of recent conditions in the credit markets and the global economy. As of June 26, 2026, our cash and cash equivalents were held in deposits and highly liquid investment products with maturities of three months or less with banks and other financial institutions having credit ratings of A minus or above. Our short-term investments as of June 26, 2026 are held in various financial institutions with a maturity limit not to exceed three years, and all securities are rated A1, P-1, F1 or better. We continue to monitor our surplus cash and consider investment in corporate and U.S. government debt as well as certain available-for-sale and held-to-maturity securities in accordance with our investment policy. We generally monitor the financial performance of our suppliers and customers, as well as other factors that may affect their access to capital and liquidity. Presently, we believe that we will not incur material losses due to our exposures to such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Consolidated Financial Statements of Fabrinet</w:t>
      </w:r>
    </w:p>
    <w:tbl>
      <w:tblPr>
        <w:tblW w:w="10205" w:type="dxa"/>
        <w:jc w:val="left"/>
        <w:tblInd w:w="0" w:type="dxa"/>
        <w:tblLayout w:type="fixed"/>
        <w:tblCellMar>
          <w:top w:w="28" w:type="dxa"/>
          <w:left w:w="28" w:type="dxa"/>
          <w:bottom w:w="28" w:type="dxa"/>
          <w:right w:w="28" w:type="dxa"/>
        </w:tblCellMar>
      </w:tblPr>
      <w:tblGrid>
        <w:gridCol w:w="3533"/>
        <w:gridCol w:w="3071"/>
        <w:gridCol w:w="3088"/>
        <w:gridCol w:w="149"/>
        <w:gridCol w:w="149"/>
        <w:gridCol w:w="215"/>
      </w:tblGrid>
      <w:tr>
        <w:trPr/>
        <w:tc>
          <w:tcPr>
            <w:tcW w:w="3533"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97">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1194)</w:t>
            </w:r>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97">
              <w:r>
                <w:rPr>
                  <w:rStyle w:val="InternetLink"/>
                  <w:rFonts w:ascii="Times New Roman;serif" w:hAnsi="Times New Roman;serif"/>
                  <w:b w:val="false"/>
                  <w:strike w:val="false"/>
                  <w:dstrike w:val="false"/>
                  <w:color w:val="000000"/>
                  <w:sz w:val="20"/>
                  <w:u w:val="none"/>
                  <w:effect w:val="non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103">
              <w:r>
                <w:rPr>
                  <w:rStyle w:val="InternetLink"/>
                  <w:rFonts w:ascii="Times New Roman;serif" w:hAnsi="Times New Roman;serif"/>
                  <w:b w:val="false"/>
                  <w:color w:val="000080"/>
                  <w:sz w:val="20"/>
                  <w:u w:val="single"/>
                </w:rPr>
                <w:t>Consolidated Balance Sheets as of June 2</w:t>
              </w:r>
            </w:hyperlink>
            <w:hyperlink w:anchor="i24e79a96b66f4be1947ffd8e83bf4eab_103">
              <w:r>
                <w:rPr>
                  <w:rStyle w:val="InternetLink"/>
                  <w:rFonts w:ascii="Times New Roman;serif" w:hAnsi="Times New Roman;serif"/>
                  <w:b w:val="false"/>
                  <w:color w:val="000080"/>
                  <w:sz w:val="20"/>
                  <w:u w:val="single"/>
                </w:rPr>
                <w:t>6</w:t>
              </w:r>
            </w:hyperlink>
            <w:hyperlink w:anchor="i24e79a96b66f4be1947ffd8e83bf4eab_103">
              <w:r>
                <w:rPr>
                  <w:rStyle w:val="InternetLink"/>
                  <w:rFonts w:ascii="Times New Roman;serif" w:hAnsi="Times New Roman;serif"/>
                  <w:b w:val="false"/>
                  <w:color w:val="000080"/>
                  <w:sz w:val="20"/>
                  <w:u w:val="single"/>
                </w:rPr>
                <w:t>, 202</w:t>
              </w:r>
            </w:hyperlink>
            <w:hyperlink w:anchor="i24e79a96b66f4be1947ffd8e83bf4eab_103">
              <w:r>
                <w:rPr>
                  <w:rStyle w:val="InternetLink"/>
                  <w:rFonts w:ascii="Times New Roman;serif" w:hAnsi="Times New Roman;serif"/>
                  <w:b w:val="false"/>
                  <w:color w:val="000080"/>
                  <w:sz w:val="20"/>
                  <w:u w:val="single"/>
                </w:rPr>
                <w:t>6</w:t>
              </w:r>
            </w:hyperlink>
            <w:hyperlink w:anchor="i24e79a96b66f4be1947ffd8e83bf4eab_103">
              <w:r>
                <w:rPr>
                  <w:rStyle w:val="InternetLink"/>
                  <w:rFonts w:ascii="Times New Roman;serif" w:hAnsi="Times New Roman;serif"/>
                  <w:b w:val="false"/>
                  <w:color w:val="000080"/>
                  <w:sz w:val="20"/>
                  <w:u w:val="single"/>
                </w:rPr>
                <w:t xml:space="preserve"> and June 2</w:t>
              </w:r>
            </w:hyperlink>
            <w:hyperlink w:anchor="i24e79a96b66f4be1947ffd8e83bf4eab_103">
              <w:r>
                <w:rPr>
                  <w:rStyle w:val="InternetLink"/>
                  <w:rFonts w:ascii="Times New Roman;serif" w:hAnsi="Times New Roman;serif"/>
                  <w:b w:val="false"/>
                  <w:color w:val="000080"/>
                  <w:sz w:val="20"/>
                  <w:u w:val="single"/>
                </w:rPr>
                <w:t>7</w:t>
              </w:r>
            </w:hyperlink>
            <w:hyperlink w:anchor="i24e79a96b66f4be1947ffd8e83bf4eab_103">
              <w:r>
                <w:rPr>
                  <w:rStyle w:val="InternetLink"/>
                  <w:rFonts w:ascii="Times New Roman;serif" w:hAnsi="Times New Roman;serif"/>
                  <w:b w:val="false"/>
                  <w:color w:val="000080"/>
                  <w:sz w:val="20"/>
                  <w:u w:val="single"/>
                </w:rPr>
                <w:t>, 202</w:t>
              </w:r>
            </w:hyperlink>
            <w:hyperlink w:anchor="i24e79a96b66f4be1947ffd8e83bf4eab_103">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103">
              <w:r>
                <w:rPr>
                  <w:rStyle w:val="InternetLink"/>
                  <w:rFonts w:ascii="Times New Roman;serif" w:hAnsi="Times New Roman;serif"/>
                  <w:b w:val="false"/>
                  <w:strike w:val="false"/>
                  <w:dstrike w:val="false"/>
                  <w:color w:val="000000"/>
                  <w:sz w:val="20"/>
                  <w:u w:val="none"/>
                  <w:effect w:val="non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106">
              <w:r>
                <w:rPr>
                  <w:rStyle w:val="InternetLink"/>
                  <w:rFonts w:ascii="Times New Roman;serif" w:hAnsi="Times New Roman;serif"/>
                  <w:b w:val="false"/>
                  <w:color w:val="000080"/>
                  <w:sz w:val="20"/>
                  <w:u w:val="single"/>
                </w:rPr>
                <w:t>Consolidated Statements of Operations and Comprehensive Income for the Years Ended June 2</w:t>
              </w:r>
            </w:hyperlink>
            <w:hyperlink w:anchor="i24e79a96b66f4be1947ffd8e83bf4eab_106">
              <w:r>
                <w:rPr>
                  <w:rStyle w:val="InternetLink"/>
                  <w:rFonts w:ascii="Times New Roman;serif" w:hAnsi="Times New Roman;serif"/>
                  <w:b w:val="false"/>
                  <w:color w:val="000080"/>
                  <w:sz w:val="20"/>
                  <w:u w:val="single"/>
                </w:rPr>
                <w:t>6</w:t>
              </w:r>
            </w:hyperlink>
            <w:hyperlink w:anchor="i24e79a96b66f4be1947ffd8e83bf4eab_106">
              <w:r>
                <w:rPr>
                  <w:rStyle w:val="InternetLink"/>
                  <w:rFonts w:ascii="Times New Roman;serif" w:hAnsi="Times New Roman;serif"/>
                  <w:b w:val="false"/>
                  <w:color w:val="000080"/>
                  <w:sz w:val="20"/>
                  <w:u w:val="single"/>
                </w:rPr>
                <w:t>, 202</w:t>
              </w:r>
            </w:hyperlink>
            <w:hyperlink w:anchor="i24e79a96b66f4be1947ffd8e83bf4eab_106">
              <w:r>
                <w:rPr>
                  <w:rStyle w:val="InternetLink"/>
                  <w:rFonts w:ascii="Times New Roman;serif" w:hAnsi="Times New Roman;serif"/>
                  <w:b w:val="false"/>
                  <w:color w:val="000080"/>
                  <w:sz w:val="20"/>
                  <w:u w:val="single"/>
                </w:rPr>
                <w:t>6</w:t>
              </w:r>
            </w:hyperlink>
            <w:hyperlink w:anchor="i24e79a96b66f4be1947ffd8e83bf4eab_106">
              <w:r>
                <w:rPr>
                  <w:rStyle w:val="InternetLink"/>
                  <w:rFonts w:ascii="Times New Roman;serif" w:hAnsi="Times New Roman;serif"/>
                  <w:b w:val="false"/>
                  <w:color w:val="000080"/>
                  <w:sz w:val="20"/>
                  <w:u w:val="single"/>
                </w:rPr>
                <w:t>, June 2</w:t>
              </w:r>
            </w:hyperlink>
            <w:hyperlink w:anchor="i24e79a96b66f4be1947ffd8e83bf4eab_106">
              <w:r>
                <w:rPr>
                  <w:rStyle w:val="InternetLink"/>
                  <w:rFonts w:ascii="Times New Roman;serif" w:hAnsi="Times New Roman;serif"/>
                  <w:b w:val="false"/>
                  <w:color w:val="000080"/>
                  <w:sz w:val="20"/>
                  <w:u w:val="single"/>
                </w:rPr>
                <w:t>7</w:t>
              </w:r>
            </w:hyperlink>
            <w:hyperlink w:anchor="i24e79a96b66f4be1947ffd8e83bf4eab_106">
              <w:r>
                <w:rPr>
                  <w:rStyle w:val="InternetLink"/>
                  <w:rFonts w:ascii="Times New Roman;serif" w:hAnsi="Times New Roman;serif"/>
                  <w:b w:val="false"/>
                  <w:color w:val="000080"/>
                  <w:sz w:val="20"/>
                  <w:u w:val="single"/>
                </w:rPr>
                <w:t>, 202</w:t>
              </w:r>
            </w:hyperlink>
            <w:hyperlink w:anchor="i24e79a96b66f4be1947ffd8e83bf4eab_106">
              <w:r>
                <w:rPr>
                  <w:rStyle w:val="InternetLink"/>
                  <w:rFonts w:ascii="Times New Roman;serif" w:hAnsi="Times New Roman;serif"/>
                  <w:b w:val="false"/>
                  <w:color w:val="000080"/>
                  <w:sz w:val="20"/>
                  <w:u w:val="single"/>
                </w:rPr>
                <w:t>5</w:t>
              </w:r>
            </w:hyperlink>
            <w:hyperlink w:anchor="i24e79a96b66f4be1947ffd8e83bf4eab_106">
              <w:r>
                <w:rPr>
                  <w:rStyle w:val="InternetLink"/>
                  <w:rFonts w:ascii="Times New Roman;serif" w:hAnsi="Times New Roman;serif"/>
                  <w:b w:val="false"/>
                  <w:color w:val="000080"/>
                  <w:sz w:val="20"/>
                  <w:u w:val="single"/>
                </w:rPr>
                <w:t xml:space="preserve"> and June </w:t>
              </w:r>
            </w:hyperlink>
            <w:hyperlink w:anchor="i24e79a96b66f4be1947ffd8e83bf4eab_106">
              <w:r>
                <w:rPr>
                  <w:rStyle w:val="InternetLink"/>
                  <w:rFonts w:ascii="Times New Roman;serif" w:hAnsi="Times New Roman;serif"/>
                  <w:b w:val="false"/>
                  <w:color w:val="000080"/>
                  <w:sz w:val="20"/>
                  <w:u w:val="single"/>
                </w:rPr>
                <w:t>28</w:t>
              </w:r>
            </w:hyperlink>
            <w:hyperlink w:anchor="i24e79a96b66f4be1947ffd8e83bf4eab_106">
              <w:r>
                <w:rPr>
                  <w:rStyle w:val="InternetLink"/>
                  <w:rFonts w:ascii="Times New Roman;serif" w:hAnsi="Times New Roman;serif"/>
                  <w:b w:val="false"/>
                  <w:color w:val="000080"/>
                  <w:sz w:val="20"/>
                  <w:u w:val="single"/>
                </w:rPr>
                <w:t>, 202</w:t>
              </w:r>
            </w:hyperlink>
            <w:hyperlink w:anchor="i24e79a96b66f4be1947ffd8e83bf4eab_106">
              <w:r>
                <w:rPr>
                  <w:rStyle w:val="InternetLink"/>
                  <w:rFonts w:ascii="Times New Roman;serif" w:hAnsi="Times New Roman;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106">
              <w:r>
                <w:rPr>
                  <w:rStyle w:val="InternetLink"/>
                  <w:rFonts w:ascii="Times New Roman;serif" w:hAnsi="Times New Roman;serif"/>
                  <w:b w:val="false"/>
                  <w:strike w:val="false"/>
                  <w:dstrike w:val="false"/>
                  <w:color w:val="000000"/>
                  <w:sz w:val="20"/>
                  <w:u w:val="none"/>
                  <w:effect w:val="non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109">
              <w:r>
                <w:rPr>
                  <w:rStyle w:val="InternetLink"/>
                  <w:rFonts w:ascii="Times New Roman;serif" w:hAnsi="Times New Roman;serif"/>
                  <w:b w:val="false"/>
                  <w:color w:val="000080"/>
                  <w:sz w:val="20"/>
                  <w:u w:val="single"/>
                </w:rPr>
                <w:t>Consolidated Statements of Shareholders’ Equity for the Years Ended June 2</w:t>
              </w:r>
            </w:hyperlink>
            <w:hyperlink w:anchor="i24e79a96b66f4be1947ffd8e83bf4eab_109">
              <w:r>
                <w:rPr>
                  <w:rStyle w:val="InternetLink"/>
                  <w:rFonts w:ascii="Times New Roman;serif" w:hAnsi="Times New Roman;serif"/>
                  <w:b w:val="false"/>
                  <w:color w:val="000080"/>
                  <w:sz w:val="20"/>
                  <w:u w:val="single"/>
                </w:rPr>
                <w:t>6</w:t>
              </w:r>
            </w:hyperlink>
            <w:hyperlink w:anchor="i24e79a96b66f4be1947ffd8e83bf4eab_109">
              <w:r>
                <w:rPr>
                  <w:rStyle w:val="InternetLink"/>
                  <w:rFonts w:ascii="Times New Roman;serif" w:hAnsi="Times New Roman;serif"/>
                  <w:b w:val="false"/>
                  <w:color w:val="000080"/>
                  <w:sz w:val="20"/>
                  <w:u w:val="single"/>
                </w:rPr>
                <w:t>, 202</w:t>
              </w:r>
            </w:hyperlink>
            <w:hyperlink w:anchor="i24e79a96b66f4be1947ffd8e83bf4eab_109">
              <w:r>
                <w:rPr>
                  <w:rStyle w:val="InternetLink"/>
                  <w:rFonts w:ascii="Times New Roman;serif" w:hAnsi="Times New Roman;serif"/>
                  <w:b w:val="false"/>
                  <w:color w:val="000080"/>
                  <w:sz w:val="20"/>
                  <w:u w:val="single"/>
                </w:rPr>
                <w:t>6</w:t>
              </w:r>
            </w:hyperlink>
            <w:hyperlink w:anchor="i24e79a96b66f4be1947ffd8e83bf4eab_109">
              <w:r>
                <w:rPr>
                  <w:rStyle w:val="InternetLink"/>
                  <w:rFonts w:ascii="Times New Roman;serif" w:hAnsi="Times New Roman;serif"/>
                  <w:b w:val="false"/>
                  <w:color w:val="000080"/>
                  <w:sz w:val="20"/>
                  <w:u w:val="single"/>
                </w:rPr>
                <w:t>, June 2</w:t>
              </w:r>
            </w:hyperlink>
            <w:hyperlink w:anchor="i24e79a96b66f4be1947ffd8e83bf4eab_109">
              <w:r>
                <w:rPr>
                  <w:rStyle w:val="InternetLink"/>
                  <w:rFonts w:ascii="Times New Roman;serif" w:hAnsi="Times New Roman;serif"/>
                  <w:b w:val="false"/>
                  <w:color w:val="000080"/>
                  <w:sz w:val="20"/>
                  <w:u w:val="single"/>
                </w:rPr>
                <w:t>7</w:t>
              </w:r>
            </w:hyperlink>
            <w:hyperlink w:anchor="i24e79a96b66f4be1947ffd8e83bf4eab_109">
              <w:r>
                <w:rPr>
                  <w:rStyle w:val="InternetLink"/>
                  <w:rFonts w:ascii="Times New Roman;serif" w:hAnsi="Times New Roman;serif"/>
                  <w:b w:val="false"/>
                  <w:color w:val="000080"/>
                  <w:sz w:val="20"/>
                  <w:u w:val="single"/>
                </w:rPr>
                <w:t>, 202</w:t>
              </w:r>
            </w:hyperlink>
            <w:hyperlink w:anchor="i24e79a96b66f4be1947ffd8e83bf4eab_109">
              <w:r>
                <w:rPr>
                  <w:rStyle w:val="InternetLink"/>
                  <w:rFonts w:ascii="Times New Roman;serif" w:hAnsi="Times New Roman;serif"/>
                  <w:b w:val="false"/>
                  <w:color w:val="000080"/>
                  <w:sz w:val="20"/>
                  <w:u w:val="single"/>
                </w:rPr>
                <w:t>5</w:t>
              </w:r>
            </w:hyperlink>
            <w:hyperlink w:anchor="i24e79a96b66f4be1947ffd8e83bf4eab_109">
              <w:r>
                <w:rPr>
                  <w:rStyle w:val="InternetLink"/>
                  <w:rFonts w:ascii="Times New Roman;serif" w:hAnsi="Times New Roman;serif"/>
                  <w:b w:val="false"/>
                  <w:color w:val="000080"/>
                  <w:sz w:val="20"/>
                  <w:u w:val="single"/>
                </w:rPr>
                <w:t xml:space="preserve"> and June </w:t>
              </w:r>
            </w:hyperlink>
            <w:hyperlink w:anchor="i24e79a96b66f4be1947ffd8e83bf4eab_109">
              <w:r>
                <w:rPr>
                  <w:rStyle w:val="InternetLink"/>
                  <w:rFonts w:ascii="Times New Roman;serif" w:hAnsi="Times New Roman;serif"/>
                  <w:b w:val="false"/>
                  <w:color w:val="000080"/>
                  <w:sz w:val="20"/>
                  <w:u w:val="single"/>
                </w:rPr>
                <w:t>2</w:t>
              </w:r>
            </w:hyperlink>
            <w:hyperlink w:anchor="i24e79a96b66f4be1947ffd8e83bf4eab_109">
              <w:r>
                <w:rPr>
                  <w:rStyle w:val="InternetLink"/>
                  <w:rFonts w:ascii="Times New Roman;serif" w:hAnsi="Times New Roman;serif"/>
                  <w:b w:val="false"/>
                  <w:color w:val="000080"/>
                  <w:sz w:val="20"/>
                  <w:u w:val="single"/>
                </w:rPr>
                <w:t>8</w:t>
              </w:r>
            </w:hyperlink>
            <w:hyperlink w:anchor="i24e79a96b66f4be1947ffd8e83bf4eab_109">
              <w:r>
                <w:rPr>
                  <w:rStyle w:val="InternetLink"/>
                  <w:rFonts w:ascii="Times New Roman;serif" w:hAnsi="Times New Roman;serif"/>
                  <w:b w:val="false"/>
                  <w:color w:val="000080"/>
                  <w:sz w:val="20"/>
                  <w:u w:val="single"/>
                </w:rPr>
                <w:t>, 202</w:t>
              </w:r>
            </w:hyperlink>
            <w:hyperlink w:anchor="i24e79a96b66f4be1947ffd8e83bf4eab_109">
              <w:r>
                <w:rPr>
                  <w:rStyle w:val="InternetLink"/>
                  <w:rFonts w:ascii="Times New Roman;serif" w:hAnsi="Times New Roman;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109">
              <w:r>
                <w:rPr>
                  <w:rStyle w:val="InternetLink"/>
                  <w:rFonts w:ascii="Times New Roman;serif" w:hAnsi="Times New Roman;serif"/>
                  <w:b w:val="false"/>
                  <w:strike w:val="false"/>
                  <w:dstrike w:val="false"/>
                  <w:color w:val="000000"/>
                  <w:sz w:val="20"/>
                  <w:u w:val="none"/>
                  <w:effect w:val="none"/>
                </w:rPr>
                <w:t>56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112">
              <w:r>
                <w:rPr>
                  <w:rStyle w:val="InternetLink"/>
                  <w:rFonts w:ascii="Times New Roman;serif" w:hAnsi="Times New Roman;serif"/>
                  <w:b w:val="false"/>
                  <w:color w:val="000080"/>
                  <w:sz w:val="20"/>
                  <w:u w:val="single"/>
                </w:rPr>
                <w:t>Consolidated Statements of Cash Flows for the Years Ended June 2</w:t>
              </w:r>
            </w:hyperlink>
            <w:hyperlink w:anchor="i24e79a96b66f4be1947ffd8e83bf4eab_112">
              <w:r>
                <w:rPr>
                  <w:rStyle w:val="InternetLink"/>
                  <w:rFonts w:ascii="Times New Roman;serif" w:hAnsi="Times New Roman;serif"/>
                  <w:b w:val="false"/>
                  <w:color w:val="000080"/>
                  <w:sz w:val="20"/>
                  <w:u w:val="single"/>
                </w:rPr>
                <w:t>6</w:t>
              </w:r>
            </w:hyperlink>
            <w:hyperlink w:anchor="i24e79a96b66f4be1947ffd8e83bf4eab_112">
              <w:r>
                <w:rPr>
                  <w:rStyle w:val="InternetLink"/>
                  <w:rFonts w:ascii="Times New Roman;serif" w:hAnsi="Times New Roman;serif"/>
                  <w:b w:val="false"/>
                  <w:color w:val="000080"/>
                  <w:sz w:val="20"/>
                  <w:u w:val="single"/>
                </w:rPr>
                <w:t>, 202</w:t>
              </w:r>
            </w:hyperlink>
            <w:hyperlink w:anchor="i24e79a96b66f4be1947ffd8e83bf4eab_112">
              <w:r>
                <w:rPr>
                  <w:rStyle w:val="InternetLink"/>
                  <w:rFonts w:ascii="Times New Roman;serif" w:hAnsi="Times New Roman;serif"/>
                  <w:b w:val="false"/>
                  <w:color w:val="000080"/>
                  <w:sz w:val="20"/>
                  <w:u w:val="single"/>
                </w:rPr>
                <w:t>6</w:t>
              </w:r>
            </w:hyperlink>
            <w:hyperlink w:anchor="i24e79a96b66f4be1947ffd8e83bf4eab_112">
              <w:r>
                <w:rPr>
                  <w:rStyle w:val="InternetLink"/>
                  <w:rFonts w:ascii="Times New Roman;serif" w:hAnsi="Times New Roman;serif"/>
                  <w:b w:val="false"/>
                  <w:color w:val="000080"/>
                  <w:sz w:val="20"/>
                  <w:u w:val="single"/>
                </w:rPr>
                <w:t>, June 2</w:t>
              </w:r>
            </w:hyperlink>
            <w:hyperlink w:anchor="i24e79a96b66f4be1947ffd8e83bf4eab_112">
              <w:r>
                <w:rPr>
                  <w:rStyle w:val="InternetLink"/>
                  <w:rFonts w:ascii="Times New Roman;serif" w:hAnsi="Times New Roman;serif"/>
                  <w:b w:val="false"/>
                  <w:color w:val="000080"/>
                  <w:sz w:val="20"/>
                  <w:u w:val="single"/>
                </w:rPr>
                <w:t>7</w:t>
              </w:r>
            </w:hyperlink>
            <w:hyperlink w:anchor="i24e79a96b66f4be1947ffd8e83bf4eab_112">
              <w:r>
                <w:rPr>
                  <w:rStyle w:val="InternetLink"/>
                  <w:rFonts w:ascii="Times New Roman;serif" w:hAnsi="Times New Roman;serif"/>
                  <w:b w:val="false"/>
                  <w:color w:val="000080"/>
                  <w:sz w:val="20"/>
                  <w:u w:val="single"/>
                </w:rPr>
                <w:t>, 202</w:t>
              </w:r>
            </w:hyperlink>
            <w:hyperlink w:anchor="i24e79a96b66f4be1947ffd8e83bf4eab_112">
              <w:r>
                <w:rPr>
                  <w:rStyle w:val="InternetLink"/>
                  <w:rFonts w:ascii="Times New Roman;serif" w:hAnsi="Times New Roman;serif"/>
                  <w:b w:val="false"/>
                  <w:color w:val="000080"/>
                  <w:sz w:val="20"/>
                  <w:u w:val="single"/>
                </w:rPr>
                <w:t>5</w:t>
              </w:r>
            </w:hyperlink>
            <w:hyperlink w:anchor="i24e79a96b66f4be1947ffd8e83bf4eab_112">
              <w:r>
                <w:rPr>
                  <w:rStyle w:val="InternetLink"/>
                  <w:rFonts w:ascii="Times New Roman;serif" w:hAnsi="Times New Roman;serif"/>
                  <w:b w:val="false"/>
                  <w:color w:val="000080"/>
                  <w:sz w:val="20"/>
                  <w:u w:val="single"/>
                </w:rPr>
                <w:t xml:space="preserve"> and June </w:t>
              </w:r>
            </w:hyperlink>
            <w:hyperlink w:anchor="i24e79a96b66f4be1947ffd8e83bf4eab_112">
              <w:r>
                <w:rPr>
                  <w:rStyle w:val="InternetLink"/>
                  <w:rFonts w:ascii="Times New Roman;serif" w:hAnsi="Times New Roman;serif"/>
                  <w:b w:val="false"/>
                  <w:color w:val="000080"/>
                  <w:sz w:val="20"/>
                  <w:u w:val="single"/>
                </w:rPr>
                <w:t>28</w:t>
              </w:r>
            </w:hyperlink>
            <w:hyperlink w:anchor="i24e79a96b66f4be1947ffd8e83bf4eab_112">
              <w:r>
                <w:rPr>
                  <w:rStyle w:val="InternetLink"/>
                  <w:rFonts w:ascii="Times New Roman;serif" w:hAnsi="Times New Roman;serif"/>
                  <w:b w:val="false"/>
                  <w:color w:val="000080"/>
                  <w:sz w:val="20"/>
                  <w:u w:val="single"/>
                </w:rPr>
                <w:t>, 202</w:t>
              </w:r>
            </w:hyperlink>
            <w:hyperlink w:anchor="i24e79a96b66f4be1947ffd8e83bf4eab_112">
              <w:r>
                <w:rPr>
                  <w:rStyle w:val="InternetLink"/>
                  <w:rFonts w:ascii="Times New Roman;serif" w:hAnsi="Times New Roman;serif"/>
                  <w:b w:val="false"/>
                  <w:color w:val="000080"/>
                  <w:sz w:val="20"/>
                  <w:u w:val="single"/>
                </w:rPr>
                <w:t>4</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112">
              <w:r>
                <w:rPr>
                  <w:rStyle w:val="InternetLink"/>
                  <w:rFonts w:ascii="Times New Roman;serif" w:hAnsi="Times New Roman;serif"/>
                  <w:b w:val="false"/>
                  <w:strike w:val="false"/>
                  <w:dstrike w:val="false"/>
                  <w:color w:val="000000"/>
                  <w:sz w:val="20"/>
                  <w:u w:val="none"/>
                  <w:effect w:val="non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118">
              <w:r>
                <w:rPr>
                  <w:rStyle w:val="InternetLink"/>
                  <w:rFonts w:ascii="Times New Roman;serif" w:hAnsi="Times New Roman;serif"/>
                  <w:b w:val="false"/>
                  <w:color w:val="0000FF"/>
                  <w:sz w:val="20"/>
                  <w:u w:val="single"/>
                </w:rPr>
                <w:t>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e79a96b66f4be1947ffd8e83bf4eab_118">
              <w:r>
                <w:rPr>
                  <w:rStyle w:val="InternetLink"/>
                  <w:rFonts w:ascii="Times New Roman;serif" w:hAnsi="Times New Roman;serif"/>
                  <w:b w:val="false"/>
                  <w:strike w:val="false"/>
                  <w:dstrike w:val="false"/>
                  <w:color w:val="000000"/>
                  <w:sz w:val="20"/>
                  <w:u w:val="none"/>
                  <w:effect w:val="none"/>
                </w:rPr>
                <w:t>59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To the Board of Directors and Shareholders of Fabrinet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Fabrinet and its subsidiaries (the “Company”) as of June 26, 2026 and June 27, 2025, and the related consolidated statements of operations and comprehensive income, consolidated statements of shareholders’ equity and consolidated statements of cash flows for each of the three years in the period ended June 26, 2026, including the related notes (collectively referred to as the “consolidated financial statements”). We also have audited the Company's internal control over financial reporting as of June 26, 2026, based on criteria established in Internal Control - Integrated Framework (2013) issued by the Committee of Sponsoring Organizations of the Treadway Commission (COSO).</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June 26, 2026 and June 27, 2025, and the results of its operations and its cash flows for each of the three years in the period ended June 26, 2026 in conformity with accounting principles generally accepted in the United States of America. Also in our opinion, the Company maintained, in all material respects, effective internal control over financial reporting as of June 26, 2026, based on criteria established in Internal Control - Integrated Framework (2013) issued by the COSO.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 recognition – Identifying and evaluating terms and conditions in contracts for the timing of revenue recognition.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management applies five-step in their determination of revenue to be recognized and the control of the product is typically transferred to the customer depending on the terms of the contract. The management applies judgment in identifying and evaluating any terms and conditions when the Company has an enforceable right to payment. For the fiscal year ended June 26, 2026, the Company’s revenue was $4,641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revenue recognition, specifically the identification and evaluation of terms and conditions in contracts for the timing of revenue recognition, is a critical audit matter as there is a significant amount of judgment exercised by management in identifying and evaluating terms and conditions in contracts that impact the timing of revenue recognition. This in turn led to a high degree of auditor judgment and an increased extent of audit effort in performing our audit procedures to evaluate whether terms and conditions in contracts and point of controls transferred were appropriately identified and evaluated by management.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connected with forming our overall opinion on the consolidated financial statements. These procedures involved testing the effectiveness of internal controls relating to the revenue recognition process, including controls related to the identification and evaluation of terms and conditions in contracts and the determination of the appropriate amount and timing of revenue recognition based on the contractual terms. These procedures also included, among others: (i) assessed the terms in the customer contract and evaluated the appropriateness of management’s application of their accounting policies and determination of revenue recognition; (ii) tested the mathematical accuracy of management’s calculations of revenue and the associated timing of revenue recognized in the consolidated financial statements; and; (iii) selected samples of sales transaction from the period within a defined period before and after the Company’s fiscal year ended and obtained the invoices and proof of delivery to evaluate whether revenue was recognized in the appropriate fiscal year.</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ABAS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Bangkok, Thailand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18,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33"/>
        <w:gridCol w:w="2378"/>
        <w:gridCol w:w="2399"/>
        <w:gridCol w:w="181"/>
        <w:gridCol w:w="721"/>
        <w:gridCol w:w="109"/>
        <w:gridCol w:w="109"/>
        <w:gridCol w:w="109"/>
        <w:gridCol w:w="109"/>
        <w:gridCol w:w="181"/>
        <w:gridCol w:w="721"/>
        <w:gridCol w:w="155"/>
      </w:tblGrid>
      <w:tr>
        <w:trPr/>
        <w:tc>
          <w:tcPr>
            <w:tcW w:w="303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of U.S. dollars, except share data and par value)</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27,</w:t>
              <w:br/>
              <w:t>2025</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627,819 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Trade accounts receivable, net of allowance for expected credit losses of $1,050 and $1,344,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1,017,933 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581,015 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2,428,839 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380,640 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right-of-use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3,910,961 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2,831,432 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637,417 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 portion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bonus and related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 current portion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1,402,625 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809,842 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 portion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 non-current portion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849,620 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19)</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shares (5,000,000 shares authorized, $0.01 par value; no shares issued and outstanding as of June 26, 2026 and June 27, 2025)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Ordinary shares (500,000,000 shares authorized, $0.01 par value; 39,722,708 shares and 39,602,152 shares issued as of June 26, 2026 and June 27, 2025, respectively; and 35,834,864 shares and 35,728,074 shares outstanding as of June 26, 2026 and June 27, 2025,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237,881 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Less: Treasury shares (3,887,844 shares and 3,874,078 shares as of June 26, 2026 and June 27, 2025,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(360,056)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2,093,297 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1,981,812 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3,910,961 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2,831,432 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135"/>
        <w:gridCol w:w="1738"/>
        <w:gridCol w:w="1744"/>
        <w:gridCol w:w="211"/>
        <w:gridCol w:w="976"/>
        <w:gridCol w:w="109"/>
        <w:gridCol w:w="109"/>
        <w:gridCol w:w="109"/>
        <w:gridCol w:w="109"/>
        <w:gridCol w:w="211"/>
        <w:gridCol w:w="976"/>
        <w:gridCol w:w="109"/>
        <w:gridCol w:w="109"/>
        <w:gridCol w:w="109"/>
        <w:gridCol w:w="109"/>
        <w:gridCol w:w="211"/>
        <w:gridCol w:w="976"/>
        <w:gridCol w:w="155"/>
      </w:tblGrid>
      <w:tr>
        <w:trPr/>
        <w:tc>
          <w:tcPr>
            <w:tcW w:w="21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(2,526,849)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(78,481)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277,605 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available-for-sale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derivative instruments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retirement benefits plan – prior service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463,701 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301,155 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number of ordinary shares outstanding (thousands of shares)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tbl>
      <w:tblPr>
        <w:tblW w:w="10797" w:type="dxa"/>
        <w:jc w:val="left"/>
        <w:tblInd w:w="0" w:type="dxa"/>
        <w:tblLayout w:type="fixed"/>
        <w:tblCellMar>
          <w:top w:w="28" w:type="dxa"/>
          <w:left w:w="28" w:type="dxa"/>
          <w:bottom w:w="28" w:type="dxa"/>
          <w:right w:w="28" w:type="dxa"/>
        </w:tblCellMar>
      </w:tblPr>
      <w:tblGrid>
        <w:gridCol w:w="807"/>
        <w:gridCol w:w="308"/>
        <w:gridCol w:w="236"/>
        <w:gridCol w:w="540"/>
        <w:gridCol w:w="541"/>
        <w:gridCol w:w="171"/>
        <w:gridCol w:w="109"/>
        <w:gridCol w:w="109"/>
        <w:gridCol w:w="109"/>
        <w:gridCol w:w="233"/>
        <w:gridCol w:w="233"/>
        <w:gridCol w:w="191"/>
        <w:gridCol w:w="109"/>
        <w:gridCol w:w="109"/>
        <w:gridCol w:w="109"/>
        <w:gridCol w:w="413"/>
        <w:gridCol w:w="413"/>
        <w:gridCol w:w="251"/>
        <w:gridCol w:w="109"/>
        <w:gridCol w:w="109"/>
        <w:gridCol w:w="109"/>
        <w:gridCol w:w="420"/>
        <w:gridCol w:w="421"/>
        <w:gridCol w:w="221"/>
        <w:gridCol w:w="109"/>
        <w:gridCol w:w="109"/>
        <w:gridCol w:w="109"/>
        <w:gridCol w:w="360"/>
        <w:gridCol w:w="361"/>
        <w:gridCol w:w="341"/>
        <w:gridCol w:w="109"/>
        <w:gridCol w:w="109"/>
        <w:gridCol w:w="109"/>
        <w:gridCol w:w="488"/>
        <w:gridCol w:w="488"/>
        <w:gridCol w:w="221"/>
        <w:gridCol w:w="109"/>
        <w:gridCol w:w="109"/>
        <w:gridCol w:w="109"/>
        <w:gridCol w:w="488"/>
        <w:gridCol w:w="488"/>
        <w:gridCol w:w="201"/>
      </w:tblGrid>
      <w:tr>
        <w:trPr/>
        <w:tc>
          <w:tcPr>
            <w:tcW w:w="8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of U.S. dollars, except</w:t>
              <w:br/>
              <w:t>share data)</w:t>
            </w:r>
          </w:p>
        </w:tc>
        <w:tc>
          <w:tcPr>
            <w:tcW w:w="2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w:t>
              <w:br/>
              <w:t>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39,284,176 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1,464,589 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1,468,658 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211,726 shares held as treasury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(39,490)</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28,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39,457,462 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(234,323)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1,760,770 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1,745,745 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561,858 shares held as treasury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(125,733)</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27,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39,602,152 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237,881 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(360,056)</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2,093,297 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1,981,812 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13,766 shares held as treasury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26,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39,722,708 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251,854 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(365,287)</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2,566,324 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2,454,256 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24e79a96b66f4be1947ffd8e83bf4ea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3"/>
        <w:gridCol w:w="1869"/>
        <w:gridCol w:w="1875"/>
        <w:gridCol w:w="211"/>
        <w:gridCol w:w="826"/>
        <w:gridCol w:w="109"/>
        <w:gridCol w:w="109"/>
        <w:gridCol w:w="109"/>
        <w:gridCol w:w="109"/>
        <w:gridCol w:w="211"/>
        <w:gridCol w:w="886"/>
        <w:gridCol w:w="109"/>
        <w:gridCol w:w="109"/>
        <w:gridCol w:w="109"/>
        <w:gridCol w:w="109"/>
        <w:gridCol w:w="211"/>
        <w:gridCol w:w="826"/>
        <w:gridCol w:w="155"/>
      </w:tblGrid>
      <w:tr>
        <w:trPr/>
        <w:tc>
          <w:tcPr>
            <w:tcW w:w="22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6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 S. dollars)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 and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non-marketable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(premium)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obsolescence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allowance for expected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exchange rate and fair value of foreign currency forward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fair value at hedge inception of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non-marketable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related to net share settlement of restricted share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Movement in cash, cash equivalents and restricted cash</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tbl>
      <w:tblPr>
        <w:tblW w:w="9806" w:type="dxa"/>
        <w:jc w:val="left"/>
        <w:tblInd w:w="0" w:type="dxa"/>
        <w:tblLayout w:type="fixed"/>
        <w:tblCellMar>
          <w:top w:w="28" w:type="dxa"/>
          <w:left w:w="28" w:type="dxa"/>
          <w:bottom w:w="28" w:type="dxa"/>
          <w:right w:w="28" w:type="dxa"/>
        </w:tblCellMar>
      </w:tblPr>
      <w:tblGrid>
        <w:gridCol w:w="2052"/>
        <w:gridCol w:w="1806"/>
        <w:gridCol w:w="1811"/>
        <w:gridCol w:w="211"/>
        <w:gridCol w:w="826"/>
        <w:gridCol w:w="109"/>
        <w:gridCol w:w="109"/>
        <w:gridCol w:w="109"/>
        <w:gridCol w:w="109"/>
        <w:gridCol w:w="211"/>
        <w:gridCol w:w="826"/>
        <w:gridCol w:w="109"/>
        <w:gridCol w:w="109"/>
        <w:gridCol w:w="109"/>
        <w:gridCol w:w="109"/>
        <w:gridCol w:w="211"/>
        <w:gridCol w:w="826"/>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5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 S. dollars)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software and equipment related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sums to the total of the same amounts shown in the consolidated statements of cash flows:</w:t>
      </w:r>
    </w:p>
    <w:tbl>
      <w:tblPr>
        <w:tblW w:w="7647" w:type="dxa"/>
        <w:jc w:val="left"/>
        <w:tblInd w:w="0" w:type="dxa"/>
        <w:tblLayout w:type="fixed"/>
        <w:tblCellMar>
          <w:top w:w="28" w:type="dxa"/>
          <w:left w:w="28" w:type="dxa"/>
          <w:bottom w:w="28" w:type="dxa"/>
          <w:right w:w="28" w:type="dxa"/>
        </w:tblCellMar>
      </w:tblPr>
      <w:tblGrid>
        <w:gridCol w:w="1271"/>
        <w:gridCol w:w="1117"/>
        <w:gridCol w:w="1122"/>
        <w:gridCol w:w="211"/>
        <w:gridCol w:w="826"/>
        <w:gridCol w:w="109"/>
        <w:gridCol w:w="109"/>
        <w:gridCol w:w="109"/>
        <w:gridCol w:w="109"/>
        <w:gridCol w:w="211"/>
        <w:gridCol w:w="826"/>
        <w:gridCol w:w="109"/>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 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w:t>
      </w:r>
      <w:r>
        <w:rPr>
          <w:color w:val="000000"/>
        </w:rPr>
        <w:t>    </w:t>
      </w:r>
      <w:r>
        <w:rPr>
          <w:rFonts w:ascii="Times New Roman;serif" w:hAnsi="Times New Roman;serif"/>
          <w:b/>
          <w:color w:val="000000"/>
          <w:sz w:val="20"/>
        </w:rPr>
        <w:t>Business and organization</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 (“Fabrinet” or the “Parent Company”) was incorporated on August 12, 1999, and commenced operations on January 1, 2000. The Parent Company is an exempted company incorporated in the Cayman Islands, British West Indies. The “Company” refers to Fabrinet and its subsidiaries as a group.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advanced optical packaging and precision optical, electro-mechanical and electronic manufacturing services to original equipment manufacturers of complex products, such as optical communication components, modules and sub-systems, automotive components, industrial lasers, medical devices and sensors. The Company offers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The Company is capable of producing a wide variety of high complexity products in any mix and any volume. The principal subsidiaries of Fabrinet include Fabrinet Co., Ltd. (“Fabrinet Thailand”), Casix, Inc. (“Casix”), Fabrinet West, Inc. (“Fabrinet West”) and Fabrinet Israel Ltd. (“Fabrinet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a 52-53 week fiscal year ending on the last Friday in June. Fiscal years 2026, 2025, and 2024 ended on June 26, 2026, June 27, 2025, and June 28, 2024, respectively, and each consisted of 52 weeks.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accounting principles generally accepted in the United States of America (“U.S. GAAP”) and include Fabrinet and its subsidiaries. All inter-company accounts and transactions have been eliminated.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consolidated financial statements in conformity with U.S. GAAP requires management to make estimates and assumptions that affect the reported amounts of assets and liabilities and disclosure of contingent liabilities at the date of the financial statements and the reported amount of total revenues and expenses during the year. The Company bases estimates on historical experience and various assumptions about the future that are believed to be reasonable based on available information. The Company’s reported financial position or results of operations may be materially different under different conditions or when using different estimates and assumptions, particularly with respect to significant accounting policies, which are discussed below. Significant assumptions are used in accounting for share-based compensation, the fair value of warrant shares at grant date, allowance for expected credit losses, income taxes, and inventory obsolescence. Due to the inherent uncertainty involved in making estimates, actual results reported in future periods may be different from these estimates. In the event that the Company's estimates or assumptions prove to be different from actual results, adjustments will be made in subsequent periods to reflect more current information.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transactions and translation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are presented in United States dollars (“$” or “USD”). The functional currency of Fabrinet and most of its subsidiaries is the USD.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subsidiaries that use USD as their functional currency, transactions denominated in a currency other than USD are translated into USD at the rates of exchange in effect at the date of the transaction. Monetary assets and liabilities denominated in foreign currencies are translated into the functional currency at the exchange rate prevailing at the consolidated balance sheet dates. Transaction gains and losses are included in foreign exchange gain (loss) in the accompanying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 translates the assets and liabilities of its subsidiaries that do not use USD as their functional currency into USD using exchange rates in effect at the end of each period. Revenue and expenses for such subsidiaries are translated using rates that approximate those in effect during the period. Gains and losses from these translations are recognized in foreign currency translation adjustment included in accumulated other comprehensive income (loss) (“AOCI”) in the Company’s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highly liquid investments with original maturities of three months or less from the date of purchase are classified as cash equivalents. Cash and cash equivalents consist of cash deposited in checking accounts, time deposits with maturities of three months or less, money market accounts, and short-term investments with maturities of three months or less at the date of purchase.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determines the appropriate classification of its investments at the time of purchase. The maturities of the Company’s short-term investments generally range from three months to three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short-term investments in debt securities are carried at either amortized cost or fair value. Investments in debt securities that the Company has the positive intent and ability to hold to maturity are carried at amortized cost and classified as held-to-maturity. Investments in debt securities that are not classified as held-to-maturity are carried at fair value and classified as available-for-sale with any unrealized gains and losses included in AOCI in the consolidated balance sheets. The Company determines realized gains or losses on sale of available-for-sale debt securities on a specific identification method and records such gains or losses as interest income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Held-to-maturity debt securities require the use of the current expected credit losses (“CECL”) impairment model to assess the expected credit loss. According to the CECL model, the Company requires the immediate recognition of estimated expected credit losses over the life of the financial instrument through the allowance for credit losses account. The allowance for credit losses is a valuation account that is deducted from, or added to, the amortized cost basis of the financial asset to present the net amount expected to be collected on the financial asset. In determining expected credit losses, the Company considers relevant qualitative factors including, but not limited to, term and structure of the instrument, credit rating by rating agencies and historic credit losses adjusted for current conditions and reasonable and supportable forecasts.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are required to be individually evaluated for impairment. A security is considered impaired if the fair value of the security is less than its amortized cost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impairment is considered when (i) the Company has the intent to sell the security, (ii) it is more likely than not that the Company will be required to sell the security before recovery of the entire amortized cost basis, or (iii) the Company does not expect to recover the entire amortized cost basis of the security.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impairment is considered based on condition (i) or (ii), the entire difference between the amortized cost and the fair value of the debt security is recognized as interest income and other income (expense), net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impairment is considered based on condition (iii), the amount representing credit losses (defined as the difference between the present value of the cash flows expected to be collected and the amortized cost basis of the debt security) is recognized in interest and other income (expense), net in the consolidated statements of operations and comprehensive income, and any remaining unrealized losses are included in AOCI in the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Trade 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are recorded and carried at the original invoiced amount less an allowance for any potential uncollectible amounts. The Company estimates expected credit losses for the allowance for expected credit losses based upon its assessment of various factors, including historical experience, the age of the accounts receivable balances, credit quality of its customers, current economic conditions, reasonable and supportable forecasts of future economic conditions, and other factors that may affect the Company’s ability to collect from customers. The estimated credit loss allowance is recorded as selling, general and administrative expenses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asset is recognized when the Company has recognized revenues prior to generating an invoice for payment. Contract assets are recognized in the consolidated balance sheets under other current assets and transferred to accounts receivable when rights to payment become unconditional. The Company estimates expected credit losses for the allowance for contract assets based upon its assessment of various factors, including historical experience, the age of the contract assets balances, credit quality of its customers, current economic conditions, reasonable and supportable forecasts of future economic conditions, and other factors that may affect the Company’s ability to collect from customers. The estimated credit loss allowance is recorded as selling, general and administrative expenses in the Company's consolidated statements of operations and comprehensive income.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liability is recognized when the Company has advance payment arrangements with customers. The contract liabilities balance is normally recognized as revenue within six months.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is stated at the lower of cost or market value. Cost is estimated using the standard costing method, computed on a first-in, first-out basis, with adjustments for variances to reflect actual costs not in excess of net realizable market value. Market value is the estimated selling price in the ordinary course of business, less the costs of completion and selling expenses. The Company assesses the valuation of inventory on a quarterly basis and writes down the value for estimated excess and obsolete inventory based upon estimates of future demand.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at inception. The Company applies the guidance in Accounting Standards Codification (“ASC”) 842 to determine whether a contract is, or contains, a lease. A contract is or contains a lease if the contract conveys the right to control the use of identified property, plant, or equipment (an identified asset) for a period of time in exchange for consideration. Operating leases are included in operating lease right of use (“ROU”) assets and operating lease liabilities within the Company’s consolidated balance sheets. The Company rents certain real estate under agreements that are classified as operating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at commencement date. The Company's leases generally do not provide an implicit rate, nor is the implicit rate readily determinable. When the implicit rate is not readily determinable, the Company uses its incremental borrowing rate based on the information available at the lease commencement date in determining the present value of future payment. The operating lease ROU assets also include any lease payments made and exclude lease incentives and initial direct costs incurred. Variable lease payments are expensed as incurred and are not included within the ROU asset and lease liability calculation. Variable lease payments primarily include reimbursements of costs incurred by lessors for common area maintenance and utilities. The Company’s lease terms may include options to extend or terminate the lease when it is reasonably certain that the Company will exercise that option.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Leases with an initial term of 12 months or less are not recorded on the balance sheet. The Company recognizes lease expense for these leases on a straight-line basis over the lease term. The Company does not account for lease components (e.g., fixed payments including rent) separately from the non-lease components (e.g., common-area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Land is stated at historical cost. Other property, plant and equipment, except for construction in process and machinery under installation, are stated at historical cost less accumulated depreciation. Repair and maintenance costs are expensed as incurred. Depreciation is calculated using the straight-line method to write-off the cost of each asset to its residual value over its estimated useful life as follows:</w:t>
      </w:r>
    </w:p>
    <w:tbl>
      <w:tblPr>
        <w:tblW w:w="6014" w:type="dxa"/>
        <w:jc w:val="left"/>
        <w:tblInd w:w="0" w:type="dxa"/>
        <w:tblLayout w:type="fixed"/>
        <w:tblCellMar>
          <w:top w:w="28" w:type="dxa"/>
          <w:left w:w="28" w:type="dxa"/>
          <w:bottom w:w="28" w:type="dxa"/>
          <w:right w:w="28" w:type="dxa"/>
        </w:tblCellMar>
      </w:tblPr>
      <w:tblGrid>
        <w:gridCol w:w="1141"/>
        <w:gridCol w:w="1002"/>
        <w:gridCol w:w="1007"/>
        <w:gridCol w:w="237"/>
        <w:gridCol w:w="237"/>
        <w:gridCol w:w="237"/>
        <w:gridCol w:w="629"/>
        <w:gridCol w:w="629"/>
        <w:gridCol w:w="895"/>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5-30 years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6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3-5 years</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Construction in process and machinery under installation is stated at historic cost and depreciation begins after it is constructed and fully installed and is ready for its intended use in the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Gains and losses on disposal are determined by comparing proceeds with carrying amounts and are included in other income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long-lived assets or asset groups for recoverability on a quarterly basis for any events or changes in circumstances that indicate that their carrying amount may not be recoverable. Recoverability of long-lived assets or asset groups is measured by comparing their carrying amount to the projected undiscounted cash flows that the long-lived assets or asset groups are expected to generate. If such assets are considered to be impaired, the impairment loss recognized, if any, is the amount by which the carrying amount of the long-lived assets exceeds its fair value.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Intangibles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Intangibles are stated at historical cost less amortization. Amortization of other intangibles is calculated using the straight-line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are reviewed for impairment quarterly or more frequently whenever changes or circumstances indicate the carrying amount of related assets may not be recoverable.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Treasury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Treasury share purchases are accounted for under the cost method whereby the entire cost of the acquired stock is recorded as treasury shares. Gains and losses in excess of par value on the subsequent reissuance of shares are credited or charged to additional paid-in capital in the consolidated balance sheets using the average-cost method.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Borrowing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 costs are accounted for on an accrual basis and are charged to the consolidated statements of operations and comprehensive income in the year incurred, except for interest costs on general and specific borrowings attributable to finance certain qualifying assets. Such costs to finance qualifying assets are capitalized during the period of time that is required to complete and prepare the assets for their intended use, as part of the cost of the assets. All other borrowing costs are expensed as incurred.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Where funds are not borrowed for a specific acquisition, construction or production of assets, the capitalization rate used to determine the amount of interest to be capitalized is the weighted average interest rate applicable to the Company’s outstanding borrowings during the year. Where funds are borrowed specifically for the acquisition, construction or production of assets, the amount of borrowing costs eligible for capitalization on the respective assets is determined as the actual borrowing costs are incurred on that borrowing during the respective periods.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inputs for similar assets and liabilities in active markets other than quoted prices included within Level 1 that are observable for the asset or liability, either directly or indirectly, for substantially the full term of the asset or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inputs that are significant to the fair value measurement and unobservable (i.e. supported by little or no market activity), which require the reporting entity to develop its own valuation techniques and assumptions.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which include cash and cash equivalents, trade accounts receivable, contract assets, trade accounts payable, and contract liabilities, approximate their fair values due to their short maturities. The carrying amounts of borrowings approximate their fair values as the applicable interest rate is based on market interest rates. The particular recognition methods adopted are disclosed in the individual policy statements associated with each item.</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derivative assets and liabilities are measured at fair value and recognized on the consolidated balance sheets by offsetting the fair value amounts under master netting arrangements. The Company presents derivative assets and liabilities in the consolidated balance sheets as follows: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derivative for which the fair value is a net liability is classified in total as current.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derivative for which the fair value is a net asset is classified in total as current.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presentation in consolidated statements of cash flows are classified in the same line item as the underlying item.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applies hedge accounting to arrangements that qualify and are designated for cash flow or fair value hedge accounting treatment. Hedge accounting is discontinued prospectively if the hedging relationship ceases to be effective or the hedging or hedged items cease to exist as a result of maturity, sale, termination or cancellation.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and qualifying as hedges of the exposure to variability in expected future cash flows, or other types of forecasted transactions, are considered cash flow hedges which include foreign currency forward contracts and interest rate swap. In a cash flow hedging relationship, the change in the fair value of the hedging derivative is initially recorded in AOCI in the consolidated balance sheets, gain or loss on the derivative instrument is reclassified into earnings in the same period or periods during which the hedged forecasted transaction affects earnings. The reclassified amounts are presented in the same income statement line item as the earnings effect of the hedged item.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fair value measurement guidance, the Company’s accounting policy is to measure the credit risk of its derivative financial instruments that are subject to master netting agreements on a net basis by counterparty portfolio. The Company executes derivative instruments with financial institutions that are credit-worthy, which the Company defines as institutions that hold an investment grade credit rating.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and cash equivalents, short-term investments, derivatives, accounts receivable and contract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The Company limits its short-term investments in marketable securities to securities with a maturity not in excess of three years and securities that are rated A1, P-1, F1, or better.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derivative contracts with financial institutions with reputable credit and monitors the credit profiles of these counterparties.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performs ongoing credit evaluations for credit worthiness of its customers and usually does not require collateral from its customers. Management has implemented a program to closely monitor near term cash collection and credit exposures to mitigate any material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derives revenues primarily from the assembly of products under supply agreements with its customers and the fabrication of customized optics and glass. The Company recognizes revenue relating to contracts with customers that depicts the transfer of promised goods or services to customers in an amount reflecting the consideration to which the Company expects to be entitled in exchange for such goods or services. In order to meet this requirement, the Company applies the following five steps: (1) identify the contract with a customer, (2) identify the performance obligations under the contract, (3) determine the transaction price, (4) allocate the transaction price to the performance obligations under the contract, and (5) recognize revenue when a performance obligation is satisfied. Revenue is recognized net of any taxes collected from customers, which is subsequently remitted to governmental authorities.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contractual promise to transfer a distinct good or service to the customer. In contracts with multiple performance obligations, the Company identifies each performance obligation and evaluates whether the performance obligation is distinct within the context of the contract at contract inception. The majority of the Company’s contracts have a single performance obligation, as the promise to transfer the individual goods or services is not separately identifiable from other promises under the contracts and, therefore, is not distinct.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of finished goods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manufactures products that are customized to customers’ specifications; however, control of the products is typically transferred to the customer at the point in time the product is either shipped or delivered, depending on the terms of the arrangement, as the criteria for over time recognition are not met. On evaluation of the contracts, the Company identified that there were no contractual rights to bill profit for work in progress in the event of a contract termination, which is expected to be infrequent. Further, in limited circumstances, contracts provide for substantive acceptance by the customer, which results in the deferral of revenue until formal notice of acceptance is received from the customer. Judgment may be required in determining if an acceptance clause provides for substantive acceptance.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customers may request the Company to store finished products at the Company’s warehouse where customers bear risks of loss themselves. In these instances, the Company receives a written request from the customer asking the Company to hold the inventory at the Company’s warehouse and refrain from using the ordered goods to fulfill other customer orders. In these situations, revenue is only recognized when the completed goods are ready for shipment and transferred to the Company’s warehouse.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Customers generally are obligated to purchase finished goods that the Company has manufactured according to their demand requirements. Materials that are not consumed by customers within a specified period of time, or are no longer required due to a product’s cancellation or end-of-life, are typically designated as excess or obsolete inventory under the Company’s contracts. Once materials are designated as either excess or obsolete inventory, customers are typically required to purchase such inventory from the Company even if the customer has chosen to cancel production of the related products. The excess or obsolete inventory is shipped to the customer and revenue is recognized upon shipment.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contract’s transaction price is allocated to each distinct performance obligation and recognized as revenue when, or as, the performance obligation is satisfied. In determining the net consideration to which the Company expects to be entitled, the Company evaluates whether the price is subject to refund or adjustment. The Company generally does not grant return privileges, except for in the case of defective products during the warranty period. The Company generally provides a warranty of between one to five years on any given product. These standard warranties are assurance-type warranties, and the Company does not offer any services in addition to the assurance that the product will continue to work as specified.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net of rebates and other similar allowances. Revenues are recognized only if these estimates can be reasonably and reliably determined. The Company estimates expected rebates and other similar allowances based on historical results taking into consideration the type of customer, the type of transaction and the specifics of each arrangement. The Company considers such estimated rebates and other similar allowances as variable consideration when allocating the transaction price to the extent it is probable that there will not be a significant reversal of cumulative revenue recognized. The estimate is primarily based on the most likely level of consideration to be paid to the customer under the specific terms of each arrangement.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services for customers that are related to the Company’s manufacturing activities. In many cases, although the nature of work performed is that of a service, revenue is only recognized upon shipment of the product because the customer has specific requirements as to how many items can be shipped at any given point in time, i.e. at point-in-time. The related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of $205.6 million, $174.8 million and $122.6 million were recognized in the consolidated statements of operations and comprehensive income for the years ended June 26, 2026, June 27, 2025 and June 28, 2024,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incremental costs of obtaining a contract with a customer are recognized as an asset (not expensed as incurred) if such costs are expected to be recovered. Incremental costs of obtaining a contract are costs that the Company would not have incurred if the contract had not been obtained (e.g., sales commissions or similar incentive payments linked directly to new or modified customer contracts). Costs that would have been incurred regardless of whether a customer contract was obtained (e.g., costs of pursuing the contract, legal advice, etc.) are expensed as incurred, unless such costs are explicitly chargeable to the customer. During the years ended June 26, 2026, June 27, 2025 and June 28, 2024, the Company did not have any incremental costs of obtaining a contract.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Shipping and Handling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Shipping costs billed to customers are recorded as revenue. Shipping and handling expense related to costs incurred to deliver product are recognized within cost of goods sold. The Company accounts for shipping and handling activities that occur after control has transferred as a fulfillment cost, as opposed to a separate performance obligation, and the costs of shipping and handling are recognized concurrently with the related revenue.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Warranty provision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Provisions for estimated expenses relating to product warranties are made at the time the products are sold using historical experience. Generally, this warranty is limited to workmanship and the Company’s liability is capped at the price of the product. The provisions will be adjusted when experience indicates an expected settlement will differ from initial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Warranty cost allowances of $0.4 million were recognized in the consolidated statements of operations and comprehensive income for the year ended June 26, 2026. For the years ended June 27, 2025 and June 28, 2024, the Company's warranty cost allowances were an immaterial amount.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is recognized in the consolidated financial statements based on grant-date fair value. The value of the portion of the award that is ultimately expected to vest is recognized as expense ratably over the requisite service period. For restricted share units and performance share units, the fair values are based on the market value of our ordinary shares on the date of grant.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Customer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customers are accounted for as equity instruments and measured in accordance with ASC 718, Compensation – Stock Compensation. For awards granted to a customer which are not in exchange for distinct goods or services, the fair value of the awards earned based on service or performance conditions is recorded as a reduction of the transaction price, in accordance with ASC 606, Revenue from Contracts with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determine the fair value of warrants in accordance with ASC 718, the Company uses the Black-Scholes option pricing model, based in part on assumptions for which management is required to use judgment. Based on the fair value of the awards, the Company determines the amount of warrant expense based on the customer’s achievement of vesting conditions, which is recorded as a reduction of revenues on the consolidated statement of operations. The dilutive impact of customer warrants is determined using the treasury stock method.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Employee contribution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a defined contribution plan, known as a provident fund, in its subsidiaries in Thailand and the United Kingdom. The assets of these plans are in separate trustee-administered funds. The provident fund is funded by matching payments from employees and by the subsidiaries on a monthly basis. Current contributions to the provident fund are accrued and paid to the fund manager on a monthly basis. The Company sponsors the Fabrinet U.S. 401(k) Retirement Plan, a Defined Contribution Plan under ERISA, at its subsidiaries in the United States, which provides retirement benefits for its eligible employees through tax deferred salary deductions.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Severance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labor protection laws applicable in Thailand and the Company’s subsidiary in Thailand’s employment policy, all employees of such subsidiary with more than 120 days of service are entitled to severance pay on forced termination or retrenchment or in the event that the employee reaches the retirement age of 55. The entitlement to severance pay is determined according to an employee’s individual employment tenure with the Company and is subject to a maximum benefit of 400 days of salary unless otherwise agreed upon in an employee’s employment contract. For employees of other subsidiaries who have a specific termination date, the entitlement to severance pay is determined according to their employment tenure, until their designated termination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these severance liabilities based on an actuarial valuation using the Projected Unit Credit Method, which apply the long-term Thai government bond yield as a discount rate. There are no separate plan assets held in respect to these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liabilities are recognized in the Company’s consolidated balance sheet under non-current liabilities. The related expenses, if incurred during the period, are recognized in the Company’s consolidated statements of operations and comprehensive income as selling, general and administrative expenses. Prior service cost is initially recognized to other comprehensive income (loss) at the date of plan amendment. Such prior service cost is amortized as expenses as a component of net periodic pension cost using the weighted average remaining years of service to full eligibility date for active employees.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Annual leave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Employee entitlements to annual leave are recognized when earned by the employee. On termination of employment, accrued employee entitlement to annual leave is paid in cash.</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the asset and liability method of accounting for income taxes, whereby 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tax rates expected to apply to taxable income in the years in which those temporary differences are expected to reverse. The effect of a change in tax rates on deferred tax assets and liabilities is recognized in income in the period that includes the enactment date. Deferred tax assets are reduced by a valuation allowance if, based on the weight of the available evidence, it is more likely than not that some portion or all of the deferred tax assets will not be realized.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Fabrinet’s subsidiaries are subject to income tax audits by the respective tax authorities in all of the jurisdictions in which they operate. The determination of tax liabilities in each of these jurisdictions requires the interpretation and application of complex and sometimes uncertain tax laws and regulations. The Company recognizes liabilities based on its estimate of whether, and the extent to which, additional tax liabilities are more-likely-than-not. If the Company ultimately determines that the payment of such a liability is not probable, then it reverses the liability and recognizes a tax benefit during the period in which the determination is made that the liability is no longer probable. The recognition and measurement of current taxes payable or refundable and deferred tax assets and liabilities requires that the Company makes certain estimates and judgments. Changes to these estimates or a change in judgment may have a material impact on the Company’s tax provision in a future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authoritative guidance provides for recognition of deferred tax assets if the realization of such deferred tax assets is more likely than not to occur based on an evaluation of both positive and negative evidence and the relative weight of the evidence. A company shall reduce its deferred tax assets by a valuation allowance if, based on the weight of available evidence, it is “more likely than not” (i.e., a likelihood of greater than 50 percent) that some portion or all of the deferred tax assets will not be realized. The valuation allowance shall be sufficient to reduce the deferred tax asset to the amount that is more likely than not to be realized. The valuation allowance shall be monitored and considered from all available evidence, both positive and negative, to determine whether, based on the weight of that evidence, a valuation allowance for deferred tax assets is not needed.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accounting standard clarifies the accounting for uncertainty in income taxes recognized in an entity’s financial statements and prescribes a recognition threshold and measurement attributes for financial statement disclosure of tax positions taken or expected to be taken on a tax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a tax benefit in the financial statements for an uncertain tax position only if management’s assessment is that the position is “more likely than not” to be sustained upon examination by the tax jurisdiction based solely on the technical merits of the position. The term “tax position” refers to a position in a previously filed tax return or a position expected to be taken in a future tax return that is reflected in measuring current or deferred income tax assets and liabilities for interim or annual periods. The accounting interpretation also provides guidance on measurement methodology, derecognition thresholds, financial statement classification and disclosures, recognition of interest and penalties, and accounting for the cumulative-effect adjustment at the date of adoption.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consists of investment in privately-held company that does not have a readily determinable fair value. These investments are measured at cost minus impairment, if any, and are adjusted for changes resulting from observable price changes in orderly transactions for an identical or similar investment in the same issuer, or the measurement alternative. Fair value is based upon observable inputs in an inactive market and the valuation requires our judgment due to the absence of market prices and inherent lack of liquidity. All gains and losses on these investments, realized and unrealized, are recognized in other income (expense)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assess whether an impairment loss has occurred on investments in non-marketable equity securities, accounted for under the measurement alternative based on quantitative and qualitative factors. If any impairment is identified for non-marketable equity securities, the Company write down the investment to its fair value and record the corresponding charge through other income (expense)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evaluated the investment under ASC 323, Investments—Equity Method and Joint Ventures, and determined that it does not have significant influence over its investment operating and financial policies. Accordingly, the investment is not accounted for under the equity method and instead falls within the scope of ASC 321, Investments—Equity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Standards Updates (“ASU”) 2023-09, “Income Taxes (Topic 740), Improvements to Income Tax Disclosures,” which requires more detailed income tax disclosures. This ASU requires entities to disclose disaggregated information about their effective tax rate reconciliation as well as expanded information on income taxes paid by jurisdiction. Public entities were required to adopt the new guidance for fiscal years beginning after December 15, 2024, with early adoption permitted for annual financial statements that have not yet been issued or made available for issuance. The Company adopted on a prospective basis for fiscal year ended June 26,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New Accounting Standards—not yet adopted by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additional disclosure, in notes to financial statements, of specified information about certain costs and expenses in the same tabular format disclosure as the other disaggregation requirements in the amendments in this ASU. This ASU is effective for all entities for fiscal years beginning after December 15, 2026, and interim reporting periods beginning after December 15, 2027, with early adoption permitted. This ASU is effective for the Company's annual periods beginning June 26, 2027, and interim periods beginning July 1, 2028. The Company is currently evaluating the ASU to determine its impact on the Company's disclosures, including whether to apply the ASU retrospectively or prospectively.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54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Revenues from contracts with customers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asset is recognized when the Company has recognized revenues, but has not yet issued an invoice to its customer for payment. Contract assets are recognized in the consolidated balance sheets under other current assets and transferred to accounts receivable when rights to payment become unconditional. No impairment for contract assets was recorded for the years ended June 26, 2026, June 27, 2025 and June 28,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26, 2026 and June 27, 2025, the Company's contract assets were immaterial amount.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liability is recognized when the Company has advance payment arrangements with customers. Contract liabilities are recognized in the consolidated balance sheets under other payables. The contract liabilities balance is normally recognized as revenue within six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Company’s contract liabilities during the years ended June 26, 2026, June 27, 2025, and June 28, 2024:</w:t>
      </w:r>
    </w:p>
    <w:tbl>
      <w:tblPr>
        <w:tblW w:w="5666"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109"/>
        <w:gridCol w:w="109"/>
        <w:gridCol w:w="109"/>
        <w:gridCol w:w="109"/>
        <w:gridCol w:w="109"/>
        <w:gridCol w:w="109"/>
        <w:gridCol w:w="211"/>
        <w:gridCol w:w="72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 </w:t>
              <w:br/>
              <w:t>Liabilities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 received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 received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 received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Customer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customers are accounted for as equity instruments and measured in accordance with ASC 718, Compensation – Stock Compensation. For awards granted to a customer which are not in exchange for distinct goods or services, the fair value of the awards earned based on service or performance conditions is recorded as a reduction of the transaction price, in accordance with ASC 606, Revenue from Contracts with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determine the fair value of warrants in accordance with ASC 718, the Company uses the Black-Scholes option pricing model, based in part on assumptions for which management is required to use judgment. Based on the fair value of the awards, the Company determines the amount of warrant expense based on the customer’s achievement of vesting conditions, which is recorded as a reduction of revenues on the consolidated statement of operations. The dilutive impact of customer warrants is determined using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years ended June 26, 2026 and June 27, 2025, the Company recognized $4.8 million and $4.1 million, respectively, as a reduction to revenue on the consolidated statements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by Geographic Area and End Market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Beginning in the fourth quarter of fiscal year 2026, the Company updated its geographic area presentation from the bill-to-location of its customers to the ship-to-location of its customers, and updated its revenue category presentation from optical communications and non-optical communications to data center, communications infrastructure, and automotive, industrial and other markets. Prior periods have been recast to conform to the current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revenues are attributed to a particular geographic area based on the ship-to-location of the Company’s customers. The Company operates primarily in three geographic regions: Asia-Pacific and others; North America; and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total revenues by geographic regions: </w:t>
      </w:r>
    </w:p>
    <w:tbl>
      <w:tblPr>
        <w:tblW w:w="10205" w:type="dxa"/>
        <w:jc w:val="left"/>
        <w:tblInd w:w="0" w:type="dxa"/>
        <w:tblLayout w:type="fixed"/>
        <w:tblCellMar>
          <w:top w:w="28" w:type="dxa"/>
          <w:left w:w="28" w:type="dxa"/>
          <w:bottom w:w="28" w:type="dxa"/>
          <w:right w:w="28" w:type="dxa"/>
        </w:tblCellMar>
      </w:tblPr>
      <w:tblGrid>
        <w:gridCol w:w="642"/>
        <w:gridCol w:w="416"/>
        <w:gridCol w:w="419"/>
        <w:gridCol w:w="211"/>
        <w:gridCol w:w="976"/>
        <w:gridCol w:w="109"/>
        <w:gridCol w:w="109"/>
        <w:gridCol w:w="109"/>
        <w:gridCol w:w="109"/>
        <w:gridCol w:w="307"/>
        <w:gridCol w:w="309"/>
        <w:gridCol w:w="433"/>
        <w:gridCol w:w="109"/>
        <w:gridCol w:w="109"/>
        <w:gridCol w:w="109"/>
        <w:gridCol w:w="211"/>
        <w:gridCol w:w="976"/>
        <w:gridCol w:w="109"/>
        <w:gridCol w:w="109"/>
        <w:gridCol w:w="109"/>
        <w:gridCol w:w="109"/>
        <w:gridCol w:w="307"/>
        <w:gridCol w:w="309"/>
        <w:gridCol w:w="433"/>
        <w:gridCol w:w="109"/>
        <w:gridCol w:w="109"/>
        <w:gridCol w:w="109"/>
        <w:gridCol w:w="211"/>
        <w:gridCol w:w="976"/>
        <w:gridCol w:w="109"/>
        <w:gridCol w:w="109"/>
        <w:gridCol w:w="109"/>
        <w:gridCol w:w="109"/>
        <w:gridCol w:w="307"/>
        <w:gridCol w:w="309"/>
        <w:gridCol w:w="491"/>
      </w:tblGrid>
      <w:tr>
        <w:trPr/>
        <w:tc>
          <w:tcPr>
            <w:tcW w:w="64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Total</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Total</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Total</w:t>
              <w:br/>
              <w:t>Revenues</w:t>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Asia-Pacific and others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revenue in Asia-Pacific and others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Others </w:t>
            </w:r>
            <w:r>
              <w:rPr>
                <w:rFonts w:ascii="Times New Roman;serif" w:hAnsi="Times New Roman;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revenue in North America</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revenue in Europe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Others includes Cayman Islands, our country of domicile. For each year presented, we had no revenue attributed to customers in the Cayman Islands.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by end market and product category.</w:t>
      </w:r>
    </w:p>
    <w:tbl>
      <w:tblPr>
        <w:tblW w:w="11059" w:type="dxa"/>
        <w:jc w:val="left"/>
        <w:tblInd w:w="0" w:type="dxa"/>
        <w:tblLayout w:type="fixed"/>
        <w:tblCellMar>
          <w:top w:w="28" w:type="dxa"/>
          <w:left w:w="28" w:type="dxa"/>
          <w:bottom w:w="28" w:type="dxa"/>
          <w:right w:w="28" w:type="dxa"/>
        </w:tblCellMar>
      </w:tblPr>
      <w:tblGrid>
        <w:gridCol w:w="911"/>
        <w:gridCol w:w="302"/>
        <w:gridCol w:w="303"/>
        <w:gridCol w:w="211"/>
        <w:gridCol w:w="976"/>
        <w:gridCol w:w="109"/>
        <w:gridCol w:w="109"/>
        <w:gridCol w:w="109"/>
        <w:gridCol w:w="109"/>
        <w:gridCol w:w="308"/>
        <w:gridCol w:w="308"/>
        <w:gridCol w:w="699"/>
        <w:gridCol w:w="109"/>
        <w:gridCol w:w="109"/>
        <w:gridCol w:w="109"/>
        <w:gridCol w:w="211"/>
        <w:gridCol w:w="976"/>
        <w:gridCol w:w="109"/>
        <w:gridCol w:w="109"/>
        <w:gridCol w:w="109"/>
        <w:gridCol w:w="109"/>
        <w:gridCol w:w="308"/>
        <w:gridCol w:w="308"/>
        <w:gridCol w:w="699"/>
        <w:gridCol w:w="109"/>
        <w:gridCol w:w="109"/>
        <w:gridCol w:w="109"/>
        <w:gridCol w:w="211"/>
        <w:gridCol w:w="976"/>
        <w:gridCol w:w="109"/>
        <w:gridCol w:w="109"/>
        <w:gridCol w:w="109"/>
        <w:gridCol w:w="109"/>
        <w:gridCol w:w="308"/>
        <w:gridCol w:w="308"/>
        <w:gridCol w:w="774"/>
      </w:tblGrid>
      <w:tr>
        <w:trPr/>
        <w:tc>
          <w:tcPr>
            <w:tcW w:w="9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Data center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Communications infrastructure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Automotive, Industrial and Others </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Data center includes data center interconnect (DCI), high-performance computing (HPC), and other data center-specific applications.</w:t>
      </w:r>
    </w:p>
    <w:p>
      <w:pPr>
        <w:pStyle w:val="TextBody"/>
        <w:bidi w:val="0"/>
        <w:spacing w:lineRule="auto" w:line="288" w:before="120" w:after="283"/>
        <w:ind w:left="0" w:right="0" w:hanging="54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 xml:space="preserve">Communications infrastructure includes communications and networking products that are not specific to data center applications, primarily telecommunications products excluding DCI. </w:t>
      </w:r>
    </w:p>
    <w:p>
      <w:pPr>
        <w:pStyle w:val="TextBody"/>
        <w:bidi w:val="0"/>
        <w:spacing w:lineRule="auto" w:line="288" w:before="120" w:after="283"/>
        <w:ind w:left="0" w:right="0" w:hanging="54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Automotive, Industrial and Others includes products serving automotive components, industrial, medical devices and sensors.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4</w:t>
      </w:r>
      <w:r>
        <w:rPr>
          <w:rFonts w:ascii="Times New Roman;serif" w:hAnsi="Times New Roman;serif"/>
          <w:b w:val="false"/>
          <w:color w:val="000000"/>
          <w:sz w:val="20"/>
        </w:rPr>
        <w:t>.    </w:t>
      </w:r>
      <w:r>
        <w:rPr>
          <w:rFonts w:ascii="Times New Roman;serif" w:hAnsi="Times New Roman;serif"/>
          <w:b/>
          <w:color w:val="000000"/>
          <w:sz w:val="20"/>
        </w:rPr>
        <w:t>Income taxes</w:t>
      </w:r>
    </w:p>
    <w:p>
      <w:pPr>
        <w:pStyle w:val="TextBody"/>
        <w:bidi w:val="0"/>
        <w:spacing w:lineRule="auto" w:line="288" w:before="240" w:after="283"/>
        <w:jc w:val="left"/>
        <w:rPr/>
      </w:pPr>
      <w:r>
        <w:rPr>
          <w:rFonts w:ascii="Times New Roman;serif" w:hAnsi="Times New Roman;serif"/>
          <w:b w:val="false"/>
          <w:color w:val="000000"/>
          <w:sz w:val="20"/>
          <w:shd w:fill="FFFFFF" w:val="clear"/>
        </w:rPr>
        <w:t>Fabrinet</w:t>
      </w:r>
      <w:r>
        <w:rPr>
          <w:color w:val="000000"/>
        </w:rPr>
        <w:t>’</w:t>
      </w: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 xml:space="preserve">effective tax rate is a function of the mix of tax rates in the various jurisdictions in which we conduct business. </w:t>
      </w:r>
      <w:r>
        <w:rPr>
          <w:rFonts w:ascii="Times New Roman;serif" w:hAnsi="Times New Roman;serif"/>
          <w:b w:val="false"/>
          <w:color w:val="000000"/>
          <w:sz w:val="20"/>
        </w:rPr>
        <w:t>Fabrinet is domiciled in the Cayman Islands. Under the current laws of the Cayman Islands, Fabrinet is not subject to tax in the Cayman Islands on income or capital gains until March 6, 2039.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operations and production take place in Thailand. The Company was not subject to tax in Thailand from July 2012 through June 2020 on income generated from the manufacture of products at its Pinehurst campus Building 6, and was not subject to tax in Thailand from July 2018 through June 2026 on income generated from the manufacture of products at its Chonburi campus. Between June 2020 and June 2025, 50% of the Company's income generated from products manufactured at its Pinehurst campus Building 6 was exempted from tax in Thailand. Preferential tax treatment is available to the Company for products manufactured at its Chonburi campus Building 9, where income generated will be tax exempt through 2031, capped at the Company’s actual investment amount. Preferential tax treatment will be available to the Company for products manufactured at its Navanakorn campus for 8 years beginning in August 2027, capped at the Company's actual investment amount. Such preferential tax treatment is contingent on various factors, including the export of customers’ products out of Thailand and the Company's agreement not to move its manufacturing facilities out of its current province in Thailand for at least 15 years from the date on which preferential tax treatment was granted. Currently, the corporate income tax rate for the Company's Thai subsidiary is 20%.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corporate income tax rates for the Company's subsidiaries in the PRC, the U.S., the U.K. and Israel are 25%, 21%, 25% and 23%, respectively. The Company's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before income taxes consisted of the following:</w:t>
      </w:r>
    </w:p>
    <w:tbl>
      <w:tblPr>
        <w:tblW w:w="7001" w:type="dxa"/>
        <w:jc w:val="left"/>
        <w:tblInd w:w="0" w:type="dxa"/>
        <w:tblLayout w:type="fixed"/>
        <w:tblCellMar>
          <w:top w:w="28" w:type="dxa"/>
          <w:left w:w="28" w:type="dxa"/>
          <w:bottom w:w="28" w:type="dxa"/>
          <w:right w:w="28" w:type="dxa"/>
        </w:tblCellMar>
      </w:tblPr>
      <w:tblGrid>
        <w:gridCol w:w="1101"/>
        <w:gridCol w:w="878"/>
        <w:gridCol w:w="885"/>
        <w:gridCol w:w="211"/>
        <w:gridCol w:w="826"/>
        <w:gridCol w:w="109"/>
        <w:gridCol w:w="109"/>
        <w:gridCol w:w="109"/>
        <w:gridCol w:w="109"/>
        <w:gridCol w:w="211"/>
        <w:gridCol w:w="826"/>
        <w:gridCol w:w="109"/>
        <w:gridCol w:w="109"/>
        <w:gridCol w:w="109"/>
        <w:gridCol w:w="109"/>
        <w:gridCol w:w="211"/>
        <w:gridCol w:w="82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consisted of the following:</w:t>
      </w:r>
    </w:p>
    <w:tbl>
      <w:tblPr>
        <w:tblW w:w="6026" w:type="dxa"/>
        <w:jc w:val="left"/>
        <w:tblInd w:w="0" w:type="dxa"/>
        <w:tblLayout w:type="fixed"/>
        <w:tblCellMar>
          <w:top w:w="28" w:type="dxa"/>
          <w:left w:w="28" w:type="dxa"/>
          <w:bottom w:w="28" w:type="dxa"/>
          <w:right w:w="28" w:type="dxa"/>
        </w:tblCellMar>
      </w:tblPr>
      <w:tblGrid>
        <w:gridCol w:w="798"/>
        <w:gridCol w:w="702"/>
        <w:gridCol w:w="704"/>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year ended June 26, 2026 is as follows:</w:t>
      </w:r>
    </w:p>
    <w:tbl>
      <w:tblPr>
        <w:tblW w:w="3786" w:type="dxa"/>
        <w:jc w:val="left"/>
        <w:tblInd w:w="0" w:type="dxa"/>
        <w:tblLayout w:type="fixed"/>
        <w:tblCellMar>
          <w:top w:w="28" w:type="dxa"/>
          <w:left w:w="28" w:type="dxa"/>
          <w:bottom w:w="28" w:type="dxa"/>
          <w:right w:w="28" w:type="dxa"/>
        </w:tblCellMar>
      </w:tblPr>
      <w:tblGrid>
        <w:gridCol w:w="820"/>
        <w:gridCol w:w="721"/>
        <w:gridCol w:w="723"/>
        <w:gridCol w:w="211"/>
        <w:gridCol w:w="721"/>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Beginning in fiscal year 2026, the Company adopted ASU 2023-09 prospectively. The reconciliation between the Company’s taxes that would arise by applying the statutory tax rate of the country of the Company’s principal operations, Thailand, to the Company’s effective tax charge is shown below:</w:t>
      </w:r>
    </w:p>
    <w:tbl>
      <w:tblPr>
        <w:tblW w:w="6227" w:type="dxa"/>
        <w:jc w:val="left"/>
        <w:tblInd w:w="0" w:type="dxa"/>
        <w:tblLayout w:type="fixed"/>
        <w:tblCellMar>
          <w:top w:w="28" w:type="dxa"/>
          <w:left w:w="28" w:type="dxa"/>
          <w:bottom w:w="28" w:type="dxa"/>
          <w:right w:w="28" w:type="dxa"/>
        </w:tblCellMar>
      </w:tblPr>
      <w:tblGrid>
        <w:gridCol w:w="1152"/>
        <w:gridCol w:w="1013"/>
        <w:gridCol w:w="1015"/>
        <w:gridCol w:w="211"/>
        <w:gridCol w:w="826"/>
        <w:gridCol w:w="109"/>
        <w:gridCol w:w="109"/>
        <w:gridCol w:w="109"/>
        <w:gridCol w:w="109"/>
        <w:gridCol w:w="291"/>
        <w:gridCol w:w="294"/>
        <w:gridCol w:w="508"/>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5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 statutory tax rate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differential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differential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Enactment of new tax laws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Pillar Two Top-up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effective tax rate to the statutory Thailand tax rate for the periods indicated, in accordance with the guidance prior to the adoption of ASU 2023-09:</w:t>
      </w:r>
    </w:p>
    <w:tbl>
      <w:tblPr>
        <w:tblW w:w="9077" w:type="dxa"/>
        <w:jc w:val="left"/>
        <w:tblInd w:w="0" w:type="dxa"/>
        <w:tblLayout w:type="fixed"/>
        <w:tblCellMar>
          <w:top w:w="28" w:type="dxa"/>
          <w:left w:w="28" w:type="dxa"/>
          <w:bottom w:w="28" w:type="dxa"/>
          <w:right w:w="28" w:type="dxa"/>
        </w:tblCellMar>
      </w:tblPr>
      <w:tblGrid>
        <w:gridCol w:w="2244"/>
        <w:gridCol w:w="1972"/>
        <w:gridCol w:w="1979"/>
        <w:gridCol w:w="109"/>
        <w:gridCol w:w="109"/>
        <w:gridCol w:w="211"/>
        <w:gridCol w:w="826"/>
        <w:gridCol w:w="109"/>
        <w:gridCol w:w="109"/>
        <w:gridCol w:w="109"/>
        <w:gridCol w:w="109"/>
        <w:gridCol w:w="211"/>
        <w:gridCol w:w="826"/>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Income before income taxes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calculated at a statutory corporate income tax rate of 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income taxes from locations with tax rates different from Thailand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Income not subject to tax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on unremitted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rebate from research and development application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uncertain income tax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loss and tax credits carryforward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Changes in valuation allowance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Income before income taxes from domestic operations in the Cayman Islands amounted to $388.1 million, $263.0 million and $306.0 million for the years ended June 26, 2026, June 27, 2025 and June 28, 2024, respectively.</w:t>
      </w:r>
    </w:p>
    <w:p>
      <w:pPr>
        <w:pStyle w:val="TextBody"/>
        <w:bidi w:val="0"/>
        <w:spacing w:lineRule="auto" w:line="288" w:before="120" w:after="283"/>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Income not subject to tax relates to income earned in the Cayman and Mauritius Islands and income subject to an investment promotion privilege in Thailand. Income not subject to tax per ordinary share on a diluted basis was $2.24, $1.71, and $1.72 for the years ended June 26, 2026, June 27, 2025, and June 28, 2024, respectively.</w:t>
      </w:r>
    </w:p>
    <w:p>
      <w:pPr>
        <w:pStyle w:val="TextBody"/>
        <w:bidi w:val="0"/>
        <w:spacing w:lineRule="auto" w:line="288" w:before="120" w:after="283"/>
        <w:ind w:left="0" w:right="0" w:hanging="540"/>
        <w:jc w:val="left"/>
        <w:rPr/>
      </w:pPr>
      <w:r>
        <w:rPr>
          <w:rFonts w:ascii="Times New Roman;serif" w:hAnsi="Times New Roman;serif"/>
          <w:b w:val="false"/>
          <w:color w:val="000000"/>
          <w:sz w:val="13"/>
        </w:rPr>
        <w:t>(3)</w:t>
      </w:r>
      <w:r>
        <w:rPr>
          <w:rFonts w:ascii="Times New Roman;serif" w:hAnsi="Times New Roman;serif"/>
          <w:b w:val="false"/>
          <w:color w:val="000000"/>
          <w:sz w:val="20"/>
        </w:rPr>
        <w:t>Changes in valuation allowances were due to adjustments based on management's assessment on the realizability of the related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deferred tax assets and deferred tax liabilities, net of valuation allowance, at each balance sheet date are as follows:</w:t>
      </w:r>
    </w:p>
    <w:tbl>
      <w:tblPr>
        <w:tblW w:w="9608" w:type="dxa"/>
        <w:jc w:val="left"/>
        <w:tblInd w:w="0" w:type="dxa"/>
        <w:tblLayout w:type="fixed"/>
        <w:tblCellMar>
          <w:top w:w="28" w:type="dxa"/>
          <w:left w:w="28" w:type="dxa"/>
          <w:bottom w:w="28" w:type="dxa"/>
          <w:right w:w="28" w:type="dxa"/>
        </w:tblCellMar>
      </w:tblPr>
      <w:tblGrid>
        <w:gridCol w:w="2592"/>
        <w:gridCol w:w="2277"/>
        <w:gridCol w:w="2285"/>
        <w:gridCol w:w="211"/>
        <w:gridCol w:w="721"/>
        <w:gridCol w:w="109"/>
        <w:gridCol w:w="109"/>
        <w:gridCol w:w="109"/>
        <w:gridCol w:w="109"/>
        <w:gridCol w:w="211"/>
        <w:gridCol w:w="721"/>
        <w:gridCol w:w="154"/>
      </w:tblGrid>
      <w:tr>
        <w:trPr/>
        <w:tc>
          <w:tcPr>
            <w:tcW w:w="2592"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differences from intangibles and changes in the fair value of assets acquired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from unremitted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valuation allowances of deferred tax assets were as follows:</w:t>
      </w:r>
    </w:p>
    <w:tbl>
      <w:tblPr>
        <w:tblW w:w="4275" w:type="dxa"/>
        <w:jc w:val="left"/>
        <w:tblInd w:w="0" w:type="dxa"/>
        <w:tblLayout w:type="fixed"/>
        <w:tblCellMar>
          <w:top w:w="28" w:type="dxa"/>
          <w:left w:w="28" w:type="dxa"/>
          <w:bottom w:w="28" w:type="dxa"/>
          <w:right w:w="28" w:type="dxa"/>
        </w:tblCellMar>
      </w:tblPr>
      <w:tblGrid>
        <w:gridCol w:w="863"/>
        <w:gridCol w:w="759"/>
        <w:gridCol w:w="762"/>
        <w:gridCol w:w="406"/>
        <w:gridCol w:w="1187"/>
        <w:gridCol w:w="298"/>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allowances of</w:t>
              <w:br/>
              <w:t>deferred tax assets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2023</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fiscal year 2020, one of our subsidiaries in the U.K. also generated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$1.6 million for the deferred tax assets was set up as of the end of fiscal year 2020. A full valuation allowance of $3.8 million, $4.9 million and $2.1 million were set up for the fiscal year ended June 30, 2023, June 24, 2022 and June 25, 2021, respectively. During fiscal year 2024, deferred tax assets and valuation allowance were released due to our cessation of operations in the U.K.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fiscal year 2023, the other subsidiary in the U.K. generated taxable income and was able to utilize loss carryforwards. Management determined that it was more likely than not that future taxable income would be sufficient to allow utilization of the deferred tax assets. Thus, a full valuation allowance of $1.6 million for the deferred tax assets was released as of June 30, 2023. In fiscal year 2024, due to the planned closure of this entity, management believed that such subsidiary would not generate sufficient taxable income to utilize the remaining deferred tax assets. Thus, a full valuation allowance of $1.0 million was recorded. In fiscal year 2025, the remaining deferred tax assets and valuation allowance were written off after the application to dissolve the entity was filed in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fiscal year 2024, the Company's subsidiary in Israel continued to generate net operating loss and management expected that such subsidiary would continue to have net operating losses in the foreseeable future; therefore, management believed it was more likely than not that all of the deferred tax assets of such subsidiary would not be utilized. Thus, a full valuation allowance of $2.7 million for the deferred tax assets was set up as of the end of fiscal year 2024. The Company continued to record the full valuation allowance of $0.8 million and $2.1 million for fiscal year 2025 and fiscal year 2026,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 have not been established for withholding tax and other taxes that would be payable on the unremitted earnings in Thailand, which are permanently reinvested. Unremitted earnings in Thailand totaled $198.3 million and $167.9 million as of June 26, 2026 and June 27, 2025, respectively. Unrecognized deferred tax liabilities for such unremitted earnings were $17.1 million and $16.9 million as of June 26, 2026 and June 27,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of $1.8 million and $1.5 million have been established for withholding tax on the unremitted earnings in China for the years ended June 26, 2026 and June 27, 2025, respectively, which are included in non-current deferred tax liability in the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Uncertain income tax positions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uncertain income tax positions are recognized in income tax expense. The Company had approximately $0.4 million of accrued interest and penalties related to uncertain income tax positions on the consolidated balance sheets as of June 26, 2026. The Company recorded interest and penalties of $0.1 million and $0.2 million for the years ended June 27, 2025 and June 28, 2024, respectively, in the consolidated statements of operations and comprehensive income. No interest and penalties were reversed in fiscal 2026. With regard to the Thailand jurisdiction, tax years 2020 through 2024 remain open to examination by the local authorities.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to the Company’s uncertain income tax positions for the years ended June 26, 2026, June 27, 2025 and June 28, 2024, excluding interest and penalties, were as follows:</w:t>
      </w:r>
    </w:p>
    <w:tbl>
      <w:tblPr>
        <w:tblW w:w="6672" w:type="dxa"/>
        <w:jc w:val="left"/>
        <w:tblInd w:w="0" w:type="dxa"/>
        <w:tblLayout w:type="fixed"/>
        <w:tblCellMar>
          <w:top w:w="28" w:type="dxa"/>
          <w:left w:w="28" w:type="dxa"/>
          <w:bottom w:w="28" w:type="dxa"/>
          <w:right w:w="28" w:type="dxa"/>
        </w:tblCellMar>
      </w:tblPr>
      <w:tblGrid>
        <w:gridCol w:w="1146"/>
        <w:gridCol w:w="1008"/>
        <w:gridCol w:w="1011"/>
        <w:gridCol w:w="211"/>
        <w:gridCol w:w="616"/>
        <w:gridCol w:w="109"/>
        <w:gridCol w:w="109"/>
        <w:gridCol w:w="109"/>
        <w:gridCol w:w="109"/>
        <w:gridCol w:w="211"/>
        <w:gridCol w:w="616"/>
        <w:gridCol w:w="109"/>
        <w:gridCol w:w="109"/>
        <w:gridCol w:w="109"/>
        <w:gridCol w:w="109"/>
        <w:gridCol w:w="211"/>
        <w:gridCol w:w="61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the year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tax positions of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540"/>
        <w:jc w:val="left"/>
        <w:rPr/>
      </w:pPr>
      <w:r>
        <w:rPr>
          <w:rFonts w:ascii="Times New Roman;serif" w:hAnsi="Times New Roman;serif"/>
          <w:b/>
          <w:color w:val="000000"/>
          <w:sz w:val="20"/>
        </w:rPr>
        <w:t>5.</w:t>
      </w:r>
      <w:r>
        <w:rPr>
          <w:color w:val="000000"/>
        </w:rPr>
        <w:t>    </w:t>
      </w:r>
      <w:r>
        <w:rPr>
          <w:rFonts w:ascii="Times New Roman;serif" w:hAnsi="Times New Roman;serif"/>
          <w:b/>
          <w:color w:val="000000"/>
          <w:sz w:val="20"/>
        </w:rPr>
        <w:t>Earnings per ordinary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ordinary share is computed by dividing reported net income by the weighted average number of ordinary shares outstanding during each period. Diluted earnings per ordinary share is computed by calculating the effect of potential dilutive ordinary shares outstanding during the year using the treasury stock method. Dilutive ordinary equivalent shares consist of share options, restricted share units and performance share units.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Earnings per ordinary share was calculated as follows:</w:t>
      </w:r>
    </w:p>
    <w:tbl>
      <w:tblPr>
        <w:tblW w:w="10205" w:type="dxa"/>
        <w:jc w:val="left"/>
        <w:tblInd w:w="0" w:type="dxa"/>
        <w:tblLayout w:type="fixed"/>
        <w:tblCellMar>
          <w:top w:w="28" w:type="dxa"/>
          <w:left w:w="28" w:type="dxa"/>
          <w:bottom w:w="28" w:type="dxa"/>
          <w:right w:w="28" w:type="dxa"/>
        </w:tblCellMar>
      </w:tblPr>
      <w:tblGrid>
        <w:gridCol w:w="2439"/>
        <w:gridCol w:w="1807"/>
        <w:gridCol w:w="1821"/>
        <w:gridCol w:w="211"/>
        <w:gridCol w:w="826"/>
        <w:gridCol w:w="109"/>
        <w:gridCol w:w="109"/>
        <w:gridCol w:w="109"/>
        <w:gridCol w:w="109"/>
        <w:gridCol w:w="211"/>
        <w:gridCol w:w="826"/>
        <w:gridCol w:w="109"/>
        <w:gridCol w:w="109"/>
        <w:gridCol w:w="109"/>
        <w:gridCol w:w="109"/>
        <w:gridCol w:w="211"/>
        <w:gridCol w:w="826"/>
        <w:gridCol w:w="155"/>
      </w:tblGrid>
      <w:tr>
        <w:trPr/>
        <w:tc>
          <w:tcPr>
            <w:tcW w:w="243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outstanding</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arising from the assumed exercise of share options and vesting of restricted share units and performance share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arising from the assumed vesting of customer warrant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for diluted earnings per ordinary share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ordinary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Outstanding performance share units excluded from the computation of diluted earnings per ordinary share (thousands of shares) </w:t>
            </w:r>
            <w:r>
              <w:rPr>
                <w:rFonts w:ascii="Times New Roman;serif" w:hAnsi="Times New Roman;serif"/>
                <w:b w:val="false"/>
                <w:color w:val="000000"/>
                <w:sz w:val="9"/>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These performance share units were not included in the computation of diluted earnings per ordinary share because they are not expected to vest based on the Company’s current assessment of the related performance obligations.</w:t>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pPr>
      <w:r>
        <w:rPr>
          <w:rFonts w:ascii="Times New Roman;serif" w:hAnsi="Times New Roman;serif"/>
          <w:b/>
          <w:color w:val="000000"/>
          <w:sz w:val="20"/>
        </w:rPr>
        <w:t>6.</w:t>
      </w:r>
      <w:r>
        <w:rPr>
          <w:color w:val="000000"/>
        </w:rPr>
        <w:t>    </w:t>
      </w:r>
      <w:r>
        <w:rPr>
          <w:rFonts w:ascii="Times New Roman;serif" w:hAnsi="Times New Roman;serif"/>
          <w:b/>
          <w:color w:val="000000"/>
          <w:sz w:val="20"/>
        </w:rPr>
        <w:t>Cash, cash equivalents and short-term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cash, cash equivalents, and short-term investments by category is as follows:</w:t>
      </w:r>
    </w:p>
    <w:tbl>
      <w:tblPr>
        <w:tblW w:w="10205" w:type="dxa"/>
        <w:jc w:val="left"/>
        <w:tblInd w:w="0" w:type="dxa"/>
        <w:tblLayout w:type="fixed"/>
        <w:tblCellMar>
          <w:top w:w="28" w:type="dxa"/>
          <w:left w:w="28" w:type="dxa"/>
          <w:bottom w:w="28" w:type="dxa"/>
          <w:right w:w="28" w:type="dxa"/>
        </w:tblCellMar>
      </w:tblPr>
      <w:tblGrid>
        <w:gridCol w:w="1100"/>
        <w:gridCol w:w="931"/>
        <w:gridCol w:w="934"/>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312"/>
        <w:gridCol w:w="1222"/>
        <w:gridCol w:w="160"/>
        <w:gridCol w:w="109"/>
        <w:gridCol w:w="109"/>
        <w:gridCol w:w="109"/>
        <w:gridCol w:w="275"/>
        <w:gridCol w:w="529"/>
        <w:gridCol w:w="206"/>
      </w:tblGrid>
      <w:tr>
        <w:trPr/>
        <w:tc>
          <w:tcPr>
            <w:tcW w:w="110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Investments</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 and time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627,819 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cash equivalents include short-term bank deposits, investments in money market funds, and marketable securities with maturities of three months or less at the date of purchase. The effective interest rate on short term bank deposits was 3.7% and 4.2% per annum for the years ended June 26, 2026 and June 27,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Company had investments in certificates of deposit of $33.2 million and term deposit of $11.0 million which were classified as available-for-sale debt securities. As of June 27, 2025, the Company had investments in certificates of deposit of $125.7 million and term deposit of $20.0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and June 27, 2025, the Company did not have any held-to-maturity debt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and June 27, 2025, 83% and 81%, respectively, of our cash and cash equivalents were held by the Parent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cost and estimated fair value of debt securities classified as available-for-sale securities based on stated effective maturities as of June 26, 2026 and June 27, 2025:</w:t>
      </w:r>
    </w:p>
    <w:tbl>
      <w:tblPr>
        <w:tblW w:w="8160" w:type="dxa"/>
        <w:jc w:val="left"/>
        <w:tblInd w:w="0" w:type="dxa"/>
        <w:tblLayout w:type="fixed"/>
        <w:tblCellMar>
          <w:top w:w="28" w:type="dxa"/>
          <w:left w:w="28" w:type="dxa"/>
          <w:bottom w:w="28" w:type="dxa"/>
          <w:right w:w="28" w:type="dxa"/>
        </w:tblCellMar>
      </w:tblPr>
      <w:tblGrid>
        <w:gridCol w:w="923"/>
        <w:gridCol w:w="813"/>
        <w:gridCol w:w="81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five years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and June 27, 2025, the Company considered the decline in market value of its available-for-sale debt securities by using the AFS debt security impairment model. The Company typically invests in highly-rated securities, and its investment policy generally limits the amount of credit exposure to any one issuer. The policy requires investments generally to be investment grade, with the primary objective of minimizing the potential risk of principal loss. Fair values were determined for each individual security in the investment portfolio. The Company assessed impairment at the individual security level according to the relevant accounting standard by comparing its fair value/market value with its amortized cost. The Company considered factors such as the failure of the issuer of the security to make scheduled interest and principal payments and any changes to the credit rating of the security by a rating agency. The credit rating of the Company's invested securities is still in compliance with the Company's investment policy. No impairment losses on available-for-sale debt securities were recorded for the year ended June 26, 2026 and June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7.</w:t>
      </w:r>
      <w:r>
        <w:rPr>
          <w:color w:val="000000"/>
        </w:rPr>
        <w:t>    </w:t>
      </w:r>
      <w:r>
        <w:rPr>
          <w:rFonts w:ascii="Times New Roman;serif" w:hAnsi="Times New Roman;serif"/>
          <w:b/>
          <w:color w:val="000000"/>
          <w:sz w:val="20"/>
        </w:rPr>
        <w:t>Non-marketable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Adjustments to the carrying value of our non-marketable equity securities during fiscal years 2026 was as follows:</w:t>
      </w:r>
    </w:p>
    <w:tbl>
      <w:tblPr>
        <w:tblW w:w="6053" w:type="dxa"/>
        <w:jc w:val="left"/>
        <w:tblInd w:w="0" w:type="dxa"/>
        <w:tblLayout w:type="fixed"/>
        <w:tblCellMar>
          <w:top w:w="28" w:type="dxa"/>
          <w:left w:w="28" w:type="dxa"/>
          <w:bottom w:w="28" w:type="dxa"/>
          <w:right w:w="28" w:type="dxa"/>
        </w:tblCellMar>
      </w:tblPr>
      <w:tblGrid>
        <w:gridCol w:w="1684"/>
        <w:gridCol w:w="1481"/>
        <w:gridCol w:w="1485"/>
        <w:gridCol w:w="231"/>
        <w:gridCol w:w="790"/>
        <w:gridCol w:w="119"/>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non-marketable equity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and unrealized losses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89,103 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25, 2026, the Company entered into a share purchase agreement to acquire a 13.8% equity interest in Raytek Semiconductor, Inc. (“Raytek”) for a total purchase price of approximately New Taiwan Dollar (“NT$”) 1.02 billion ($32.4 million). The Company evaluated the investment under ASC 323, Investments—Equity Method and Joint Ventures, and determined that the Company does not have significant influence over Raytek’s operating and financial policies. Accordingly, the investment is not accounted for under the equity method and instead falls within the scope of ASC 321, Investments—Equity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this investment using the measurement alternative under ASC 321 because the investment does not have a readily determinable fair value. Under the measurement alternative, the investment is measured at cost, less impairment, if any, plus or minus changes resulting from observable price changes in orderly transactions for an identical or similar investment of the same issuer.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Raytek’s shares began trading on the Taipei Exchange Emerging Stock Board (“ESB”). The shares held by the Company are subject to restrictions and are not currently listed or publicly tradable on the ESB. The Company determined that trading in Raytek’s publicly traded shares represented an observable price change for purposes of applying the ASC 321 measurement alternative. Accordingly, as of June 26, 2026, the Company remeasured its investment based on the observable ESB market price, adjusted to reflect differences between the publicly traded shares and the Company's shares, including a discount for the lack of marketability associated with the Company's restricted shares. As a result of the remeasurement, the Company recognized an unrealized gain of $56.7 million in other income (expense), net, during fiscal year 2026 and increased the carrying amount of the investment to $89.1 million as of June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8.</w:t>
      </w:r>
      <w:r>
        <w:rPr>
          <w:color w:val="000000"/>
        </w:rPr>
        <w:t>    </w:t>
      </w: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inputs are inputs other than quoted prices included within Level 1 that are observable for assets or liabilities, either directly or indirectly. If the assets or liabilities have a specified (contractual) term, Level 2 inputs must be observable for substantially the full term of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inputs are unobservable inputs for assets or liabilities, which require the reporting entity to develop its own valuation techniques and assumptions.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financial instruments measured at fair value on a recurring basis, including:</w:t>
      </w:r>
    </w:p>
    <w:tbl>
      <w:tblPr>
        <w:tblW w:w="8144" w:type="dxa"/>
        <w:jc w:val="left"/>
        <w:tblInd w:w="0" w:type="dxa"/>
        <w:tblLayout w:type="fixed"/>
        <w:tblCellMar>
          <w:top w:w="28" w:type="dxa"/>
          <w:left w:w="28" w:type="dxa"/>
          <w:bottom w:w="28" w:type="dxa"/>
          <w:right w:w="28" w:type="dxa"/>
        </w:tblCellMar>
      </w:tblPr>
      <w:tblGrid>
        <w:gridCol w:w="1221"/>
        <w:gridCol w:w="1075"/>
        <w:gridCol w:w="1078"/>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w:t>
              <w:br/>
              <w:t>Using</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tbl>
      <w:tblPr>
        <w:tblW w:w="8144" w:type="dxa"/>
        <w:jc w:val="left"/>
        <w:tblInd w:w="0" w:type="dxa"/>
        <w:tblLayout w:type="fixed"/>
        <w:tblCellMar>
          <w:top w:w="28" w:type="dxa"/>
          <w:left w:w="28" w:type="dxa"/>
          <w:bottom w:w="28" w:type="dxa"/>
          <w:right w:w="28" w:type="dxa"/>
        </w:tblCellMar>
      </w:tblPr>
      <w:tblGrid>
        <w:gridCol w:w="1221"/>
        <w:gridCol w:w="1075"/>
        <w:gridCol w:w="1078"/>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w:t>
              <w:br/>
              <w:t>Using</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Foreign currency forward contract with a notional amount of $1.0 million.</w:t>
      </w:r>
    </w:p>
    <w:p>
      <w:pPr>
        <w:pStyle w:val="TextBody"/>
        <w:bidi w:val="0"/>
        <w:spacing w:lineRule="auto" w:line="288" w:before="0" w:after="0"/>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Foreign currency forward contracts with an aggregate notional amount of $279.0 million and 0.3 million Canadian dollars.</w:t>
      </w:r>
    </w:p>
    <w:p>
      <w:pPr>
        <w:pStyle w:val="TextBody"/>
        <w:bidi w:val="0"/>
        <w:spacing w:lineRule="auto" w:line="288" w:before="0" w:after="0"/>
        <w:ind w:left="0" w:right="0" w:hanging="540"/>
        <w:jc w:val="left"/>
        <w:rPr/>
      </w:pPr>
      <w:r>
        <w:rPr>
          <w:rFonts w:ascii="Times New Roman;serif" w:hAnsi="Times New Roman;serif"/>
          <w:b w:val="false"/>
          <w:color w:val="000000"/>
          <w:sz w:val="13"/>
        </w:rPr>
        <w:t>(3)</w:t>
      </w:r>
      <w:r>
        <w:rPr>
          <w:rFonts w:ascii="Times New Roman;serif" w:hAnsi="Times New Roman;serif"/>
          <w:b w:val="false"/>
          <w:color w:val="000000"/>
          <w:sz w:val="20"/>
        </w:rPr>
        <w:t>Foreign currency forward contracts with an aggregate notional amount of $130.0 million and 0.5 million Canadian dollars.</w:t>
      </w:r>
    </w:p>
    <w:p>
      <w:pPr>
        <w:pStyle w:val="TextBody"/>
        <w:bidi w:val="0"/>
        <w:spacing w:lineRule="auto" w:line="288" w:before="0" w:after="0"/>
        <w:ind w:left="0" w:right="0" w:hanging="54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Foreign currency forward contracts with an aggregate notional amount of $35.0 million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to hedge foreign exchange risk associated with certain foreign currency denominated assets and liabilities and other foreign currency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minimizes the credit risk associated with its derivative instruments by limiting the exposure to any single counterparty and by entering into derivative instruments only with counterparties that meet the Company’s minimum credit quality standard.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Forward and Option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foreign currency rate fluctuations, the U.S. dollar equivalent values of the Company’s foreign currency denominated assets and liabilities fluctuate. The Company uses foreign currency forward and option contracts to manage the foreign exchange risk associated with a portion of its foreign currency denominated assets and liabilities and other foreign currency transactions. The Company enters into foreign currency forward and option contracts to hedge fluctuations in the U.S. dollar value of forecasted transactions denominated in Thai baht and Canadian dollars with counterparties that meet the Company’s minimum credit quality standard.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enter into foreign currency forward contracts with maturities of up to 12 months to hedge fluctuations in the U.S. dollar value of forecasted transactions denominated in Thai baht, including inventory purchases, payroll and other operating expenses. The Company considers these forward contracts as dual-purpose hedges, that hedge both the foreign exchange fluctuation (i) from inception through the forecasted expenditure, and (ii) any subsequent revaluation of the account payable or accrual. The Company may designate the forward contracts that hedge the foreign exchange fluctuation from inception through the forecasted expenditure as cash flow hedges. The gain or loss on a derivative instrument designated and qualified as a cash flow hedging instrument is recorded as a component of other comprehensive income and reclassified into earnings in the same period or periods during which the hedged forecasted transaction affects earnings. The reclassified amounts are presented in the same income statement line item as the earnings effect of the hedged item. Once the forecasted transactions are recorded, the Company will discontinue the hedging relationship by de-designating the derivative instrument and recording subsequent changes in fair value through contract maturity to foreign exchange gain (loss), net in the consolidated statements of operations and comprehensive income as a natural hedge against the Thai baht denominated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also enter into non-designated foreign currency forward and option contracts to provide an offset to the re-measurement of foreign currency denominated assets and liabilities and to hedge certain forecasted exposures. Changes in the fair value of these non-designated derivatives are recorded through foreign exchange gain (loss), net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Company had 272 outstanding U.S. dollar foreign currency forward contracts against Thai baht with an aggregate notional amount of $280.0 million and with maturity dates ranging from July 2026 through December 2026, and one foreign currency contract with a notional amount of 0.3 million Canadian dollars and with a maturity date in September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had 165 outstanding U.S. dollar foreign currency forward contracts against Thai baht with an aggregate notional amount of $165.0 million and with maturity dates ranging from July 2025 through December 2025, and one foreign currency contract with a notional amount of 0.5 million Canadian dollars and with a maturity date in September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hedging relationship over foreign currency forward contracts which were designated for hedge accounting had been tested to be highly effective based on the performance of retrospective and prospective regression testing. As of June 26, 2026, the amount in AOCI that is expected to be reclassified into earnings within 12 months as loss was $5.6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June 26, 2026 and June 27, 2025, the Company included an unrealized loss of $2.8 million and an unrealized gain of $1.9 million, respectively, from changes in fair value of foreign currency forward and option contracts which were not designated for hedge accounting in earnings as foreign exchange gain (loss), net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impact of derivative gain (loss) of the Company’s foreign currency forward contracts and interest rate swaps which were designated as cash flow hedges on the consolidated statements of operations and other comprehensive income:</w:t>
      </w:r>
    </w:p>
    <w:tbl>
      <w:tblPr>
        <w:tblW w:w="10205" w:type="dxa"/>
        <w:jc w:val="left"/>
        <w:tblInd w:w="0" w:type="dxa"/>
        <w:tblLayout w:type="fixed"/>
        <w:tblCellMar>
          <w:top w:w="28" w:type="dxa"/>
          <w:left w:w="28" w:type="dxa"/>
          <w:bottom w:w="28" w:type="dxa"/>
          <w:right w:w="28" w:type="dxa"/>
        </w:tblCellMar>
      </w:tblPr>
      <w:tblGrid>
        <w:gridCol w:w="1611"/>
        <w:gridCol w:w="1415"/>
        <w:gridCol w:w="1425"/>
        <w:gridCol w:w="997"/>
        <w:gridCol w:w="997"/>
        <w:gridCol w:w="1002"/>
        <w:gridCol w:w="109"/>
        <w:gridCol w:w="109"/>
        <w:gridCol w:w="109"/>
        <w:gridCol w:w="211"/>
        <w:gridCol w:w="761"/>
        <w:gridCol w:w="109"/>
        <w:gridCol w:w="109"/>
        <w:gridCol w:w="109"/>
        <w:gridCol w:w="109"/>
        <w:gridCol w:w="211"/>
        <w:gridCol w:w="656"/>
        <w:gridCol w:w="156"/>
      </w:tblGrid>
      <w:tr>
        <w:trPr/>
        <w:tc>
          <w:tcPr>
            <w:tcW w:w="16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statements</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gain (loss) recognized in other comprehensive income (loss):</w:t>
            </w:r>
          </w:p>
        </w:tc>
        <w:tc>
          <w:tcPr>
            <w:tcW w:w="2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derivatives loss (gain) recognized in other comprehensive income</w:t>
            </w:r>
          </w:p>
        </w:tc>
        <w:tc>
          <w:tcPr>
            <w:tcW w:w="2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Derivatives loss (gain) reclassified from accumulated other comprehensive income into earnings:</w:t>
            </w:r>
          </w:p>
        </w:tc>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derivatives (gain) loss reclassified from accumulated other comprehensive income into earnings</w:t>
            </w:r>
          </w:p>
        </w:tc>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 in net unrealized gain (loss) on derivative instruments</w:t>
            </w:r>
          </w:p>
        </w:tc>
        <w:tc>
          <w:tcPr>
            <w:tcW w:w="2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of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values of the Company’s derivative financial instruments for the periods presented:</w:t>
      </w:r>
    </w:p>
    <w:tbl>
      <w:tblPr>
        <w:tblW w:w="9071" w:type="dxa"/>
        <w:jc w:val="left"/>
        <w:tblInd w:w="0" w:type="dxa"/>
        <w:tblLayout w:type="fixed"/>
        <w:tblCellMar>
          <w:top w:w="28" w:type="dxa"/>
          <w:left w:w="28" w:type="dxa"/>
          <w:bottom w:w="28" w:type="dxa"/>
          <w:right w:w="28" w:type="dxa"/>
        </w:tblCellMar>
      </w:tblPr>
      <w:tblGrid>
        <w:gridCol w:w="1570"/>
        <w:gridCol w:w="1381"/>
        <w:gridCol w:w="1384"/>
        <w:gridCol w:w="253"/>
        <w:gridCol w:w="487"/>
        <w:gridCol w:w="131"/>
        <w:gridCol w:w="109"/>
        <w:gridCol w:w="109"/>
        <w:gridCol w:w="109"/>
        <w:gridCol w:w="211"/>
        <w:gridCol w:w="691"/>
        <w:gridCol w:w="109"/>
        <w:gridCol w:w="109"/>
        <w:gridCol w:w="109"/>
        <w:gridCol w:w="109"/>
        <w:gridCol w:w="211"/>
        <w:gridCol w:w="616"/>
        <w:gridCol w:w="109"/>
        <w:gridCol w:w="109"/>
        <w:gridCol w:w="109"/>
        <w:gridCol w:w="109"/>
        <w:gridCol w:w="228"/>
        <w:gridCol w:w="541"/>
        <w:gridCol w:w="168"/>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Liabilities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gross balances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presents its derivatives at gross fair values in the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the fair value of derivative financial instruments in the consolidated balance sheets as follows:</w:t>
      </w:r>
    </w:p>
    <w:tbl>
      <w:tblPr>
        <w:tblW w:w="5068" w:type="dxa"/>
        <w:jc w:val="left"/>
        <w:tblInd w:w="0" w:type="dxa"/>
        <w:tblLayout w:type="fixed"/>
        <w:tblCellMar>
          <w:top w:w="28" w:type="dxa"/>
          <w:left w:w="28" w:type="dxa"/>
          <w:bottom w:w="28" w:type="dxa"/>
          <w:right w:w="28" w:type="dxa"/>
        </w:tblCellMar>
      </w:tblPr>
      <w:tblGrid>
        <w:gridCol w:w="1071"/>
        <w:gridCol w:w="939"/>
        <w:gridCol w:w="944"/>
        <w:gridCol w:w="618"/>
        <w:gridCol w:w="618"/>
        <w:gridCol w:w="878"/>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Financial Instruments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Balance Sheet line item</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 Assets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 Liabilities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pPr>
      <w:r>
        <w:rPr>
          <w:rFonts w:ascii="Times New Roman;serif" w:hAnsi="Times New Roman;serif"/>
          <w:b/>
          <w:color w:val="000000"/>
          <w:sz w:val="20"/>
        </w:rPr>
        <w:t>9.</w:t>
      </w:r>
      <w:r>
        <w:rPr>
          <w:color w:val="000000"/>
        </w:rPr>
        <w:t>    </w:t>
      </w:r>
      <w:r>
        <w:rPr>
          <w:rFonts w:ascii="Times New Roman;serif" w:hAnsi="Times New Roman;serif"/>
          <w:b/>
          <w:color w:val="000000"/>
          <w:sz w:val="20"/>
        </w:rPr>
        <w:t>Trade accounts receivable, net</w:t>
      </w:r>
    </w:p>
    <w:tbl>
      <w:tblPr>
        <w:tblW w:w="6354" w:type="dxa"/>
        <w:jc w:val="left"/>
        <w:tblInd w:w="0" w:type="dxa"/>
        <w:tblLayout w:type="fixed"/>
        <w:tblCellMar>
          <w:top w:w="28" w:type="dxa"/>
          <w:left w:w="28" w:type="dxa"/>
          <w:bottom w:w="28" w:type="dxa"/>
          <w:right w:w="28" w:type="dxa"/>
        </w:tblCellMar>
      </w:tblPr>
      <w:tblGrid>
        <w:gridCol w:w="1281"/>
        <w:gridCol w:w="1128"/>
        <w:gridCol w:w="1131"/>
        <w:gridCol w:w="211"/>
        <w:gridCol w:w="976"/>
        <w:gridCol w:w="109"/>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movement in the Company’s expected credit losses during the years ended June 26, 2026, June 27, 2025, and June 28, 2024:</w:t>
      </w:r>
    </w:p>
    <w:tbl>
      <w:tblPr>
        <w:tblW w:w="5135" w:type="dxa"/>
        <w:jc w:val="left"/>
        <w:tblInd w:w="0" w:type="dxa"/>
        <w:tblLayout w:type="fixed"/>
        <w:tblCellMar>
          <w:top w:w="28" w:type="dxa"/>
          <w:left w:w="28" w:type="dxa"/>
          <w:bottom w:w="28" w:type="dxa"/>
          <w:right w:w="28" w:type="dxa"/>
        </w:tblCellMar>
      </w:tblPr>
      <w:tblGrid>
        <w:gridCol w:w="863"/>
        <w:gridCol w:w="759"/>
        <w:gridCol w:w="762"/>
        <w:gridCol w:w="109"/>
        <w:gridCol w:w="109"/>
        <w:gridCol w:w="109"/>
        <w:gridCol w:w="109"/>
        <w:gridCol w:w="109"/>
        <w:gridCol w:w="109"/>
        <w:gridCol w:w="109"/>
        <w:gridCol w:w="109"/>
        <w:gridCol w:w="109"/>
        <w:gridCol w:w="380"/>
        <w:gridCol w:w="1112"/>
        <w:gridCol w:w="278"/>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Expected credit Losses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10.</w:t>
      </w:r>
      <w:r>
        <w:rPr>
          <w:color w:val="000000"/>
        </w:rPr>
        <w:t>    </w:t>
      </w:r>
      <w:r>
        <w:rPr>
          <w:rFonts w:ascii="Times New Roman;serif" w:hAnsi="Times New Roman;serif"/>
          <w:b/>
          <w:color w:val="000000"/>
          <w:sz w:val="20"/>
        </w:rPr>
        <w:t>Inventories</w:t>
      </w:r>
    </w:p>
    <w:tbl>
      <w:tblPr>
        <w:tblW w:w="4314" w:type="dxa"/>
        <w:jc w:val="left"/>
        <w:tblInd w:w="0" w:type="dxa"/>
        <w:tblLayout w:type="fixed"/>
        <w:tblCellMar>
          <w:top w:w="28" w:type="dxa"/>
          <w:left w:w="28" w:type="dxa"/>
          <w:bottom w:w="28" w:type="dxa"/>
          <w:right w:w="28" w:type="dxa"/>
        </w:tblCellMar>
      </w:tblPr>
      <w:tblGrid>
        <w:gridCol w:w="543"/>
        <w:gridCol w:w="478"/>
        <w:gridCol w:w="479"/>
        <w:gridCol w:w="211"/>
        <w:gridCol w:w="97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Goods in transit</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leases facilities under non-cancelable operating lease agreements. The Company leases a portion of its capital equipment and vehicles, certain land and buildings for its facilities in Thailand, the Cayman Islands, the PRC, the U.S., Israel and Singapore under operating lease arrangements that expire at various dates through 2034. Certain of these lease arrangements provide the Company the ability to extend the lease term following the expiration of the current term. However, the Company has excluded all lease extension options from its right of use (“ROU”) assets and lease liabilities as the Company is not reasonably assured that it will exercise these options. None of the lease agreements contain residual value guarantees provided by the lessee.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maturities of the Company’s operating lease liabilities were as follows:</w:t>
      </w:r>
    </w:p>
    <w:tbl>
      <w:tblPr>
        <w:tblW w:w="4473" w:type="dxa"/>
        <w:jc w:val="left"/>
        <w:tblInd w:w="0" w:type="dxa"/>
        <w:tblLayout w:type="fixed"/>
        <w:tblCellMar>
          <w:top w:w="28" w:type="dxa"/>
          <w:left w:w="28" w:type="dxa"/>
          <w:bottom w:w="28" w:type="dxa"/>
          <w:right w:w="28" w:type="dxa"/>
        </w:tblCellMar>
      </w:tblPr>
      <w:tblGrid>
        <w:gridCol w:w="1344"/>
        <w:gridCol w:w="909"/>
        <w:gridCol w:w="912"/>
        <w:gridCol w:w="211"/>
        <w:gridCol w:w="616"/>
        <w:gridCol w:w="109"/>
        <w:gridCol w:w="109"/>
        <w:gridCol w:w="109"/>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current portion of operating lease liabilities of $1.2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expense related to the Company’s operating leases is recognized on a straight-line basis over the lease term.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expense for long-term leases for the years ended June 26, 2026, June 27, 2025 and June 28, 2024 was $2.1 million, $1.9 million and $2.4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expense for short-term leases for the years ended June 26, 2026, June 27, 2025 and June 28, 2024 was $0.1 million, $0.3 million and $0.9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additional information related to the Company’s operating leases:</w:t>
      </w:r>
    </w:p>
    <w:tbl>
      <w:tblPr>
        <w:tblW w:w="7584" w:type="dxa"/>
        <w:jc w:val="left"/>
        <w:tblInd w:w="0" w:type="dxa"/>
        <w:tblLayout w:type="fixed"/>
        <w:tblCellMar>
          <w:top w:w="28" w:type="dxa"/>
          <w:left w:w="28" w:type="dxa"/>
          <w:bottom w:w="28" w:type="dxa"/>
          <w:right w:w="28" w:type="dxa"/>
        </w:tblCellMar>
      </w:tblPr>
      <w:tblGrid>
        <w:gridCol w:w="1495"/>
        <w:gridCol w:w="1312"/>
        <w:gridCol w:w="1317"/>
        <w:gridCol w:w="344"/>
        <w:gridCol w:w="344"/>
        <w:gridCol w:w="856"/>
        <w:gridCol w:w="109"/>
        <w:gridCol w:w="109"/>
        <w:gridCol w:w="109"/>
        <w:gridCol w:w="324"/>
        <w:gridCol w:w="324"/>
        <w:gridCol w:w="941"/>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information represents supplemental disclosure for the statement of cash flows related to operating leases:</w:t>
      </w:r>
    </w:p>
    <w:tbl>
      <w:tblPr>
        <w:tblW w:w="9878" w:type="dxa"/>
        <w:jc w:val="left"/>
        <w:tblInd w:w="0" w:type="dxa"/>
        <w:tblLayout w:type="fixed"/>
        <w:tblCellMar>
          <w:top w:w="28" w:type="dxa"/>
          <w:left w:w="28" w:type="dxa"/>
          <w:bottom w:w="28" w:type="dxa"/>
          <w:right w:w="28" w:type="dxa"/>
        </w:tblCellMar>
      </w:tblPr>
      <w:tblGrid>
        <w:gridCol w:w="2100"/>
        <w:gridCol w:w="1845"/>
        <w:gridCol w:w="1860"/>
        <w:gridCol w:w="253"/>
        <w:gridCol w:w="741"/>
        <w:gridCol w:w="131"/>
        <w:gridCol w:w="109"/>
        <w:gridCol w:w="109"/>
        <w:gridCol w:w="109"/>
        <w:gridCol w:w="253"/>
        <w:gridCol w:w="741"/>
        <w:gridCol w:w="131"/>
        <w:gridCol w:w="109"/>
        <w:gridCol w:w="109"/>
        <w:gridCol w:w="109"/>
        <w:gridCol w:w="251"/>
        <w:gridCol w:w="735"/>
        <w:gridCol w:w="183"/>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540"/>
        <w:jc w:val="left"/>
        <w:rPr/>
      </w:pPr>
      <w:r>
        <w:rPr>
          <w:rFonts w:ascii="Times New Roman;serif" w:hAnsi="Times New Roman;serif"/>
          <w:b/>
          <w:color w:val="000000"/>
          <w:sz w:val="20"/>
        </w:rPr>
        <w:t>12.</w:t>
      </w:r>
      <w:r>
        <w:rPr>
          <w:color w:val="000000"/>
        </w:rPr>
        <w:t>    </w:t>
      </w:r>
      <w:r>
        <w:rPr>
          <w:rFonts w:ascii="Times New Roman;serif" w:hAnsi="Times New Roman;serif"/>
          <w:b/>
          <w:color w:val="000000"/>
          <w:sz w:val="20"/>
        </w:rPr>
        <w:t>Property, plant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property, plant and equipment, net were as follows:</w:t>
      </w:r>
    </w:p>
    <w:tbl>
      <w:tblPr>
        <w:tblW w:w="11883" w:type="dxa"/>
        <w:jc w:val="left"/>
        <w:tblInd w:w="0" w:type="dxa"/>
        <w:tblLayout w:type="fixed"/>
        <w:tblCellMar>
          <w:top w:w="28" w:type="dxa"/>
          <w:left w:w="28" w:type="dxa"/>
          <w:bottom w:w="28" w:type="dxa"/>
          <w:right w:w="28" w:type="dxa"/>
        </w:tblCellMar>
      </w:tblPr>
      <w:tblGrid>
        <w:gridCol w:w="614"/>
        <w:gridCol w:w="263"/>
        <w:gridCol w:w="264"/>
        <w:gridCol w:w="235"/>
        <w:gridCol w:w="775"/>
        <w:gridCol w:w="131"/>
        <w:gridCol w:w="109"/>
        <w:gridCol w:w="109"/>
        <w:gridCol w:w="109"/>
        <w:gridCol w:w="214"/>
        <w:gridCol w:w="806"/>
        <w:gridCol w:w="121"/>
        <w:gridCol w:w="109"/>
        <w:gridCol w:w="109"/>
        <w:gridCol w:w="109"/>
        <w:gridCol w:w="226"/>
        <w:gridCol w:w="849"/>
        <w:gridCol w:w="126"/>
        <w:gridCol w:w="109"/>
        <w:gridCol w:w="109"/>
        <w:gridCol w:w="109"/>
        <w:gridCol w:w="201"/>
        <w:gridCol w:w="572"/>
        <w:gridCol w:w="113"/>
        <w:gridCol w:w="109"/>
        <w:gridCol w:w="109"/>
        <w:gridCol w:w="109"/>
        <w:gridCol w:w="196"/>
        <w:gridCol w:w="556"/>
        <w:gridCol w:w="109"/>
        <w:gridCol w:w="109"/>
        <w:gridCol w:w="109"/>
        <w:gridCol w:w="109"/>
        <w:gridCol w:w="196"/>
        <w:gridCol w:w="646"/>
        <w:gridCol w:w="109"/>
        <w:gridCol w:w="109"/>
        <w:gridCol w:w="109"/>
        <w:gridCol w:w="109"/>
        <w:gridCol w:w="216"/>
        <w:gridCol w:w="713"/>
        <w:gridCol w:w="122"/>
        <w:gridCol w:w="109"/>
        <w:gridCol w:w="109"/>
        <w:gridCol w:w="109"/>
        <w:gridCol w:w="196"/>
        <w:gridCol w:w="87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Land and</w:t>
              <w:br/>
              <w:t>Land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Building</w:t>
              <w:br/>
              <w:t>and</w:t>
              <w:br/>
              <w:t>Building</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Manufacturing</w:t>
              <w:br/>
              <w:t>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Office</w:t>
              <w:br/>
              <w:t>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Motor</w:t>
              <w:br/>
              <w:t>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Computers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Construction</w:t>
              <w:br/>
              <w:t>and</w:t>
              <w:br/>
              <w:t>Machinery</w:t>
              <w:br/>
              <w:t>Under</w:t>
              <w:br/>
              <w:t>Installation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68,675 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330,841 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512,821 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(293,870)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Impairment reserve</w:t>
            </w:r>
          </w:p>
        </w:tc>
        <w:tc>
          <w:tcPr>
            <w:tcW w:w="10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67,726 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w:t>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374,322 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(92,478)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(248,833)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(367,042)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Impairment reserve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60,899 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130,162 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125,200 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51,048 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amounted to $67.5 million, $52.5 million and $48.2 million for the years ended June 26, 2026, June 27, 2025 and June 28, 2024, respectively, and has been allocated between cost of revenues and selling, general and administrative expenses in the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cost of fully depreciated property, plant and equipment written-off during the years ended June 26, 2026, June 27, 2025 and June 28, 2024 amounted to $6.5 million, $12.5 million and $10.7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26, 2026, June 27, 2025 and June 28, 2024, the Company recognized impairment reserves for property, plant and equipment of $0.3 million, $0.3 million and $0.3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13</w:t>
      </w:r>
      <w:r>
        <w:rPr>
          <w:rFonts w:ascii="Times New Roman;serif" w:hAnsi="Times New Roman;serif"/>
          <w:b w:val="false"/>
          <w:color w:val="000000"/>
          <w:sz w:val="20"/>
        </w:rPr>
        <w:t>.    </w:t>
      </w:r>
      <w:r>
        <w:rPr>
          <w:rFonts w:ascii="Times New Roman;serif" w:hAnsi="Times New Roman;serif"/>
          <w:b/>
          <w:color w:val="000000"/>
          <w:sz w:val="20"/>
        </w:rPr>
        <w:t>Intangibles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details of the Company’s intangibles:</w:t>
      </w:r>
    </w:p>
    <w:tbl>
      <w:tblPr>
        <w:tblW w:w="5958" w:type="dxa"/>
        <w:jc w:val="left"/>
        <w:tblInd w:w="0" w:type="dxa"/>
        <w:tblLayout w:type="fixed"/>
        <w:tblCellMar>
          <w:top w:w="28" w:type="dxa"/>
          <w:left w:w="28" w:type="dxa"/>
          <w:bottom w:w="28" w:type="dxa"/>
          <w:right w:w="28" w:type="dxa"/>
        </w:tblCellMar>
      </w:tblPr>
      <w:tblGrid>
        <w:gridCol w:w="825"/>
        <w:gridCol w:w="726"/>
        <w:gridCol w:w="728"/>
        <w:gridCol w:w="313"/>
        <w:gridCol w:w="1070"/>
        <w:gridCol w:w="161"/>
        <w:gridCol w:w="109"/>
        <w:gridCol w:w="109"/>
        <w:gridCol w:w="109"/>
        <w:gridCol w:w="109"/>
        <w:gridCol w:w="109"/>
        <w:gridCol w:w="309"/>
        <w:gridCol w:w="1056"/>
        <w:gridCol w:w="22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 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Software</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relating to intangibles of $0.9 million, $0.9 million and $1.0 million for the years ended June 26, 2026, June 27, 2025 and June 28,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life of software was:</w:t>
      </w:r>
    </w:p>
    <w:tbl>
      <w:tblPr>
        <w:tblW w:w="4288" w:type="dxa"/>
        <w:jc w:val="left"/>
        <w:tblInd w:w="0" w:type="dxa"/>
        <w:tblLayout w:type="fixed"/>
        <w:tblCellMar>
          <w:top w:w="28" w:type="dxa"/>
          <w:left w:w="28" w:type="dxa"/>
          <w:bottom w:w="28" w:type="dxa"/>
          <w:right w:w="28" w:type="dxa"/>
        </w:tblCellMar>
      </w:tblPr>
      <w:tblGrid>
        <w:gridCol w:w="299"/>
        <w:gridCol w:w="262"/>
        <w:gridCol w:w="265"/>
        <w:gridCol w:w="514"/>
        <w:gridCol w:w="514"/>
        <w:gridCol w:w="517"/>
        <w:gridCol w:w="109"/>
        <w:gridCol w:w="109"/>
        <w:gridCol w:w="109"/>
        <w:gridCol w:w="465"/>
        <w:gridCol w:w="465"/>
        <w:gridCol w:w="660"/>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(years)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 2025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carrying amount of intangibles as of June 26, 2026, and assuming no future impairment of the underlying assets, the estimated future amortization during each fiscal year was as follows:</w:t>
      </w:r>
    </w:p>
    <w:tbl>
      <w:tblPr>
        <w:tblW w:w="2105" w:type="dxa"/>
        <w:jc w:val="left"/>
        <w:tblInd w:w="0" w:type="dxa"/>
        <w:tblLayout w:type="fixed"/>
        <w:tblCellMar>
          <w:top w:w="28" w:type="dxa"/>
          <w:left w:w="28" w:type="dxa"/>
          <w:bottom w:w="28" w:type="dxa"/>
          <w:right w:w="28" w:type="dxa"/>
        </w:tblCellMar>
      </w:tblPr>
      <w:tblGrid>
        <w:gridCol w:w="407"/>
        <w:gridCol w:w="358"/>
        <w:gridCol w:w="359"/>
        <w:gridCol w:w="211"/>
        <w:gridCol w:w="61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14.</w:t>
      </w:r>
      <w:r>
        <w:rPr>
          <w:color w:val="000000"/>
        </w:rPr>
        <w:t>    </w:t>
      </w:r>
      <w:r>
        <w:rPr>
          <w:rFonts w:ascii="Times New Roman;serif" w:hAnsi="Times New Roman;serif"/>
          <w:b/>
          <w:color w:val="000000"/>
          <w:sz w:val="20"/>
        </w:rPr>
        <w:t>Severance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severance liabilities:</w:t>
      </w:r>
    </w:p>
    <w:tbl>
      <w:tblPr>
        <w:tblW w:w="5769" w:type="dxa"/>
        <w:jc w:val="left"/>
        <w:tblInd w:w="0" w:type="dxa"/>
        <w:tblLayout w:type="fixed"/>
        <w:tblCellMar>
          <w:top w:w="28" w:type="dxa"/>
          <w:left w:w="28" w:type="dxa"/>
          <w:bottom w:w="28" w:type="dxa"/>
          <w:right w:w="28" w:type="dxa"/>
        </w:tblCellMar>
      </w:tblPr>
      <w:tblGrid>
        <w:gridCol w:w="1201"/>
        <w:gridCol w:w="1056"/>
        <w:gridCol w:w="1058"/>
        <w:gridCol w:w="211"/>
        <w:gridCol w:w="721"/>
        <w:gridCol w:w="109"/>
        <w:gridCol w:w="109"/>
        <w:gridCol w:w="109"/>
        <w:gridCol w:w="109"/>
        <w:gridCol w:w="211"/>
        <w:gridCol w:w="72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severance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fiscal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exchange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 on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fiscal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severance liabilities as of June 26, 2026:</w:t>
      </w:r>
    </w:p>
    <w:tbl>
      <w:tblPr>
        <w:tblW w:w="2210" w:type="dxa"/>
        <w:jc w:val="left"/>
        <w:tblInd w:w="0" w:type="dxa"/>
        <w:tblLayout w:type="fixed"/>
        <w:tblCellMar>
          <w:top w:w="28" w:type="dxa"/>
          <w:left w:w="28" w:type="dxa"/>
          <w:bottom w:w="28" w:type="dxa"/>
          <w:right w:w="28" w:type="dxa"/>
        </w:tblCellMar>
      </w:tblPr>
      <w:tblGrid>
        <w:gridCol w:w="407"/>
        <w:gridCol w:w="358"/>
        <w:gridCol w:w="35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 recognized in the consolidated balance sheets under current liabilities and non-current liabilities were determined as follows:</w:t>
      </w:r>
    </w:p>
    <w:tbl>
      <w:tblPr>
        <w:tblW w:w="4572" w:type="dxa"/>
        <w:jc w:val="left"/>
        <w:tblInd w:w="0" w:type="dxa"/>
        <w:tblLayout w:type="fixed"/>
        <w:tblCellMar>
          <w:top w:w="28" w:type="dxa"/>
          <w:left w:w="28" w:type="dxa"/>
          <w:bottom w:w="28" w:type="dxa"/>
          <w:right w:w="28" w:type="dxa"/>
        </w:tblCellMar>
      </w:tblPr>
      <w:tblGrid>
        <w:gridCol w:w="695"/>
        <w:gridCol w:w="612"/>
        <w:gridCol w:w="613"/>
        <w:gridCol w:w="231"/>
        <w:gridCol w:w="790"/>
        <w:gridCol w:w="119"/>
        <w:gridCol w:w="109"/>
        <w:gridCol w:w="109"/>
        <w:gridCol w:w="109"/>
        <w:gridCol w:w="230"/>
        <w:gridCol w:w="787"/>
        <w:gridCol w:w="168"/>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accumulated benefit obligations:</w:t>
      </w:r>
    </w:p>
    <w:tbl>
      <w:tblPr>
        <w:tblW w:w="5441" w:type="dxa"/>
        <w:jc w:val="left"/>
        <w:tblInd w:w="0" w:type="dxa"/>
        <w:tblLayout w:type="fixed"/>
        <w:tblCellMar>
          <w:top w:w="28" w:type="dxa"/>
          <w:left w:w="28" w:type="dxa"/>
          <w:bottom w:w="28" w:type="dxa"/>
          <w:right w:w="28" w:type="dxa"/>
        </w:tblCellMar>
      </w:tblPr>
      <w:tblGrid>
        <w:gridCol w:w="1008"/>
        <w:gridCol w:w="887"/>
        <w:gridCol w:w="894"/>
        <w:gridCol w:w="231"/>
        <w:gridCol w:w="790"/>
        <w:gridCol w:w="119"/>
        <w:gridCol w:w="109"/>
        <w:gridCol w:w="109"/>
        <w:gridCol w:w="109"/>
        <w:gridCol w:w="230"/>
        <w:gridCol w:w="787"/>
        <w:gridCol w:w="168"/>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principal actuarial assumptions used were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actuarial assumptions used to determine severance liabilities</w:t>
      </w:r>
    </w:p>
    <w:tbl>
      <w:tblPr>
        <w:tblW w:w="6246" w:type="dxa"/>
        <w:jc w:val="left"/>
        <w:tblInd w:w="0" w:type="dxa"/>
        <w:tblLayout w:type="fixed"/>
        <w:tblCellMar>
          <w:top w:w="28" w:type="dxa"/>
          <w:left w:w="28" w:type="dxa"/>
          <w:bottom w:w="28" w:type="dxa"/>
          <w:right w:w="28" w:type="dxa"/>
        </w:tblCellMar>
      </w:tblPr>
      <w:tblGrid>
        <w:gridCol w:w="706"/>
        <w:gridCol w:w="619"/>
        <w:gridCol w:w="624"/>
        <w:gridCol w:w="399"/>
        <w:gridCol w:w="399"/>
        <w:gridCol w:w="401"/>
        <w:gridCol w:w="109"/>
        <w:gridCol w:w="109"/>
        <w:gridCol w:w="109"/>
        <w:gridCol w:w="399"/>
        <w:gridCol w:w="399"/>
        <w:gridCol w:w="401"/>
        <w:gridCol w:w="109"/>
        <w:gridCol w:w="109"/>
        <w:gridCol w:w="109"/>
        <w:gridCol w:w="364"/>
        <w:gridCol w:w="364"/>
        <w:gridCol w:w="517"/>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 - 4.1%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 - 5.5%</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salary increases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- 10.0%</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15.</w:t>
      </w:r>
      <w:r>
        <w:rPr>
          <w:color w:val="000000"/>
        </w:rPr>
        <w:t>    </w:t>
      </w:r>
      <w:r>
        <w:rPr>
          <w:rFonts w:ascii="Times New Roman;serif" w:hAnsi="Times New Roman;serif"/>
          <w:b/>
          <w:color w:val="000000"/>
          <w:sz w:val="20"/>
        </w:rPr>
        <w:t>Share-based compensation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grant date fair value of restricted share units and performance share units is based on the market value of Fabrinet's ordinary shares on the date of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 of recording share-based compensation expense for the years ended June 26, 2026, June 27, 2025 and June 28, 2024 was as follows:</w:t>
      </w:r>
    </w:p>
    <w:tbl>
      <w:tblPr>
        <w:tblW w:w="8261" w:type="dxa"/>
        <w:jc w:val="left"/>
        <w:tblInd w:w="0" w:type="dxa"/>
        <w:tblLayout w:type="fixed"/>
        <w:tblCellMar>
          <w:top w:w="28" w:type="dxa"/>
          <w:left w:w="28" w:type="dxa"/>
          <w:bottom w:w="28" w:type="dxa"/>
          <w:right w:w="28" w:type="dxa"/>
        </w:tblCellMar>
      </w:tblPr>
      <w:tblGrid>
        <w:gridCol w:w="1605"/>
        <w:gridCol w:w="1412"/>
        <w:gridCol w:w="1422"/>
        <w:gridCol w:w="211"/>
        <w:gridCol w:w="721"/>
        <w:gridCol w:w="109"/>
        <w:gridCol w:w="109"/>
        <w:gridCol w:w="109"/>
        <w:gridCol w:w="109"/>
        <w:gridCol w:w="211"/>
        <w:gridCol w:w="721"/>
        <w:gridCol w:w="109"/>
        <w:gridCol w:w="109"/>
        <w:gridCol w:w="109"/>
        <w:gridCol w:w="109"/>
        <w:gridCol w:w="211"/>
        <w:gridCol w:w="72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by type of award: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on share-based compensation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was recorded in the consolidated statements of operations and comprehensive income as follows:</w:t>
      </w:r>
    </w:p>
    <w:tbl>
      <w:tblPr>
        <w:tblW w:w="7482" w:type="dxa"/>
        <w:jc w:val="left"/>
        <w:tblInd w:w="0" w:type="dxa"/>
        <w:tblLayout w:type="fixed"/>
        <w:tblCellMar>
          <w:top w:w="28" w:type="dxa"/>
          <w:left w:w="28" w:type="dxa"/>
          <w:bottom w:w="28" w:type="dxa"/>
          <w:right w:w="28" w:type="dxa"/>
        </w:tblCellMar>
      </w:tblPr>
      <w:tblGrid>
        <w:gridCol w:w="1326"/>
        <w:gridCol w:w="1166"/>
        <w:gridCol w:w="1168"/>
        <w:gridCol w:w="211"/>
        <w:gridCol w:w="721"/>
        <w:gridCol w:w="109"/>
        <w:gridCol w:w="109"/>
        <w:gridCol w:w="109"/>
        <w:gridCol w:w="109"/>
        <w:gridCol w:w="211"/>
        <w:gridCol w:w="721"/>
        <w:gridCol w:w="109"/>
        <w:gridCol w:w="109"/>
        <w:gridCol w:w="109"/>
        <w:gridCol w:w="109"/>
        <w:gridCol w:w="211"/>
        <w:gridCol w:w="72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did not capitalize any share-based compensation expense as part of any asset costs during the years ended June 26, 2026, June 27, 2025 and June 28,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Share-based award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12, 2019, the Company’s shareholders approved Fabrinet’s 2020 Equity Incentive Plan (the “2020 Plan”). Upon the approval of the 2020 Plan, Fabrinet’s Amended and Restated 2010 Performance Incentive Plan (the “2010 Plan”) was simultaneously terminated. The 2020 Plan provides for the grant of equity awards thereunder with respect to (i) 1,700,000 ordinary shares, plus (ii) up to 1,300,000 ordinary shares that, as of immediately prior to the termination of the 2010 Plan, had been reserved but not issued pursuant to any awards granted under the 2010 Plan and are not subject to any awards thereunder. Upon termination of the 2010 Plan, 1,281,619 ordinary shares were reserved for issuance under the 2020 Plan pursuant to clause (ii) of the preceding sentence.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 2017, the Company adopted the 2017 Inducement Equity Incentive Plan (the “2017 Inducement Plan”) with a reserve of 160,000 ordinary shares authorized for future issuance solely for the granting of inducement share options and equity awards to new employees. The 2017 Inducement Plan was adopted without shareholder approval in reliance on the “employment inducement exemption” provided under the New York Stock Exchange Listed Company Manual.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2020 Plan and 2017 Inducement Plan are collectively referred to as the “Equity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number of equity awards outstanding and ordinary shares available for grant under each of the Equity Incentive Plans as of June 26, 2026:</w:t>
      </w:r>
    </w:p>
    <w:tbl>
      <w:tblPr>
        <w:tblW w:w="10205" w:type="dxa"/>
        <w:jc w:val="left"/>
        <w:tblInd w:w="0" w:type="dxa"/>
        <w:tblLayout w:type="fixed"/>
        <w:tblCellMar>
          <w:top w:w="28" w:type="dxa"/>
          <w:left w:w="28" w:type="dxa"/>
          <w:bottom w:w="28" w:type="dxa"/>
          <w:right w:w="28" w:type="dxa"/>
        </w:tblCellMar>
      </w:tblPr>
      <w:tblGrid>
        <w:gridCol w:w="644"/>
        <w:gridCol w:w="568"/>
        <w:gridCol w:w="573"/>
        <w:gridCol w:w="804"/>
        <w:gridCol w:w="769"/>
        <w:gridCol w:w="772"/>
        <w:gridCol w:w="109"/>
        <w:gridCol w:w="109"/>
        <w:gridCol w:w="109"/>
        <w:gridCol w:w="836"/>
        <w:gridCol w:w="832"/>
        <w:gridCol w:w="834"/>
        <w:gridCol w:w="109"/>
        <w:gridCol w:w="109"/>
        <w:gridCol w:w="109"/>
        <w:gridCol w:w="917"/>
        <w:gridCol w:w="826"/>
        <w:gridCol w:w="1176"/>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 units)</w:t>
            </w:r>
          </w:p>
        </w:tc>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Share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Share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 available for future grant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Plan</w:t>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211,574 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94,687 </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1,455,660 </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Inducement Plan</w:t>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111,347 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211,574 </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94,687 </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1,567,007 </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share units and performance share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share units and performance share units have been granted under the Equity Incentive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granted to employees generally vest in equal installments over three or four years on each anniversary of the vesting commencement date. Restricted share units granted to non-employee directors generally cliff vest 100% on the first of January, approximately one year from the grant date, provided the director continues to serve through such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 granted to executives will vest, if at all, at the end of a two-year performance period based on the Company’s achievement of pre-defined performance criteria, which consist of revenue and non-U.S. GAAP operating margin targets. The actual number of performance share units that may vest at the end of the performance period ranges from 0% to 100% of the award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share unit activity under the Equity Incentive Plans:</w:t>
      </w:r>
    </w:p>
    <w:tbl>
      <w:tblPr>
        <w:tblW w:w="5918" w:type="dxa"/>
        <w:jc w:val="left"/>
        <w:tblInd w:w="0" w:type="dxa"/>
        <w:tblLayout w:type="fixed"/>
        <w:tblCellMar>
          <w:top w:w="28" w:type="dxa"/>
          <w:left w:w="28" w:type="dxa"/>
          <w:bottom w:w="28" w:type="dxa"/>
          <w:right w:w="28" w:type="dxa"/>
        </w:tblCellMar>
      </w:tblPr>
      <w:tblGrid>
        <w:gridCol w:w="1114"/>
        <w:gridCol w:w="976"/>
        <w:gridCol w:w="984"/>
        <w:gridCol w:w="449"/>
        <w:gridCol w:w="451"/>
        <w:gridCol w:w="296"/>
        <w:gridCol w:w="109"/>
        <w:gridCol w:w="109"/>
        <w:gridCol w:w="109"/>
        <w:gridCol w:w="256"/>
        <w:gridCol w:w="877"/>
        <w:gridCol w:w="188"/>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126,934 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(171,304)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(17,735)</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306,660 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115,442 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(140,040)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(19,048)</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263,014 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(121,128)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211,574 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26, 2026</w:t>
            </w:r>
          </w:p>
        </w:tc>
        <w:tc>
          <w:tcPr>
            <w:tcW w:w="90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187,106 </w:t>
            </w:r>
          </w:p>
        </w:tc>
        <w:tc>
          <w:tcPr>
            <w:tcW w:w="2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605" cy="14605"/>
                <wp:effectExtent l="0" t="0" r="0" b="0"/>
                <wp:wrapNone/>
                <wp:docPr id="86" name="Frame8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activity under the Equity Incentive Plans:</w:t>
      </w:r>
    </w:p>
    <w:tbl>
      <w:tblPr>
        <w:tblW w:w="5918" w:type="dxa"/>
        <w:jc w:val="left"/>
        <w:tblInd w:w="0" w:type="dxa"/>
        <w:tblLayout w:type="fixed"/>
        <w:tblCellMar>
          <w:top w:w="28" w:type="dxa"/>
          <w:left w:w="28" w:type="dxa"/>
          <w:bottom w:w="28" w:type="dxa"/>
          <w:right w:w="28" w:type="dxa"/>
        </w:tblCellMar>
      </w:tblPr>
      <w:tblGrid>
        <w:gridCol w:w="1114"/>
        <w:gridCol w:w="976"/>
        <w:gridCol w:w="984"/>
        <w:gridCol w:w="449"/>
        <w:gridCol w:w="451"/>
        <w:gridCol w:w="296"/>
        <w:gridCol w:w="109"/>
        <w:gridCol w:w="109"/>
        <w:gridCol w:w="109"/>
        <w:gridCol w:w="256"/>
        <w:gridCol w:w="877"/>
        <w:gridCol w:w="188"/>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171,078 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48,806 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(73,936)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26, 2026</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94,687 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share units and performance share units vested during the years ended June 26, 2026, June 27, 2025 and June 28, 2024 was $31.8 million, $28.0 million and $26.0 million, respectively. The aggregate intrinsic value of restricted share units and performance share units outstanding as of June 26, 2026 was $160.7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there was $17.3 million and $7.8 million of unrecognized share-based compensation expense related to restricted share units and performance share units, respectively, under the Equity Incentive Plans that is expected to be recorded over a weighted-average period of 2.5 years and 1.1 years,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years ended June 26, 2026 and June 27, 2025, the Company withheld an aggregate of 74,508 shares and 92,492 shares, respectively, upon the vesting of restricted share units and performance shares units, based upon the closing share price on the vesting date to settle employee tax withholding obligations. For the years ended June 26, 2026 and June 27, 2025, the Company then remitted cash of $25.5 million and $21.3 million, respectively, to the appropriate taxing authorities, and presented it as a financing activity within the consolidated statements of cash flows. The payment was recorded as a reduction of additional paid-in capital.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Customer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12, 2025, the Company issued a warrant (the “Warrant”) to Amazon.com NV Investment Holdings LLC to acquire up to 381,922 ordinary shares (the “Warrant Shares”) of the Company at an exercise price of $208.48 per share. The Warrant allows for cashless exercise and expires on March 12, 2032.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Upon issuance of the Warrant, 38,192 of the Warrant Shares vested. The remainder of the Warrant Shares are subject to vesting in multiple tranches over the term of the Warrant based on payments to the Company from or on behalf of Amazon.com, Inc. ("Amazon") or its affiliates under a commercial agreement or otherwise. Upon the consummation of an acquisition transaction or the termination of the commercial agreement by Amazon for cause, the unvested portion of the Warrant will vest in full. The exercise price and the number of Warrant Shares are subject to customary antidilution adjustments.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Using the Black-Scholes option pricing model, the grant date fair value of the Warrant was determined to be $102.88 per share, for a total fair value of $39.3 million. The grant date fair value of the Warrant was estimated as of the issuance date using the following assumptions:</w:t>
      </w:r>
    </w:p>
    <w:tbl>
      <w:tblPr>
        <w:tblW w:w="2957" w:type="dxa"/>
        <w:jc w:val="left"/>
        <w:tblInd w:w="0" w:type="dxa"/>
        <w:tblLayout w:type="fixed"/>
        <w:tblCellMar>
          <w:top w:w="28" w:type="dxa"/>
          <w:left w:w="28" w:type="dxa"/>
          <w:bottom w:w="28" w:type="dxa"/>
          <w:right w:w="28" w:type="dxa"/>
        </w:tblCellMar>
      </w:tblPr>
      <w:tblGrid>
        <w:gridCol w:w="772"/>
        <w:gridCol w:w="678"/>
        <w:gridCol w:w="680"/>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and June 27, 2025, 85,942 and 38,192 Warrant Shares, respectively, were vested and remained unexercised.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left"/>
        <w:rPr/>
      </w:pPr>
      <w:r>
        <w:rPr>
          <w:rFonts w:ascii="Times New Roman;serif" w:hAnsi="Times New Roman;serif"/>
          <w:b/>
          <w:color w:val="000000"/>
          <w:sz w:val="20"/>
        </w:rPr>
        <w:t>16</w:t>
      </w:r>
      <w:r>
        <w:rPr>
          <w:rFonts w:ascii="Times New Roman;serif" w:hAnsi="Times New Roman;serif"/>
          <w:b w:val="false"/>
          <w:color w:val="000000"/>
          <w:sz w:val="20"/>
        </w:rPr>
        <w:t>.    </w:t>
      </w:r>
      <w:r>
        <w:rPr>
          <w:rFonts w:ascii="Times New Roman;serif" w:hAnsi="Times New Roman;serif"/>
          <w:b/>
          <w:color w:val="000000"/>
          <w:sz w:val="20"/>
        </w:rPr>
        <w:t>Employee benefit plans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Employee contribution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a defined contribution plan, known as a provident fund, in its subsidiaries in Thailand and the United Kingdom. The assets of these plans are in separate trustee-administered funds. The provident fund is funded by matching payments from employees and by the subsidiaries on a monthly basis. Current contributions to the provident fund are accrued and paid to the fund manager on a monthly basis. The Company’s contributions to the provident fund amounted to $9.6 million, $8.0 million and $7.0 million during the years ended June 26, 2026, June 27, 2025 and June 28,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the Fabrinet U.S. 401(k) Retirement Plan (“401(k) Plan”), a Defined Contribution Plan under ERISA, at its subsidiaries in the United States which provides retirement benefits for eligible employees through tax deferred salary deductions. The 401(k) Plan allows employees to contribute up to 80% of their annual compensation, subject to annual contributions limits established by the Internal Revenue Service. The Company provides for a 100% match of employees’ contributions to the 401(k) Plan up to the first 6% of annual compensation. All matching contributions are made in cash and vest immediately. The Company’s matching contributions to the 401(k) Plan were $1.3 million, $1.1 million and $1.0 million during the years ended June 26, 2026, June 27, 2025 and June 28, 2024,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Executive incentive plan and employee performance bonuses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years ended June 26, 2026 and June 27, 2025, the Company maintained an executive incentive plan with quantitative objectives, based on achieving certain revenue and non-U.S. GAAP operating margin or gross margin targets. During the years ended June 26, 2026, June 27, 2025 and June 28, 2024, discretionary merit-based bonus awards were also available to Fabrinet’s non-executive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Bonus distributions to employees were $16.5 million, $14.5 million and $13.5 million for the years ended June 26, 2026, June 27, 2025 and June 28,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17.</w:t>
      </w:r>
      <w:r>
        <w:rPr>
          <w:color w:val="000000"/>
        </w:rPr>
        <w:t>    </w:t>
      </w:r>
      <w:r>
        <w:rPr>
          <w:rFonts w:ascii="Times New Roman;serif" w:hAnsi="Times New Roman;serif"/>
          <w:b/>
          <w:color w:val="000000"/>
          <w:sz w:val="20"/>
        </w:rPr>
        <w:t>Shareholders’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Fabrinet’s authorized share capital is 500,000,000 ordinary shares, par value of $0.01 per ordinary share, and 5,000,000 preferred shares, par value of $0.01 per preferred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June 26, 2026, Fabrinet issued 120,556 ordinary shares upon the vesting of restricted share units and performance share units under the Equity Incentive Plans, net of shares withheld.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June 27, 2025, Fabrinet issued 144,690 ordinary shares upon the vesting of restricted share units and performance share units under the Equity Incentive Plans, net of shares withheld.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June 28, 2024, Fabrinet issued 173,286 ordinary shares upon the vesting of restricted share units and performance share units under the Equity Incentive Plans, net of shares withheld.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such issued shares are fully paid.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Treasury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2017, the Company’s board of directors approved a share repurchase program to permit the Company to repurchase up to $30.0 million worth of its issued and outstanding ordinary shares in the open market in accordance with applicable rules and regulations. In February 2018, May 2019, August 2020, August 2022, August 2023, August 2024, and January 2025, the Company’s board of directors approved an increase of $30.0 million, $50.0 million, $58.5 million, $78.7 million, $47.6 million, $139.5 million, and $100.0 million, respectively, to the original share repurchase authorization, bringing the aggregate authorization to $534.3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June 26, 2026, the Company repurchased 13,766 shares under the program at an average price per share (excluding other direct costs) of $379.99, totaling $5.2 million. As of June 26, 2026, the Company had a remaining authorization to repurchase up to $169.0 million of its ordinary shares under the share repurchase program. Shares repurchased under the share repurchase program are held as treasury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left"/>
        <w:rPr/>
      </w:pPr>
      <w:r>
        <w:rPr>
          <w:rFonts w:ascii="Times New Roman;serif" w:hAnsi="Times New Roman;serif"/>
          <w:b/>
          <w:color w:val="000000"/>
          <w:sz w:val="20"/>
        </w:rPr>
        <w:t>18.</w:t>
      </w:r>
      <w:r>
        <w:rPr>
          <w:color w:val="000000"/>
        </w:rPr>
        <w:t>    </w:t>
      </w:r>
      <w:r>
        <w:rPr>
          <w:rFonts w:ascii="Times New Roman;serif" w:hAnsi="Times New Roman;serif"/>
          <w:b/>
          <w:color w:val="000000"/>
          <w:sz w:val="20"/>
        </w:rPr>
        <w:t>Accumulated other comprehensive income (loss) (“AOCI”)</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AOCI for the years ended June 26, 2026 and June 27, 2025 were as follows:</w:t>
      </w:r>
    </w:p>
    <w:tbl>
      <w:tblPr>
        <w:tblW w:w="10205" w:type="dxa"/>
        <w:jc w:val="left"/>
        <w:tblInd w:w="0" w:type="dxa"/>
        <w:tblLayout w:type="fixed"/>
        <w:tblCellMar>
          <w:top w:w="28" w:type="dxa"/>
          <w:left w:w="28" w:type="dxa"/>
          <w:bottom w:w="28" w:type="dxa"/>
          <w:right w:w="28" w:type="dxa"/>
        </w:tblCellMar>
      </w:tblPr>
      <w:tblGrid>
        <w:gridCol w:w="1646"/>
        <w:gridCol w:w="1402"/>
        <w:gridCol w:w="1408"/>
        <w:gridCol w:w="313"/>
        <w:gridCol w:w="936"/>
        <w:gridCol w:w="162"/>
        <w:gridCol w:w="109"/>
        <w:gridCol w:w="109"/>
        <w:gridCol w:w="109"/>
        <w:gridCol w:w="253"/>
        <w:gridCol w:w="757"/>
        <w:gridCol w:w="131"/>
        <w:gridCol w:w="109"/>
        <w:gridCol w:w="109"/>
        <w:gridCol w:w="109"/>
        <w:gridCol w:w="109"/>
        <w:gridCol w:w="109"/>
        <w:gridCol w:w="249"/>
        <w:gridCol w:w="568"/>
        <w:gridCol w:w="129"/>
        <w:gridCol w:w="109"/>
        <w:gridCol w:w="109"/>
        <w:gridCol w:w="109"/>
        <w:gridCol w:w="211"/>
        <w:gridCol w:w="685"/>
        <w:gridCol w:w="156"/>
      </w:tblGrid>
      <w:tr>
        <w:trPr/>
        <w:tc>
          <w:tcPr>
            <w:tcW w:w="164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br/>
              <w:t>(Losses) on</w:t>
              <w:br/>
              <w:t>Available-for-sale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Gains (Losses)</w:t>
              <w:br/>
              <w:t>on Derivative</w:t>
              <w:b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26, 2026</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pre-tax amounts reclassified from AOCI into the consolidated statements of operations and comprehensive income for the years ended June 26, 2026 and June 27, 2025, respectively.</w:t>
      </w:r>
    </w:p>
    <w:tbl>
      <w:tblPr>
        <w:tblW w:w="10205" w:type="dxa"/>
        <w:jc w:val="left"/>
        <w:tblInd w:w="0" w:type="dxa"/>
        <w:tblLayout w:type="fixed"/>
        <w:tblCellMar>
          <w:top w:w="28" w:type="dxa"/>
          <w:left w:w="28" w:type="dxa"/>
          <w:bottom w:w="28" w:type="dxa"/>
          <w:right w:w="28" w:type="dxa"/>
        </w:tblCellMar>
      </w:tblPr>
      <w:tblGrid>
        <w:gridCol w:w="1381"/>
        <w:gridCol w:w="1194"/>
        <w:gridCol w:w="1192"/>
        <w:gridCol w:w="109"/>
        <w:gridCol w:w="109"/>
        <w:gridCol w:w="109"/>
        <w:gridCol w:w="1259"/>
        <w:gridCol w:w="1259"/>
        <w:gridCol w:w="951"/>
        <w:gridCol w:w="109"/>
        <w:gridCol w:w="109"/>
        <w:gridCol w:w="109"/>
        <w:gridCol w:w="211"/>
        <w:gridCol w:w="616"/>
        <w:gridCol w:w="109"/>
        <w:gridCol w:w="109"/>
        <w:gridCol w:w="109"/>
        <w:gridCol w:w="109"/>
        <w:gridCol w:w="211"/>
        <w:gridCol w:w="682"/>
        <w:gridCol w:w="159"/>
      </w:tblGrid>
      <w:tr>
        <w:trPr/>
        <w:tc>
          <w:tcPr>
            <w:tcW w:w="138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statements</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amounts reclassified from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19.</w:t>
      </w:r>
      <w:r>
        <w:rPr>
          <w:color w:val="000000"/>
        </w:rPr>
        <w:t>    </w:t>
      </w:r>
      <w:r>
        <w:rPr>
          <w:rFonts w:ascii="Times New Roman;serif" w:hAnsi="Times New Roman;serif"/>
          <w:b/>
          <w:color w:val="000000"/>
          <w:sz w:val="20"/>
        </w:rPr>
        <w:t>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Bank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and June 27, 2025, there were outstanding bank guarantees on behalf of the Company's subsidiary in Thailand for electricity usage and other normal business expenses of Thai baht 83.3 million and Thai baht 75.7 million, respectively, or approximately $2.5 million and $2.3 million, respectively. As of June 26, 2026, the Company had an outstanding bank guarantee on behalf of its subsidiary in China to support the subsidiary's operations of Chinese Renminbi (“RMB”) 4.8 million ($0.7 million) and the bank guarantee was backed by cash collateral of $0.7 million. In addition, there were other immaterial bank guarantees on behalf of the Company's subsidiary in Israel to support the subsidiary's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represent legally binding commitments to purchase inventory and other commitments made in the normal course of business to meet operational requirements. Although open purchase orders are considered enforceable and legally binding, their terms generally give the Company the option to cancel, reschedule and/or adjust its requirements based on its business needs prior to the delivery of goods or performance of services. Obligations to purchase inventory and other commitments are generally expected to be fulfilled within one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Company had purchase obligations and other commitments to third parties of $3.15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Capital expenditure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construction contract with a local contractor for construction of a new manufacturing building at the Company's Chonburi campus. The contract price is approximately $132.5 million (Thai baht 4.45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26, 2026, the Company had total capital expenditure commitments to third parties of $108.1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Credit facility agreement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2019 Credit Facility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20, 2019, Fabrinet Thailand (the “Borrower”) and Bank of Ayudhya Public Company Limited (the “Bank”) entered into a credit facility agreement (the “2019 Credit Facility Agreement”), which provides for a facility of Thai baht 110.0 million (approximately $3.6 million based on the applicable exchange rate as of September 27, 2019) and $160.9 million that may be used for, among other things, an overdraft facility, short-term loans against promissory notes, a letter of guarantee facility, a term loan facility and foreign exchange facilities. The Bank may approve any request for extension of credit under the 2019 Credit Facility Agreement and may increase or decrease any facility amount in its sole discretion.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17, 2026, the Borrowers and the Bank amended the 2019 Credit Facility Agreement to increase the facility to Thai baht 2.61 billion (approximately $78.3 million based on the applicable exchange rate as of August 17, 2026) and $100.0 million. The credit facility will mature on August 20, 2044.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2019 Credit Facility Agreement, on August 17, 2026, the Borrower and the Bank entered into a term loan agreement (the “Term Loan Agreement”) in the original principal amount of Thai baht 2.50 billion (approximately $75.0 million based on the applicable exchange rate as of August 17, 2026). The proceeds from the term loan, together with cash on hand, were used to support the Company's capital expenditures.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2023 Credit Facility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9, 2023, Fabrinet Thailand and the Parent Company (collectively, the “Borrowers”) and the Bank of Ayudhya Public Company Limited (the “Bank”) entered into a credit facility agreement (the “2023 Credit Facility Agreement”), which provided a facility of $55.0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27, 2024, the Borrowers and the Bank amended the 2023 Credit Facility Agreement to reduce the facility to $30.0 million, which may be used for export bill discount. The credit facility will mature on March 9, 2043.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26, 2026, there was no amount outstanding under the 2023 Credit Facility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2023 Credit Facility Agreement, the Borrowers are required to maintain a debt-to-equity ratio of less than or equal to 1.5 times for Fabrinet Thailand and 1.0 times for the Parent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 Borrowers were in compliance with all of their financial covenants under the 2023 Credit Facility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Litigation and claim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28, 2024, Ngan In Leng and First Laser Limited (collectively, the “Plaintiffs”) filed a complaint in the Fuzhou Intermediate People’s Court (the “Court”) in Fuzhou, China against Fujian Enterprises (Holdings) Co., Ltd. (“FEHC”), Jian An Investment Limited (“Jian”), and Casix, Inc. (“Casix”), the Company's wholly-owned subsidiary located in the PRC. The complaint alleged unjust enrichment related to a purported investment in Casix by the Plaintiffs in 1997, which predates the Company's acquisition of Casix from JDS Uniphase Corporation. The Plaintiffs requested that the Court order FEHC to return the unjust enrichment to the Plaintiffs in the amount of RMB 400 million, with interest from March 1, 2000, and order Jian and Casix to bear joint and several liability for all payment obligations of FEHC.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2024, the Court dismissed the complaint in its entirety based on jurisdictional grounds. The Plaintiffs subsequently appealed the Court’s ruling to the High People's Court of Fujian Province (the "Appellate Court"). In their appeal, the Plaintiffs claimed that Casix is the primary obligor to return the alleged unjust enrichment to the Plaintiffs. In November 2025, the Appellate Court upheld the Court's ruling and dismissed the lawsuit on jurisdictional grounds.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Plaintiffs appealed the Appellate Court’s ruling to the Supreme People’s Court of the People’s Republic of China (the “PRC Supreme Court”). The PRC Supreme Court held an initial hearing on July 2, 2026 and, on July 30, 2026, rendered a ruling accepting the case for retrial. The acceptance of the case for retrial does not represent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determination on the merits of the Plaintiffs' claims. At this time, the Company is not able to quantify any potential liability in connection with this litigation because of the early stage of this litigation.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Following the February 2026 ruling by the United States Supreme Court striking down certain tariffs imposed under the International Emergency Economic Powers Act, U.S. Customs and Border Protection has since announced steps toward an administrative process to address potential tariff refunds. However, the availability, timing, and amount of any potential refunds remain uncertain and are subject to ongoing legal, regulatory, and administrative developments. The Company continues to monitor the situation, including any potential refunds of such tariffs, and evaluate the impact on its results of operations. As of June 26, 2026, the Company evaluated the potential recovery of previously incurred tariffs under a loss</w:t>
        <w:noBreakHyphen/>
        <w:t>recovery model and has not recorded a receivable because recovery is not considered probable.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Indemnification of directors and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Fabrinet’s amended and restated memorandum and articles of association provide for indemnification of directors and officers for actions, costs, charges, losses, damages and expenses incurred in their capacities as such, except that such indemnification does not extend to any matter in respect of any fraud or dishonesty that may attach to any of them.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Fabrinet’s form of indemnification agreement for its directors and officers, Fabrinet has agreed to indemnify its directors and officers against certain liabilities and expenses incurred by such persons in connection with claims by reason of their being such a director or officer. Fabrinet maintains a director and officer liability insurance policy that may enable it to recover a portion of any future amounts paid under the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20.    Restructuring and other 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severance-related charges depending on whether the termination benefits are provided under an ongoing benefit arrangement or under a one-time benefit arrangement. The Company recognizes the charges once the benefits have been communicated to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26, 2026, there was no restructuring liability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left"/>
        <w:rPr/>
      </w:pPr>
      <w:r>
        <w:rPr>
          <w:rFonts w:ascii="Times New Roman;serif" w:hAnsi="Times New Roman;serif"/>
          <w:b/>
          <w:color w:val="000000"/>
          <w:sz w:val="20"/>
        </w:rPr>
        <w:t>21.</w:t>
      </w:r>
      <w:r>
        <w:rPr>
          <w:color w:val="000000"/>
        </w:rPr>
        <w:t>    </w:t>
      </w:r>
      <w:r>
        <w:rPr>
          <w:rFonts w:ascii="Times New Roman;serif" w:hAnsi="Times New Roman;serif"/>
          <w:b/>
          <w:color w:val="000000"/>
          <w:sz w:val="20"/>
        </w:rPr>
        <w:t>Business segments and geographic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activities on a consolidated basis and operates as a single operating segment. The Company’s chief operating decision maker (“CODM”) is Fabrinet’s Chief Executive Officer.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CODM utilizes U.S. GAAP and non-U.S. GAAP measures of profit and loss to evaluate the Company’s financial performance, allocate resources, make key operating decisions, and compare actual results to forecasts. The CODM reviews and utilizes functional expenses (cost of revenue, and selling, general and administrative expenses) at the consolidated level to manage the Company’s operations. Other items included in U.S. GAAP and non-U.S. GAAP net income are interest income, other income (expense), net and income tax expense, which are reflected in the consolidated statements of operations and comprehensive income. The measure of segment assets is reported on the consolidated balance sheets as total assets, although the CODM does not evaluate asset information for purposes of allocating resources or evaluating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revenue, significant segment expenses and other segment expenses:</w:t>
      </w:r>
    </w:p>
    <w:tbl>
      <w:tblPr>
        <w:tblW w:w="8336" w:type="dxa"/>
        <w:jc w:val="left"/>
        <w:tblInd w:w="0" w:type="dxa"/>
        <w:tblLayout w:type="fixed"/>
        <w:tblCellMar>
          <w:top w:w="28" w:type="dxa"/>
          <w:left w:w="28" w:type="dxa"/>
          <w:bottom w:w="28" w:type="dxa"/>
          <w:right w:w="28" w:type="dxa"/>
        </w:tblCellMar>
      </w:tblPr>
      <w:tblGrid>
        <w:gridCol w:w="1357"/>
        <w:gridCol w:w="1194"/>
        <w:gridCol w:w="1198"/>
        <w:gridCol w:w="211"/>
        <w:gridCol w:w="976"/>
        <w:gridCol w:w="109"/>
        <w:gridCol w:w="109"/>
        <w:gridCol w:w="109"/>
        <w:gridCol w:w="109"/>
        <w:gridCol w:w="211"/>
        <w:gridCol w:w="976"/>
        <w:gridCol w:w="109"/>
        <w:gridCol w:w="109"/>
        <w:gridCol w:w="109"/>
        <w:gridCol w:w="109"/>
        <w:gridCol w:w="211"/>
        <w:gridCol w:w="976"/>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(2,526,849)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296,181 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Company’s revenues by geographic region, see “Revenue by Geographic Area and End Market” in Note 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by the country in which they are based:</w:t>
      </w:r>
    </w:p>
    <w:tbl>
      <w:tblPr>
        <w:tblW w:w="6204" w:type="dxa"/>
        <w:jc w:val="left"/>
        <w:tblInd w:w="0" w:type="dxa"/>
        <w:tblLayout w:type="fixed"/>
        <w:tblCellMar>
          <w:top w:w="28" w:type="dxa"/>
          <w:left w:w="28" w:type="dxa"/>
          <w:bottom w:w="28" w:type="dxa"/>
          <w:right w:w="28" w:type="dxa"/>
        </w:tblCellMar>
      </w:tblPr>
      <w:tblGrid>
        <w:gridCol w:w="630"/>
        <w:gridCol w:w="554"/>
        <w:gridCol w:w="556"/>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Significant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revenues, by percentage, from individual customers representing 10% or more of total revenues in the respective periods were as follows:</w:t>
      </w:r>
    </w:p>
    <w:tbl>
      <w:tblPr>
        <w:tblW w:w="5253" w:type="dxa"/>
        <w:jc w:val="left"/>
        <w:tblInd w:w="0" w:type="dxa"/>
        <w:tblLayout w:type="fixed"/>
        <w:tblCellMar>
          <w:top w:w="28" w:type="dxa"/>
          <w:left w:w="28" w:type="dxa"/>
          <w:bottom w:w="28" w:type="dxa"/>
          <w:right w:w="28" w:type="dxa"/>
        </w:tblCellMar>
      </w:tblPr>
      <w:tblGrid>
        <w:gridCol w:w="657"/>
        <w:gridCol w:w="578"/>
        <w:gridCol w:w="580"/>
        <w:gridCol w:w="255"/>
        <w:gridCol w:w="256"/>
        <w:gridCol w:w="399"/>
        <w:gridCol w:w="109"/>
        <w:gridCol w:w="109"/>
        <w:gridCol w:w="109"/>
        <w:gridCol w:w="255"/>
        <w:gridCol w:w="256"/>
        <w:gridCol w:w="399"/>
        <w:gridCol w:w="109"/>
        <w:gridCol w:w="109"/>
        <w:gridCol w:w="109"/>
        <w:gridCol w:w="255"/>
        <w:gridCol w:w="256"/>
        <w:gridCol w:w="45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Cisco Systems, Inc.</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NVIDIA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Nokia Corporation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Amazon.com, Inc.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Represents less than 10% of total revenues.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individual customers representing 10% or more of accounts receivable as of June 26, 2026 and June 27, 2025, respectively, were as follows:</w:t>
      </w:r>
    </w:p>
    <w:tbl>
      <w:tblPr>
        <w:tblW w:w="4497" w:type="dxa"/>
        <w:jc w:val="left"/>
        <w:tblInd w:w="0" w:type="dxa"/>
        <w:tblLayout w:type="fixed"/>
        <w:tblCellMar>
          <w:top w:w="28" w:type="dxa"/>
          <w:left w:w="28" w:type="dxa"/>
          <w:bottom w:w="28" w:type="dxa"/>
          <w:right w:w="28" w:type="dxa"/>
        </w:tblCellMar>
      </w:tblPr>
      <w:tblGrid>
        <w:gridCol w:w="657"/>
        <w:gridCol w:w="578"/>
        <w:gridCol w:w="580"/>
        <w:gridCol w:w="255"/>
        <w:gridCol w:w="256"/>
        <w:gridCol w:w="632"/>
        <w:gridCol w:w="109"/>
        <w:gridCol w:w="109"/>
        <w:gridCol w:w="109"/>
        <w:gridCol w:w="255"/>
        <w:gridCol w:w="256"/>
        <w:gridCol w:w="701"/>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Cisco Systems, Inc.</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Nokia Corporation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Amazon.com, Inc.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NVIDIA Corporation</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Represents less than 10% of total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22.</w:t>
      </w:r>
      <w:r>
        <w:rPr>
          <w:color w:val="000000"/>
        </w:rPr>
        <w:t>    </w:t>
      </w:r>
      <w:r>
        <w:rPr>
          <w:rFonts w:ascii="Times New Roman;serif" w:hAnsi="Times New Roman;serif"/>
          <w:b/>
          <w:color w:val="000000"/>
          <w:sz w:val="20"/>
        </w:rPr>
        <w:t>Financial instruments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Objectives and significant terms and conditions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principal financial risks faced by the Company are foreign currency risk and interest rate risk. The Company borrows at floating rates of interest to finance its operations. A minority of sales and purchases and a majority of labor and overhead costs are entered into in foreign currencies. In order to manage the risks arising from fluctuations in currency exchange rates, the Company uses derivative instruments. Trading for speculative purposes is prohibited under Company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short-term foreign currency forward and option contracts to manage foreign currency exposures associated with certain assets, liabilities and other forecasted foreign currency transactions and may designate these instruments as hedging instruments. The foreign currency forward and option contracts generally have maturities of up to twelve months. All foreign currency exchange contracts are recognized on the consolidated balance sheets at fair value. Gain or loss on the Company’s derivative instruments generally offset the assets, liabilities under master netting arrangement and transactions economically hedged.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internationally and is exposed to foreign exchange risk arising from various currency exposures primarily with respect to the Thai baht and RMB.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pPr>
      <w:r>
        <w:rPr>
          <w:rFonts w:ascii="Times New Roman;serif" w:hAnsi="Times New Roman;serif"/>
          <w:b/>
          <w:color w:val="000000"/>
          <w:sz w:val="20"/>
        </w:rPr>
        <w:t>23.</w:t>
      </w:r>
      <w:r>
        <w:rPr>
          <w:color w:val="000000"/>
        </w:rPr>
        <w:t>    </w:t>
      </w:r>
      <w:r>
        <w:rPr>
          <w:rFonts w:ascii="Times New Roman;serif" w:hAnsi="Times New Roman;serif"/>
          <w:b/>
          <w:color w:val="000000"/>
          <w:sz w:val="20"/>
        </w:rPr>
        <w:t>Subsequent Event</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27, 2026, the Company completed the acquisition of a manufacturing facility in the United States, for a total purchase price of $76.9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Chief Financial Officer (“CFO”), evaluated the effectiveness of our disclosure controls and procedures (as defined in Rule 13a-15(e) and 15d-15(e) of the Securities Exchange Act of 1934, as amended (“Exchange Act”)), as of the end of the period covered by this Annual Report on Form 10-K. Based on their evaluation, our management concluded that our disclosure controls and procedures were effective to provide reasonable assurance that the information we are required to disclose in reports we file or submit under the Exchange Act, (i) is recorded, processed, summarized and reported within the time periods specified in the rules and forms of the U.S. Securities and Exchange Commission, and (ii) is accumulated and communicated to Fabrinet’s management, including our CEO and CFO,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June 26, 2026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of the Company as defined in Rule 13a-15(f) and 15d-15(f) under the Exchange Act. Internal control over financial reporting is a process designed to provide reasonable assurance regarding the reliability of financial reporting and the preparation of financial statements for external purposes in accordance with U.S.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of June 26, 2026. In making this assessment, management used the criteria described in Internal Control — Integrated Framework (2013) issued by the Committee of Sponsoring Organizations of the Treadway Commission (“COSO”).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their assessment, management concluded that we maintained effective internal control over financial reporting as of the end of fiscal year 2026, based on the criteria in Internal Control — Integrated Framework (2013) issued by COSO. The effectiveness of our internal control over financial reporting as of June 26, 2026 has been audited by PricewaterhouseCoopers ABAS Ltd., an independent registered public accounting firm, as stated in their report which appears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26, 2026, no director or officer,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9C.DISCLOSURE REGARDING FOREIGN JURISDICTIONS THAT PREVENT INSPECTIONS.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general meeting of shareholders to be filed with the SEC within 120 days after the end of the fiscal year covered by this Annual Report on Form 10-K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w:t>
      </w:r>
      <w:r>
        <w:rPr>
          <w:rFonts w:ascii="Times New Roman;serif" w:hAnsi="Times New Roman;serif"/>
          <w:b/>
          <w:color w:val="000000"/>
          <w:sz w:val="20"/>
        </w:rPr>
        <w:t>EXHIBITS, FINANCIAL STATEMENT SCHEDULES.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or incorporated by reference into, this Annual Report on Form 10-K:</w:t>
      </w:r>
    </w:p>
    <w:p>
      <w:pPr>
        <w:pStyle w:val="TextBody"/>
        <w:bidi w:val="0"/>
        <w:spacing w:lineRule="auto" w:line="288" w:before="120" w:after="283"/>
        <w:ind w:left="0" w:right="0" w:hanging="180"/>
        <w:jc w:val="left"/>
        <w:rPr/>
      </w:pPr>
      <w:r>
        <w:rPr>
          <w:rFonts w:ascii="Times New Roman;serif" w:hAnsi="Times New Roman;serif"/>
          <w:b w:val="false"/>
          <w:i/>
          <w:color w:val="000000"/>
          <w:sz w:val="20"/>
        </w:rPr>
        <w:t>1.Financial Statements</w:t>
      </w:r>
      <w:r>
        <w:rPr>
          <w:rFonts w:ascii="Times New Roman;serif" w:hAnsi="Times New Roman;serif"/>
          <w:b w:val="false"/>
          <w:color w:val="000000"/>
          <w:sz w:val="20"/>
        </w:rPr>
        <w:t>: See Index to Consolidated Financial Statements under Item 8 of this Annual Report on Form 10-K.</w:t>
      </w:r>
    </w:p>
    <w:p>
      <w:pPr>
        <w:pStyle w:val="TextBody"/>
        <w:bidi w:val="0"/>
        <w:spacing w:lineRule="auto" w:line="288" w:before="120" w:after="283"/>
        <w:ind w:left="0" w:right="0" w:hanging="180"/>
        <w:jc w:val="left"/>
        <w:rPr/>
      </w:pPr>
      <w:r>
        <w:rPr>
          <w:rFonts w:ascii="Times New Roman;serif" w:hAnsi="Times New Roman;serif"/>
          <w:b w:val="false"/>
          <w:i/>
          <w:color w:val="000000"/>
          <w:sz w:val="20"/>
        </w:rPr>
        <w:t>2.Financial Statement Schedules</w:t>
      </w:r>
      <w:r>
        <w:rPr>
          <w:rFonts w:ascii="Times New Roman;serif" w:hAnsi="Times New Roman;serif"/>
          <w:b w:val="false"/>
          <w:color w:val="000000"/>
          <w:sz w:val="20"/>
        </w:rPr>
        <w:t>: All schedules are omitted because they are not required, are not applicable or the information is included in the consolidated financial statements or notes thereto.</w:t>
      </w:r>
    </w:p>
    <w:p>
      <w:pPr>
        <w:pStyle w:val="TextBody"/>
        <w:bidi w:val="0"/>
        <w:spacing w:lineRule="auto" w:line="288" w:before="120" w:after="283"/>
        <w:ind w:left="0" w:right="0" w:hanging="180"/>
        <w:jc w:val="left"/>
        <w:rPr/>
      </w:pPr>
      <w:r>
        <w:rPr>
          <w:rFonts w:ascii="Times New Roman;serif" w:hAnsi="Times New Roman;serif"/>
          <w:b w:val="false"/>
          <w:i/>
          <w:color w:val="000000"/>
          <w:sz w:val="20"/>
        </w:rPr>
        <w:t>3.Exhibits</w:t>
      </w:r>
      <w:r>
        <w:rPr>
          <w:rFonts w:ascii="Times New Roman;serif" w:hAnsi="Times New Roman;serif"/>
          <w:b w:val="false"/>
          <w:color w:val="000000"/>
          <w:sz w:val="20"/>
        </w:rPr>
        <w:t>: We have filed, or incorporated by reference into this Annual Report on Form 10-K, the exhibits listed in Item 15(b) of this Annual Report on Form 10-K.</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7"/>
        <w:gridCol w:w="227"/>
        <w:gridCol w:w="228"/>
        <w:gridCol w:w="109"/>
        <w:gridCol w:w="109"/>
        <w:gridCol w:w="109"/>
        <w:gridCol w:w="1673"/>
        <w:gridCol w:w="1357"/>
        <w:gridCol w:w="1370"/>
        <w:gridCol w:w="109"/>
        <w:gridCol w:w="109"/>
        <w:gridCol w:w="109"/>
        <w:gridCol w:w="174"/>
        <w:gridCol w:w="174"/>
        <w:gridCol w:w="175"/>
        <w:gridCol w:w="109"/>
        <w:gridCol w:w="109"/>
        <w:gridCol w:w="109"/>
        <w:gridCol w:w="210"/>
        <w:gridCol w:w="210"/>
        <w:gridCol w:w="211"/>
        <w:gridCol w:w="109"/>
        <w:gridCol w:w="109"/>
        <w:gridCol w:w="109"/>
        <w:gridCol w:w="474"/>
        <w:gridCol w:w="474"/>
        <w:gridCol w:w="475"/>
        <w:gridCol w:w="109"/>
        <w:gridCol w:w="109"/>
        <w:gridCol w:w="109"/>
        <w:gridCol w:w="255"/>
        <w:gridCol w:w="255"/>
        <w:gridCol w:w="371"/>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Memorandum and Articles of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 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333-163258</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Specimen Ordinary Share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333-163258</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Description of Fabrinet’s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Warrant to Purchase Ordinary Shares of Fabrinet, dated March 12, 2025, issued to Amazon.com NV Investment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2017 Inducement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333-221423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2017 Inducement Equity Incentive Plan – Form of Restricted Share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333-221423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2017 Inducement Equity Incentive Plan – Form of Performance-Based Restricted Share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333-221423</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12,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333-235462</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2020 Equity Incentive Plan – Form of Restricted Share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12,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333-235462</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2020 Equity Incentive Plan – Form of Performance-Based Restricted Share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12,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333-235462</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Offer letter, dated September 20, 2017, by and between Seamus Grady and Fabrinet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25,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Change in Control and Severance Agreement, dated February 26, 2019, as amended effective August 10, 2022, by and between Seamus Grady and Fabrinet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5"/>
        <w:gridCol w:w="234"/>
        <w:gridCol w:w="237"/>
        <w:gridCol w:w="109"/>
        <w:gridCol w:w="109"/>
        <w:gridCol w:w="109"/>
        <w:gridCol w:w="1576"/>
        <w:gridCol w:w="1176"/>
        <w:gridCol w:w="1179"/>
        <w:gridCol w:w="109"/>
        <w:gridCol w:w="109"/>
        <w:gridCol w:w="109"/>
        <w:gridCol w:w="372"/>
        <w:gridCol w:w="372"/>
        <w:gridCol w:w="377"/>
        <w:gridCol w:w="109"/>
        <w:gridCol w:w="109"/>
        <w:gridCol w:w="109"/>
        <w:gridCol w:w="210"/>
        <w:gridCol w:w="210"/>
        <w:gridCol w:w="211"/>
        <w:gridCol w:w="109"/>
        <w:gridCol w:w="109"/>
        <w:gridCol w:w="109"/>
        <w:gridCol w:w="434"/>
        <w:gridCol w:w="434"/>
        <w:gridCol w:w="435"/>
        <w:gridCol w:w="109"/>
        <w:gridCol w:w="109"/>
        <w:gridCol w:w="109"/>
        <w:gridCol w:w="311"/>
        <w:gridCol w:w="238"/>
        <w:gridCol w:w="299"/>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Amended and restated offer letter, dated December 19, 2024, between Harpal Gill and Fabrinet USA,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Employment Agreement, dated July 1, 2007, by and between Dr. Harpal Gill and Fabrinet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333-147191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Amended and restated offer letter, dated December 30, 2022, between Csaba Sverha and Fabrinet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FF"/>
                  <w:sz w:val="20"/>
                  <w:u w:val="single"/>
                </w:rPr>
                <w:t>Description of Non-Employee Director Compensation Arrangements as of June 26,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Description of Fiscal Year 2027 Executive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 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Description of Fiscal Year 2026 Executive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 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Executive Change in Control and Severance Plan and form of Participation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001-34755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333-163258</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Manufacturing Agreement, dated May 29, 2005, by and between the registrant and FBN New Jersey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333-147191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Manufacturing Agreement, dated January 2, 2000, by and between the registrant and Fabrinet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333-147191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Administrative Services Agreement, dated January 2, 2000, by and between the registrant and Fabrinet USA,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7,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333-147191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Administrative Services Agreement, dated July 3, 2008, by and between the registrant and Fabrinet Pte.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333-163258</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Credit Facility Agreement, dated as of August 20, 2019, by and between Fabrinet Co., Ltd. and Bank of Ayudhya Public Company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Credit Facility Agreement, dated as of March 9, 2023, by and between Fabrinet Co., Ltd., Fabrinet, and Bank of Ayudhya Public Company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Amendment Agreement (No. 1), dated as of November 27, 2024, to Credit Facility Agreement, dated as of March 9, 2023, by and between Fabrinet Co., Ltd. and Bank of Ayudhya Public Company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Term Loan Agreement, dated as of August 20, 2019, by and between Fabrinet Co., Ltd. and Bank of Ayudhya Public Company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3"/>
        <w:gridCol w:w="242"/>
        <w:gridCol w:w="245"/>
        <w:gridCol w:w="109"/>
        <w:gridCol w:w="109"/>
        <w:gridCol w:w="109"/>
        <w:gridCol w:w="2069"/>
        <w:gridCol w:w="1252"/>
        <w:gridCol w:w="1265"/>
        <w:gridCol w:w="109"/>
        <w:gridCol w:w="109"/>
        <w:gridCol w:w="109"/>
        <w:gridCol w:w="170"/>
        <w:gridCol w:w="170"/>
        <w:gridCol w:w="171"/>
        <w:gridCol w:w="109"/>
        <w:gridCol w:w="109"/>
        <w:gridCol w:w="109"/>
        <w:gridCol w:w="210"/>
        <w:gridCol w:w="210"/>
        <w:gridCol w:w="211"/>
        <w:gridCol w:w="109"/>
        <w:gridCol w:w="109"/>
        <w:gridCol w:w="109"/>
        <w:gridCol w:w="444"/>
        <w:gridCol w:w="444"/>
        <w:gridCol w:w="445"/>
        <w:gridCol w:w="109"/>
        <w:gridCol w:w="109"/>
        <w:gridCol w:w="109"/>
        <w:gridCol w:w="227"/>
        <w:gridCol w:w="227"/>
        <w:gridCol w:w="295"/>
      </w:tblGrid>
      <w:tr>
        <w:trPr/>
        <w:tc>
          <w:tcPr>
            <w:tcW w:w="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 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Amendment Agreement, dated as of March 9, 2023, to Term Loan Agreement, dated as of August 20, 2019, by and between Fabrinet Co., Ltd. and Bank of Ayudhya Public Company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Transaction Agreement, dated March 12, 2025, by and between Fabrinet and Amazon.com,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n-20260626x10kexhibit211.htm">
              <w:r>
                <w:rPr>
                  <w:rStyle w:val="InternetLink"/>
                  <w:rFonts w:ascii="Times New Roman;serif" w:hAnsi="Times New Roman;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n-20260626x10kexhibit231.htm">
              <w:r>
                <w:rPr>
                  <w:rStyle w:val="InternetLink"/>
                  <w:rFonts w:ascii="Times New Roman;serif" w:hAnsi="Times New Roman;serif"/>
                  <w:b w:val="false"/>
                  <w:color w:val="0000FF"/>
                  <w:sz w:val="20"/>
                  <w:u w:val="single"/>
                </w:rPr>
                <w:t>Consent of PricewaterhouseCoopers ABAS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e79a96b66f4be1947ffd8e83bf4eab_256">
              <w:r>
                <w:rPr>
                  <w:rStyle w:val="InternetLink"/>
                  <w:rFonts w:ascii="Times New Roman;serif" w:hAnsi="Times New Roman;serif"/>
                  <w:b w:val="false"/>
                  <w:color w:val="0000FF"/>
                  <w:sz w:val="20"/>
                  <w:u w:val="single"/>
                </w:rPr>
                <w:t>Power of Attorney (incorporated by reference to the signature page of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n-20260626x10k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n-20260626x10kexhibit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n-20260626x10kexhibit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001-34775</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Indicates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this document have been redacted pursuant to Item 601(b)(10)(iv)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Furnished herewith.</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(c)Financial Statement Schedules: 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16.FORM 10-K SUMMARY.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4e79a96b66f4be1947ffd8e83bf4e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August 18, 2026.</w:t>
      </w:r>
    </w:p>
    <w:tbl>
      <w:tblPr>
        <w:tblW w:w="5575"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342"/>
        <w:gridCol w:w="1342"/>
        <w:gridCol w:w="1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FABRINET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CSABA SVERHA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Csaba Sverha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Seamus Grady and Csaba Sverha and each of them, as his true and lawful attorney-in-fact and agent with full power of substitution, for him and in his name, place and stead, in any and all capacities, to sign any and all amendments to this Annual Report on Form 10-K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that said attorney-in-fact and agent, or his substitute, may lawfully do or cause to be done by virtue hereof.</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69"/>
        <w:gridCol w:w="690"/>
        <w:gridCol w:w="669"/>
        <w:gridCol w:w="109"/>
        <w:gridCol w:w="109"/>
        <w:gridCol w:w="109"/>
        <w:gridCol w:w="2031"/>
        <w:gridCol w:w="1992"/>
        <w:gridCol w:w="2018"/>
        <w:gridCol w:w="109"/>
        <w:gridCol w:w="109"/>
        <w:gridCol w:w="109"/>
        <w:gridCol w:w="373"/>
        <w:gridCol w:w="373"/>
        <w:gridCol w:w="536"/>
      </w:tblGrid>
      <w:tr>
        <w:trPr/>
        <w:tc>
          <w:tcPr>
            <w:tcW w:w="86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SEAMUS GRADY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Seamus Grady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CSABA SVERHA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Csaba Sverha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FORBES I.J.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Forbes I.J.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HOMA BAHRAMI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Homa Bahrami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CAROLINE DOWLING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Caroline Dowling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F.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Thomas F.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FRANK H. LEVINSON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2026</w:t>
            </w:r>
          </w:p>
        </w:tc>
      </w:tr>
      <w:tr>
        <w:trPr/>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Frank H. Levinson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10.9</w:t>
      </w:r>
    </w:p>
    <w:p>
      <w:pPr>
        <w:pStyle w:val="TextBody"/>
        <w:bidi w:val="0"/>
        <w:spacing w:before="0" w:after="0"/>
        <w:jc w:val="right"/>
        <w:rPr/>
      </w:pPr>
      <w:r>
        <w:rPr/>
      </w:r>
    </w:p>
    <w:p>
      <w:pPr>
        <w:pStyle w:val="TextBody"/>
        <w:bidi w:val="0"/>
        <w:spacing w:before="0" w:after="0"/>
        <w:jc w:val="right"/>
        <w:rPr/>
      </w:pPr>
      <w:r>
        <w:rPr/>
      </w:r>
    </w:p>
    <w:p>
      <w:pPr>
        <w:pStyle w:val="TextBody"/>
        <w:bidi w:val="0"/>
        <w:spacing w:before="120" w:after="240"/>
        <w:jc w:val="left"/>
        <w:rPr/>
      </w:pPr>
      <w:r>
        <w:rPr/>
      </w:r>
    </w:p>
    <w:p>
      <w:pPr>
        <w:pStyle w:val="TextBody"/>
        <w:bidi w:val="0"/>
        <w:spacing w:lineRule="auto" w:line="288" w:before="120" w:after="240"/>
        <w:jc w:val="center"/>
        <w:rPr>
          <w:rFonts w:ascii="Times New Roman;serif" w:hAnsi="Times New Roman;serif"/>
          <w:b/>
          <w:color w:val="000000"/>
          <w:sz w:val="22"/>
        </w:rPr>
      </w:pPr>
      <w:r>
        <w:rPr>
          <w:rFonts w:ascii="Times New Roman;serif" w:hAnsi="Times New Roman;serif"/>
          <w:b/>
          <w:color w:val="000000"/>
          <w:sz w:val="22"/>
        </w:rPr>
        <w:t>DESCRIPTION OF NON-EMPLOYEE DIRECTOR COMPENSATION ARRANGEMENTS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Compensation Committee of Fabrinet’s Board of Directors (the “Board”) annually reviews director compensation with the assistance of its independent compensation consultant to ensure that it is appropriate and competitive in light of market circumstances and prevailing “best practices” for corporate governance. The compensation elements reflect the Board’s view that compensation to non-employee directors should consist of an appropriate mix of cash and equity awards. The annual non-employee director compensation arrangements described below have been effective since June 29, 2024.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3"/>
        <w:gridCol w:w="367"/>
        <w:gridCol w:w="370"/>
        <w:gridCol w:w="109"/>
        <w:gridCol w:w="109"/>
        <w:gridCol w:w="109"/>
        <w:gridCol w:w="2494"/>
        <w:gridCol w:w="2494"/>
        <w:gridCol w:w="3530"/>
      </w:tblGrid>
      <w:tr>
        <w:trPr/>
        <w:tc>
          <w:tcPr>
            <w:tcW w:w="62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D9DC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Pay Element</w:t>
            </w:r>
          </w:p>
        </w:tc>
        <w:tc>
          <w:tcPr>
            <w:tcW w:w="327" w:type="dxa"/>
            <w:gridSpan w:val="3"/>
            <w:tcBorders/>
            <w:shd w:fill="D9DC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shd w:fill="D9DC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Board Compensation for Non-Employee Directors</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Annual Retainer </w:t>
              <w:b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88" w:before="60" w:after="20"/>
              <w:ind w:left="0" w:right="0" w:hanging="2952"/>
              <w:jc w:val="left"/>
              <w:rPr/>
            </w:pPr>
            <w:r>
              <w:rPr>
                <w:rFonts w:ascii="Times New Roman;serif" w:hAnsi="Times New Roman;serif"/>
                <w:b w:val="false"/>
                <w:color w:val="000000"/>
                <w:sz w:val="22"/>
              </w:rPr>
              <w:t>All Board Members:    </w:t>
            </w:r>
            <w:r>
              <w:rPr>
                <w:rFonts w:ascii="Times New Roman;serif" w:hAnsi="Times New Roman;serif"/>
                <w:b/>
                <w:color w:val="000000"/>
                <w:sz w:val="22"/>
              </w:rPr>
              <w:t>$85,000</w:t>
            </w:r>
          </w:p>
          <w:p>
            <w:pPr>
              <w:pStyle w:val="TableContents"/>
              <w:bidi w:val="0"/>
              <w:spacing w:lineRule="auto" w:line="288" w:before="120" w:after="20"/>
              <w:ind w:left="0" w:right="0" w:hanging="2952"/>
              <w:jc w:val="left"/>
              <w:rPr/>
            </w:pPr>
            <w:r>
              <w:rPr>
                <w:rFonts w:ascii="Times New Roman;serif" w:hAnsi="Times New Roman;serif"/>
                <w:b w:val="false"/>
                <w:color w:val="000000"/>
                <w:sz w:val="22"/>
              </w:rPr>
              <w:t>Board Chair*:    </w:t>
            </w:r>
            <w:r>
              <w:rPr>
                <w:rFonts w:ascii="Times New Roman;serif" w:hAnsi="Times New Roman;serif"/>
                <w:b/>
                <w:color w:val="000000"/>
                <w:sz w:val="22"/>
              </w:rPr>
              <w:t>$200,000</w:t>
            </w:r>
          </w:p>
          <w:p>
            <w:pPr>
              <w:pStyle w:val="TableContents"/>
              <w:bidi w:val="0"/>
              <w:spacing w:lineRule="auto" w:line="288" w:before="120" w:after="20"/>
              <w:ind w:left="0" w:right="0" w:hanging="2952"/>
              <w:jc w:val="left"/>
              <w:rPr/>
            </w:pPr>
            <w:r>
              <w:rPr>
                <w:rFonts w:ascii="Times New Roman;serif" w:hAnsi="Times New Roman;serif"/>
                <w:b w:val="false"/>
                <w:color w:val="000000"/>
                <w:sz w:val="22"/>
              </w:rPr>
              <w:t>Lead Independent Director**:    </w:t>
            </w:r>
            <w:r>
              <w:rPr>
                <w:rFonts w:ascii="Times New Roman;serif" w:hAnsi="Times New Roman;serif"/>
                <w:b/>
                <w:color w:val="000000"/>
                <w:sz w:val="22"/>
              </w:rPr>
              <w:t>$45,000</w:t>
            </w:r>
          </w:p>
          <w:p>
            <w:pPr>
              <w:pStyle w:val="TableContents"/>
              <w:bidi w:val="0"/>
              <w:spacing w:lineRule="auto" w:line="288" w:before="120" w:after="20"/>
              <w:jc w:val="both"/>
              <w:rPr>
                <w:rFonts w:ascii="Times New Roman;serif" w:hAnsi="Times New Roman;serif"/>
                <w:b w:val="false"/>
                <w:color w:val="000000"/>
                <w:sz w:val="22"/>
              </w:rPr>
            </w:pPr>
            <w:r>
              <w:rPr>
                <w:rFonts w:ascii="Times New Roman;serif" w:hAnsi="Times New Roman;serif"/>
                <w:b w:val="false"/>
                <w:color w:val="000000"/>
                <w:sz w:val="22"/>
              </w:rPr>
              <w:t>*Applicable only if the Board Chair is a non-employee director. This retainer was approved by the Board in connection with Mr. Mitchell’s transition in June 2018 from executive chairman of the Board to non-employee Chairman of the Board in light of Mr. Mitchell’s ongoing significant involvement with Fabrinet and the valuable leadership and guidance he provides to Fabrinet.</w:t>
            </w:r>
          </w:p>
          <w:p>
            <w:pPr>
              <w:pStyle w:val="TableContents"/>
              <w:bidi w:val="0"/>
              <w:spacing w:lineRule="auto" w:line="288" w:before="120" w:after="20"/>
              <w:jc w:val="left"/>
              <w:rPr>
                <w:rFonts w:ascii="Times New Roman;serif" w:hAnsi="Times New Roman;serif"/>
                <w:b w:val="false"/>
                <w:color w:val="000000"/>
                <w:sz w:val="22"/>
              </w:rPr>
            </w:pPr>
            <w:r>
              <w:rPr>
                <w:rFonts w:ascii="Times New Roman;serif" w:hAnsi="Times New Roman;serif"/>
                <w:b w:val="false"/>
                <w:color w:val="000000"/>
                <w:sz w:val="22"/>
              </w:rPr>
              <w:t>**Applicable only if the Board Chair is not an independent director.</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Committee Member Retainer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2952"/>
              <w:jc w:val="left"/>
              <w:rPr/>
            </w:pPr>
            <w:r>
              <w:rPr>
                <w:rFonts w:ascii="Times New Roman;serif" w:hAnsi="Times New Roman;serif"/>
                <w:b w:val="false"/>
                <w:color w:val="000000"/>
                <w:sz w:val="22"/>
              </w:rPr>
              <w:t xml:space="preserve">Audit Committee:     </w:t>
            </w:r>
            <w:r>
              <w:rPr>
                <w:rFonts w:ascii="Times New Roman;serif" w:hAnsi="Times New Roman;serif"/>
                <w:b/>
                <w:color w:val="000000"/>
                <w:sz w:val="22"/>
              </w:rPr>
              <w:t>$14,000</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color w:val="000000"/>
                <w:sz w:val="22"/>
              </w:rPr>
              <w:t>$33,000</w:t>
            </w:r>
            <w:r>
              <w:rPr>
                <w:color w:val="000000"/>
              </w:rPr>
              <w:t xml:space="preserve"> </w:t>
            </w:r>
            <w:r>
              <w:rPr>
                <w:rFonts w:ascii="Times New Roman;serif" w:hAnsi="Times New Roman;serif"/>
                <w:b w:val="false"/>
                <w:color w:val="000000"/>
                <w:sz w:val="22"/>
              </w:rPr>
              <w:t>if member is the chair)</w:t>
            </w:r>
          </w:p>
          <w:p>
            <w:pPr>
              <w:pStyle w:val="TableContents"/>
              <w:bidi w:val="0"/>
              <w:spacing w:lineRule="auto" w:line="288" w:before="120" w:after="283"/>
              <w:ind w:left="0" w:right="0" w:hanging="2952"/>
              <w:jc w:val="left"/>
              <w:rPr/>
            </w:pPr>
            <w:r>
              <w:rPr>
                <w:rFonts w:ascii="Times New Roman;serif" w:hAnsi="Times New Roman;serif"/>
                <w:b w:val="false"/>
                <w:color w:val="000000"/>
                <w:sz w:val="22"/>
              </w:rPr>
              <w:t>Compensation Committee:    </w:t>
            </w:r>
            <w:r>
              <w:rPr>
                <w:rFonts w:ascii="Times New Roman;serif" w:hAnsi="Times New Roman;serif"/>
                <w:b/>
                <w:color w:val="000000"/>
                <w:sz w:val="22"/>
              </w:rPr>
              <w:t>$10,000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$24,000</w:t>
            </w:r>
            <w:r>
              <w:rPr>
                <w:color w:val="000000"/>
              </w:rPr>
              <w:t xml:space="preserve"> </w:t>
            </w:r>
            <w:r>
              <w:rPr>
                <w:rFonts w:ascii="Times New Roman;serif" w:hAnsi="Times New Roman;serif"/>
                <w:b w:val="false"/>
                <w:color w:val="000000"/>
                <w:sz w:val="22"/>
              </w:rPr>
              <w:t>if member is the chair)</w:t>
            </w:r>
          </w:p>
          <w:p>
            <w:pPr>
              <w:pStyle w:val="TableContents"/>
              <w:bidi w:val="0"/>
              <w:spacing w:lineRule="auto" w:line="288" w:before="120" w:after="283"/>
              <w:ind w:left="0" w:right="0" w:hanging="2952"/>
              <w:jc w:val="left"/>
              <w:rPr>
                <w:rFonts w:ascii="Times New Roman;serif" w:hAnsi="Times New Roman;serif"/>
                <w:b w:val="false"/>
                <w:color w:val="000000"/>
                <w:sz w:val="22"/>
              </w:rPr>
            </w:pPr>
            <w:r>
              <w:rPr>
                <w:rFonts w:ascii="Times New Roman;serif" w:hAnsi="Times New Roman;serif"/>
                <w:b w:val="false"/>
                <w:color w:val="000000"/>
                <w:sz w:val="22"/>
              </w:rPr>
              <w:t>Nominating &amp; Corporate</w:t>
            </w:r>
          </w:p>
          <w:p>
            <w:pPr>
              <w:pStyle w:val="TableContents"/>
              <w:bidi w:val="0"/>
              <w:spacing w:lineRule="auto" w:line="288" w:before="0" w:after="0"/>
              <w:ind w:left="0" w:right="0" w:hanging="2952"/>
              <w:jc w:val="left"/>
              <w:rPr/>
            </w:pPr>
            <w:r>
              <w:rPr>
                <w:rFonts w:ascii="Times New Roman;serif" w:hAnsi="Times New Roman;serif"/>
                <w:b w:val="false"/>
                <w:color w:val="000000"/>
                <w:sz w:val="22"/>
              </w:rPr>
              <w:t>Governance Committee:     </w:t>
            </w:r>
            <w:r>
              <w:rPr>
                <w:rFonts w:ascii="Times New Roman;serif" w:hAnsi="Times New Roman;serif"/>
                <w:b/>
                <w:color w:val="000000"/>
                <w:sz w:val="22"/>
              </w:rPr>
              <w:t>$7,000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$16,000</w:t>
            </w:r>
            <w:r>
              <w:rPr>
                <w:color w:val="000000"/>
              </w:rPr>
              <w:t xml:space="preserve"> </w:t>
            </w:r>
            <w:r>
              <w:rPr>
                <w:rFonts w:ascii="Times New Roman;serif" w:hAnsi="Times New Roman;serif"/>
                <w:b w:val="false"/>
                <w:color w:val="000000"/>
                <w:sz w:val="22"/>
              </w:rPr>
              <w:t>if member is the chair)</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Share Units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
            <w:tcBorders/>
            <w:tcMar>
              <w:top w:w="0" w:type="dxa"/>
              <w:left w:w="0" w:type="dxa"/>
              <w:bottom w:w="0" w:type="dxa"/>
              <w:right w:w="0" w:type="dxa"/>
            </w:tcMar>
            <w:vAlign w:val="center"/>
          </w:tcPr>
          <w:p>
            <w:pPr>
              <w:pStyle w:val="TableContents"/>
              <w:bidi w:val="0"/>
              <w:spacing w:lineRule="auto" w:line="288" w:before="60" w:after="283"/>
              <w:jc w:val="both"/>
              <w:rPr/>
            </w:pPr>
            <w:r>
              <w:rPr>
                <w:rFonts w:ascii="Times New Roman;serif" w:hAnsi="Times New Roman;serif"/>
                <w:b/>
                <w:color w:val="000000"/>
                <w:sz w:val="22"/>
              </w:rPr>
              <w:t>Initial Grant*</w:t>
            </w:r>
            <w:r>
              <w:rPr>
                <w:rFonts w:ascii="Times New Roman;serif" w:hAnsi="Times New Roman;serif"/>
                <w:b w:val="false"/>
                <w:color w:val="000000"/>
                <w:sz w:val="22"/>
              </w:rPr>
              <w:t xml:space="preserve">:    Upon joining the Board, and effective as of the date an individual becomes a non-employee member of the Board, an award of RSUs, on a prorated basis, to cover a number of Fabrinet’s ordinary shares equal to: </w:t>
            </w:r>
            <w:r>
              <w:rPr>
                <w:rFonts w:ascii="Times New Roman;serif" w:hAnsi="Times New Roman;serif"/>
                <w:b/>
                <w:color w:val="000000"/>
                <w:sz w:val="22"/>
              </w:rPr>
              <w:t>$220,000</w:t>
            </w:r>
            <w:r>
              <w:rPr>
                <w:rFonts w:ascii="Times New Roman;serif" w:hAnsi="Times New Roman;serif"/>
                <w:b w:val="false"/>
                <w:color w:val="000000"/>
                <w:sz w:val="22"/>
              </w:rPr>
              <w:t>, divided by the closing price of the ordinary shares on the NYSE on the date of grant, and multiplied by the ratio of (i) the number of days beginning with the date the director joins the Board and ending on the day immediately preceding the one year anniversary of the prior year’s annual shareholder meeting, divided by (ii) 365 days, with the resulting number rounded up to the nearest whole share. For the avoidance of doubt, an individual who becomes a non-employee director as a result of ceasing to be an employee will be eligible to receive an Initial Grant.</w:t>
            </w:r>
          </w:p>
          <w:p>
            <w:pPr>
              <w:pStyle w:val="TableContents"/>
              <w:bidi w:val="0"/>
              <w:spacing w:lineRule="auto" w:line="288" w:before="120" w:after="283"/>
              <w:jc w:val="both"/>
              <w:rPr/>
            </w:pPr>
            <w:r>
              <w:rPr>
                <w:rFonts w:ascii="Times New Roman;serif" w:hAnsi="Times New Roman;serif"/>
                <w:b/>
                <w:color w:val="000000"/>
                <w:sz w:val="22"/>
              </w:rPr>
              <w:t>Annual Grant*</w:t>
            </w:r>
            <w:r>
              <w:rPr>
                <w:rFonts w:ascii="Times New Roman;serif" w:hAnsi="Times New Roman;serif"/>
                <w:b w:val="false"/>
                <w:color w:val="000000"/>
                <w:sz w:val="22"/>
              </w:rPr>
              <w:t xml:space="preserve">: On the date of each annual shareholder meeting and provided that the non-employee director will continue as a Board member following such meeting, an award of RSUs covering a number of Fabrinet’s ordinary shares equal to: </w:t>
            </w:r>
            <w:r>
              <w:rPr>
                <w:rFonts w:ascii="Times New Roman;serif" w:hAnsi="Times New Roman;serif"/>
                <w:b/>
                <w:color w:val="000000"/>
                <w:sz w:val="22"/>
              </w:rPr>
              <w:t>$220,000</w:t>
            </w:r>
            <w:r>
              <w:rPr>
                <w:rFonts w:ascii="Times New Roman;serif" w:hAnsi="Times New Roman;serif"/>
                <w:b w:val="false"/>
                <w:color w:val="000000"/>
                <w:sz w:val="22"/>
              </w:rPr>
              <w:t xml:space="preserve">, divided by the closing price of the ordinary shares on the NYSE on the date of grant, with the resulting number rounded up to the nearest whole share.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1"/>
        <w:gridCol w:w="316"/>
        <w:gridCol w:w="319"/>
        <w:gridCol w:w="109"/>
        <w:gridCol w:w="109"/>
        <w:gridCol w:w="109"/>
        <w:gridCol w:w="2678"/>
        <w:gridCol w:w="2568"/>
        <w:gridCol w:w="3636"/>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shd w:fill="D9DC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Pay Element</w:t>
            </w:r>
          </w:p>
        </w:tc>
        <w:tc>
          <w:tcPr>
            <w:tcW w:w="327" w:type="dxa"/>
            <w:gridSpan w:val="3"/>
            <w:tcBorders/>
            <w:shd w:fill="D9DC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D9DC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Board Compensation for Non-Employee Directors</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88" w:before="120" w:after="60"/>
              <w:jc w:val="both"/>
              <w:rPr/>
            </w:pPr>
            <w:r>
              <w:rPr>
                <w:rFonts w:ascii="Times New Roman;serif" w:hAnsi="Times New Roman;serif"/>
                <w:b/>
                <w:color w:val="000000"/>
                <w:sz w:val="22"/>
              </w:rPr>
              <w:t>Vesting</w:t>
            </w:r>
            <w:r>
              <w:rPr>
                <w:rFonts w:ascii="Times New Roman;serif" w:hAnsi="Times New Roman;serif"/>
                <w:b w:val="false"/>
                <w:color w:val="000000"/>
                <w:sz w:val="22"/>
              </w:rPr>
              <w:t>: RSUs will be scheduled to vest in full on January 1 following the next annual meeting of shareholders after the applicable date of grant, provided the director continues to remain a service provider to Fabrinet through such date.</w:t>
            </w:r>
          </w:p>
          <w:p>
            <w:pPr>
              <w:pStyle w:val="TableContents"/>
              <w:bidi w:val="0"/>
              <w:spacing w:lineRule="auto" w:line="288" w:before="120" w:after="20"/>
              <w:jc w:val="both"/>
              <w:rPr>
                <w:rFonts w:ascii="Times New Roman;serif" w:hAnsi="Times New Roman;serif"/>
                <w:b w:val="false"/>
                <w:color w:val="000000"/>
                <w:sz w:val="22"/>
              </w:rPr>
            </w:pPr>
            <w:r>
              <w:rPr>
                <w:rFonts w:ascii="Times New Roman;serif" w:hAnsi="Times New Roman;serif"/>
                <w:b w:val="false"/>
                <w:color w:val="000000"/>
                <w:sz w:val="22"/>
              </w:rPr>
              <w:t>*Grants are automatic and nondiscretionary and subject to the terms and conditions of Fabrinet’s 2020 Equity Incentive Plan and form of Restricted Share Unit Agreement previously approved for use under such plan. Any RSUs that vest will be settled in ordinary shares of Fabrinet, and the par value of ordinary shares of Fabrinet issued upon such settlement will be considered to have been paid with past services rendered.</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List of Subsidiaries </w:t>
      </w:r>
    </w:p>
    <w:p>
      <w:pPr>
        <w:pStyle w:val="TextBody"/>
        <w:bidi w:val="0"/>
        <w:spacing w:before="0" w:after="0"/>
        <w:jc w:val="center"/>
        <w:rPr/>
      </w:pPr>
      <w:r>
        <w:rPr/>
      </w:r>
    </w:p>
    <w:p>
      <w:pPr>
        <w:pStyle w:val="TextBody"/>
        <w:bidi w:val="0"/>
        <w:spacing w:before="0" w:after="0"/>
        <w:jc w:val="center"/>
        <w:rPr/>
      </w:pPr>
      <w:r>
        <w:rPr/>
      </w:r>
    </w:p>
    <w:tbl>
      <w:tblPr>
        <w:tblW w:w="7496" w:type="dxa"/>
        <w:jc w:val="left"/>
        <w:tblInd w:w="0" w:type="dxa"/>
        <w:tblLayout w:type="fixed"/>
        <w:tblCellMar>
          <w:top w:w="28" w:type="dxa"/>
          <w:left w:w="28" w:type="dxa"/>
          <w:bottom w:w="28" w:type="dxa"/>
          <w:right w:w="28" w:type="dxa"/>
        </w:tblCellMar>
      </w:tblPr>
      <w:tblGrid>
        <w:gridCol w:w="1301"/>
        <w:gridCol w:w="1148"/>
        <w:gridCol w:w="1165"/>
        <w:gridCol w:w="109"/>
        <w:gridCol w:w="109"/>
        <w:gridCol w:w="109"/>
        <w:gridCol w:w="1040"/>
        <w:gridCol w:w="1040"/>
        <w:gridCol w:w="1475"/>
      </w:tblGrid>
      <w:tr>
        <w:trPr/>
        <w:tc>
          <w:tcPr>
            <w:tcW w:w="13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Country of Incorporation</w:t>
            </w:r>
          </w:p>
        </w:tc>
      </w:tr>
      <w:tr>
        <w:trPr/>
        <w:tc>
          <w:tcPr>
            <w:tcW w:w="3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CASIX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People’s Republic of China</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Casix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Singapore </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FBN New Jersey Manufacturing,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Delaware, United States of America </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Fabrilink SEZC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Cayman Islands</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China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Mauritius</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Thailand </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Singapore </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United Kingdom </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 United States of America</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West,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 United States of America</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Fabritek,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 United States of America</w:t>
            </w:r>
          </w:p>
        </w:tc>
      </w:tr>
      <w:tr>
        <w:trPr/>
        <w:tc>
          <w:tcPr>
            <w:tcW w:w="36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Fabrinet Israel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Israel </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333-168950, 333-177853, 333-186501, 333-221423, 333-222154 and 333-235462) and Form S-3 (No. 333-286457) of Fabrinet of our report dated August 18, 2026 relating to the financial statements and the effectiveness of internal control over financial reporting, which appears in this Form 10-K.</w:t>
      </w:r>
    </w:p>
    <w:p>
      <w:pPr>
        <w:pStyle w:val="TextBody"/>
        <w:bidi w:val="0"/>
        <w:spacing w:before="0" w:after="0"/>
        <w:jc w:val="both"/>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PricewaterhouseCoopers ABAS Ltd.</w:t>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Bangkok, Thailand</w:t>
      </w:r>
    </w:p>
    <w:p>
      <w:pPr>
        <w:pStyle w:val="TextBody"/>
        <w:bidi w:val="0"/>
        <w:spacing w:lineRule="auto" w:line="26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18,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Seamus Grady,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Fabrinet;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90" w:after="283"/>
        <w:ind w:left="0" w:right="0" w:hanging="54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18, 2026</w:t>
      </w:r>
    </w:p>
    <w:tbl>
      <w:tblPr>
        <w:tblW w:w="6690" w:type="dxa"/>
        <w:jc w:val="right"/>
        <w:tblInd w:w="0" w:type="dxa"/>
        <w:tblLayout w:type="fixed"/>
        <w:tblCellMar>
          <w:top w:w="28" w:type="dxa"/>
          <w:left w:w="28" w:type="dxa"/>
          <w:bottom w:w="28" w:type="dxa"/>
          <w:right w:w="28" w:type="dxa"/>
        </w:tblCellMar>
      </w:tblPr>
      <w:tblGrid>
        <w:gridCol w:w="2140"/>
        <w:gridCol w:w="1876"/>
        <w:gridCol w:w="2674"/>
      </w:tblGrid>
      <w:tr>
        <w:trPr/>
        <w:tc>
          <w:tcPr>
            <w:tcW w:w="214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SEAMUS GRADY</w:t>
            </w:r>
          </w:p>
        </w:tc>
      </w:tr>
      <w:tr>
        <w:trPr/>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Csaba Sverha,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Fabrinet;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18, 2026 </w:t>
      </w:r>
    </w:p>
    <w:tbl>
      <w:tblPr>
        <w:tblW w:w="8115" w:type="dxa"/>
        <w:jc w:val="right"/>
        <w:tblInd w:w="0" w:type="dxa"/>
        <w:tblLayout w:type="fixed"/>
        <w:tblCellMar>
          <w:top w:w="28" w:type="dxa"/>
          <w:left w:w="28" w:type="dxa"/>
          <w:bottom w:w="28" w:type="dxa"/>
          <w:right w:w="28" w:type="dxa"/>
        </w:tblCellMar>
      </w:tblPr>
      <w:tblGrid>
        <w:gridCol w:w="2597"/>
        <w:gridCol w:w="2283"/>
        <w:gridCol w:w="3235"/>
      </w:tblGrid>
      <w:tr>
        <w:trPr/>
        <w:tc>
          <w:tcPr>
            <w:tcW w:w="259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CSABA SVERHA</w:t>
            </w:r>
          </w:p>
        </w:tc>
      </w:tr>
      <w:tr>
        <w:trPr/>
        <w:tc>
          <w:tcPr>
            <w:tcW w:w="8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r>
      <w:tr>
        <w:trPr/>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and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CERTIFICATIONS OF CHIEF EXECUTIVE OFFICER AND CHIEF FINANCIAL OFFICER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 Seamus Grady, certify, pursuant to 18 U.S.C. Section 1350, as adopted pursuant to Section 906 of the Sarbanes-Oxley Act of 2002, that the Annual Report on Form 10-K of Fabrinet for the fiscal year ended June 26, 2026 fully complies with the requirements of Section 13(a) or 15(d) of the Securities Exchange Act of 1934 and that information contained in this Annual Report on Form 10-K fairly presents, in all material respects, the financial condition and results of operations of Fabrinet. </w:t>
      </w:r>
    </w:p>
    <w:p>
      <w:pPr>
        <w:pStyle w:val="TextBody"/>
        <w:bidi w:val="0"/>
        <w:spacing w:before="0" w:after="0"/>
        <w:jc w:val="left"/>
        <w:rPr/>
      </w:pPr>
      <w:r>
        <w:rPr/>
      </w:r>
    </w:p>
    <w:tbl>
      <w:tblPr>
        <w:tblW w:w="925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1956"/>
        <w:gridCol w:w="1956"/>
        <w:gridCol w:w="276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SEAMUS GRADY</w:t>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6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Seamus Grady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(Principal Executive Officer)</w:t>
            </w:r>
          </w:p>
        </w:tc>
      </w:tr>
    </w:tbl>
    <w:p>
      <w:pPr>
        <w:pStyle w:val="TextBody"/>
        <w:bidi w:val="0"/>
        <w:spacing w:before="0" w:after="0"/>
        <w:ind w:left="0" w:right="0" w:firstLine="490"/>
        <w:jc w:val="both"/>
        <w:rPr/>
      </w:pPr>
      <w:r>
        <w:rPr/>
      </w:r>
    </w:p>
    <w:p>
      <w:pPr>
        <w:pStyle w:val="TextBody"/>
        <w:bidi w:val="0"/>
        <w:spacing w:before="0" w:after="0"/>
        <w:ind w:left="0" w:right="0" w:firstLine="490"/>
        <w:jc w:val="both"/>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 Csaba Sverha, certify, pursuant to 18 U.S.C. Section 1350, as adopted pursuant to Section 906 of the Sarbanes-Oxley Act of 2002, that the Annual Report on Form 10-K of Fabrinet for the fiscal year ended June 26, 2026 fully complies with the requirements of Section 13(a) or 15(d) of the Securities Exchange Act of 1934 and that information contained in this Annual Report on Form 10-K fairly presents, in all material respects, the financial condition and results of operations of Fabrinet.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594"/>
        <w:gridCol w:w="597"/>
        <w:gridCol w:w="109"/>
        <w:gridCol w:w="109"/>
        <w:gridCol w:w="109"/>
        <w:gridCol w:w="109"/>
        <w:gridCol w:w="109"/>
        <w:gridCol w:w="109"/>
        <w:gridCol w:w="2257"/>
        <w:gridCol w:w="2245"/>
        <w:gridCol w:w="3184"/>
      </w:tblGrid>
      <w:tr>
        <w:trPr/>
        <w:tc>
          <w:tcPr>
            <w:tcW w:w="67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68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CSABA SVERHA</w:t>
            </w:r>
          </w:p>
        </w:tc>
      </w:tr>
      <w:tr>
        <w:trPr/>
        <w:tc>
          <w:tcPr>
            <w:tcW w:w="18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654"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Csaba Sverha</w:t>
            </w:r>
          </w:p>
        </w:tc>
      </w:tr>
      <w:tr>
        <w:trPr/>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6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8710/000119312510103997/dex31.htm" TargetMode="External"/><Relationship Id="rId4" Type="http://schemas.openxmlformats.org/officeDocument/2006/relationships/hyperlink" Target="https://www.sec.gov/Archives/edgar/data/1408710/000119312510138313/dex41.htm" TargetMode="External"/><Relationship Id="rId5" Type="http://schemas.openxmlformats.org/officeDocument/2006/relationships/hyperlink" Target="https://www.sec.gov/Archives/edgar/data/1408710/000119312519225268/d766673dex42.htm" TargetMode="External"/><Relationship Id="rId6" Type="http://schemas.openxmlformats.org/officeDocument/2006/relationships/hyperlink" Target="https://www.sec.gov/Archives/edgar/data/1408710/000140871025000010/fn-2025228xex41warranttopu.htm" TargetMode="External"/><Relationship Id="rId7" Type="http://schemas.openxmlformats.org/officeDocument/2006/relationships/hyperlink" Target="https://www.sec.gov/Archives/edgar/data/1408710/000119312517337274/d492650dex9911.htm" TargetMode="External"/><Relationship Id="rId8" Type="http://schemas.openxmlformats.org/officeDocument/2006/relationships/hyperlink" Target="https://www.sec.gov/Archives/edgar/data/1408710/000119312517337274/d492650dex9912.htm" TargetMode="External"/><Relationship Id="rId9" Type="http://schemas.openxmlformats.org/officeDocument/2006/relationships/hyperlink" Target="https://www.sec.gov/Archives/edgar/data/1408710/000119312517337274/d492650dex9913.htm" TargetMode="External"/><Relationship Id="rId10" Type="http://schemas.openxmlformats.org/officeDocument/2006/relationships/hyperlink" Target="https://www.sec.gov/Archives/edgar/data/1408710/000119312519312431/d834580dex991.htm" TargetMode="External"/><Relationship Id="rId11" Type="http://schemas.openxmlformats.org/officeDocument/2006/relationships/hyperlink" Target="https://www.sec.gov/Archives/edgar/data/1408710/000119312519312431/d834580dex992.htm" TargetMode="External"/><Relationship Id="rId12" Type="http://schemas.openxmlformats.org/officeDocument/2006/relationships/hyperlink" Target="https://www.sec.gov/Archives/edgar/data/1408710/000119312519312431/d834580dex993.htm" TargetMode="External"/><Relationship Id="rId13" Type="http://schemas.openxmlformats.org/officeDocument/2006/relationships/hyperlink" Target="https://www.sec.gov/Archives/edgar/data/1408710/000119312517293052/d460424dex101.htm" TargetMode="External"/><Relationship Id="rId14" Type="http://schemas.openxmlformats.org/officeDocument/2006/relationships/hyperlink" Target="https://www.sec.gov/Archives/edgar/data/1408710/000140871022000060/fn-20220930x10qex101.htm" TargetMode="External"/><Relationship Id="rId15" Type="http://schemas.openxmlformats.org/officeDocument/2006/relationships/hyperlink" Target="https://www.sec.gov/ix?doc=/Archives/edgar/data/1408710/000140871024000044/fn-20241219.htm" TargetMode="External"/><Relationship Id="rId16" Type="http://schemas.openxmlformats.org/officeDocument/2006/relationships/hyperlink" Target="https://www.sec.gov/Archives/edgar/data/1408710/000119312507238024/dex105.htm" TargetMode="External"/><Relationship Id="rId17" Type="http://schemas.openxmlformats.org/officeDocument/2006/relationships/hyperlink" Target="https://www.sec.gov/Archives/edgar/data/1408710/000140871023000008/fn-20221230x10qex101.htm" TargetMode="External"/><Relationship Id="rId18" Type="http://schemas.openxmlformats.org/officeDocument/2006/relationships/hyperlink" Target="https://www.sec.gov/Archives/edgar/data/1408710/000140871024000032/fn-20240629x10kex109.htm" TargetMode="External"/><Relationship Id="rId19" Type="http://schemas.openxmlformats.org/officeDocument/2006/relationships/hyperlink" Target="https://www.sec.gov/ix?doc=/Archives/edgar/data/0001408710/000140871026000026/fn-20260811.htm" TargetMode="External"/><Relationship Id="rId20" Type="http://schemas.openxmlformats.org/officeDocument/2006/relationships/hyperlink" Target="https://www.sec.gov/ix?doc=/Archives/edgar/data/0001408710/000140871025000036/fn-20250812.htm" TargetMode="External"/><Relationship Id="rId21" Type="http://schemas.openxmlformats.org/officeDocument/2006/relationships/hyperlink" Target="https://www.sec.gov/Archives/edgar/data/1408710/000140871021000031/fn-20210816x8xkexhibit101.htm" TargetMode="External"/><Relationship Id="rId22" Type="http://schemas.openxmlformats.org/officeDocument/2006/relationships/hyperlink" Target="https://www.sec.gov/Archives/edgar/data/1408710/000119312510015782/dex1010.htm" TargetMode="External"/><Relationship Id="rId23" Type="http://schemas.openxmlformats.org/officeDocument/2006/relationships/hyperlink" Target="https://www.sec.gov/Archives/edgar/data/1408710/000119312507238024/dex1010.htm" TargetMode="External"/><Relationship Id="rId24" Type="http://schemas.openxmlformats.org/officeDocument/2006/relationships/hyperlink" Target="https://www.sec.gov/Archives/edgar/data/1408710/000119312507238024/dex10111.htm" TargetMode="External"/><Relationship Id="rId25" Type="http://schemas.openxmlformats.org/officeDocument/2006/relationships/hyperlink" Target="https://www.sec.gov/Archives/edgar/data/1408710/000119312507238024/dex10121.htm" TargetMode="External"/><Relationship Id="rId26" Type="http://schemas.openxmlformats.org/officeDocument/2006/relationships/hyperlink" Target="https://www.sec.gov/Archives/edgar/data/1408710/000119312509239217/dex1014.htm" TargetMode="External"/><Relationship Id="rId27" Type="http://schemas.openxmlformats.org/officeDocument/2006/relationships/hyperlink" Target="https://www.sec.gov/Archives/edgar/data/1408710/000119312519243945/d802653dex101.htm" TargetMode="External"/><Relationship Id="rId28" Type="http://schemas.openxmlformats.org/officeDocument/2006/relationships/hyperlink" Target="https://www.sec.gov/Archives/edgar/data/1408710/000140871025000039/fn-20250627x10kex1018.htm" TargetMode="External"/><Relationship Id="rId29" Type="http://schemas.openxmlformats.org/officeDocument/2006/relationships/hyperlink" Target="https://www.sec.gov/Archives/edgar/data/1408710/000140871025000008/fn-20241227x10qex102.htm" TargetMode="External"/><Relationship Id="rId30" Type="http://schemas.openxmlformats.org/officeDocument/2006/relationships/hyperlink" Target="https://www.sec.gov/Archives/edgar/data/1408710/000119312519243945/d802653dex102.htm" TargetMode="External"/><Relationship Id="rId31" Type="http://schemas.openxmlformats.org/officeDocument/2006/relationships/hyperlink" Target="https://www.sec.gov/Archives/edgar/data/1408710/000140871023000018/fn-20230331x10qex101.htm" TargetMode="External"/><Relationship Id="rId32" Type="http://schemas.openxmlformats.org/officeDocument/2006/relationships/hyperlink" Target="https://www.sec.gov/Archives/edgar/data/1408710/000140871025000010/fn-2025228xex101transactio.htm" TargetMode="External"/><Relationship Id="rId33" Type="http://schemas.openxmlformats.org/officeDocument/2006/relationships/hyperlink" Target="https://www.sec.gov/Archives/edgar/data/1408710/000140871024000032/fn-20240628x10kexhibit191.htm" TargetMode="External"/><Relationship Id="rId34" Type="http://schemas.openxmlformats.org/officeDocument/2006/relationships/hyperlink" Target="https://www.sec.gov/Archives/edgar/data/1408710/000140871024000032/fb-20240628x10kexhibit971.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57344</Words>
  <Characters>324673</Characters>
  <CharactersWithSpaces>379289</CharactersWithSpaces>
  <Paragraphs>4447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