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ind w:right="-13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210820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p>
      <w:pPr>
        <w:jc w:val="center"/>
        <w:ind w:right="-139"/>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220345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98"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The Securities Exchange Act of 1934</w:t>
      </w:r>
    </w:p>
    <w:p>
      <w:pPr>
        <w:spacing w:after="0" w:line="153"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Date of Report (Date of earliest event reported)</w:t>
      </w:r>
    </w:p>
    <w:p>
      <w:pPr>
        <w:spacing w:after="0" w:line="17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January 9,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223520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139"/>
        <w:spacing w:after="0"/>
        <w:rPr>
          <w:sz w:val="20"/>
          <w:szCs w:val="20"/>
          <w:color w:val="auto"/>
        </w:rPr>
      </w:pPr>
      <w:r>
        <w:rPr>
          <w:rFonts w:ascii="Arial" w:cs="Arial" w:eastAsia="Arial" w:hAnsi="Arial"/>
          <w:sz w:val="40"/>
          <w:szCs w:val="40"/>
          <w:b w:val="1"/>
          <w:bCs w:val="1"/>
          <w:color w:val="auto"/>
        </w:rPr>
        <w:t>Fabrinet</w:t>
      </w:r>
    </w:p>
    <w:p>
      <w:pPr>
        <w:spacing w:after="0" w:line="35"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201930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78" w:right="359" w:bottom="1440" w:gutter="0" w:footer="0" w:header="0"/>
        </w:sectPr>
      </w:pPr>
    </w:p>
    <w:p>
      <w:pPr>
        <w:spacing w:after="0" w:line="200" w:lineRule="exact"/>
        <w:rPr>
          <w:sz w:val="24"/>
          <w:szCs w:val="24"/>
          <w:color w:val="auto"/>
        </w:rPr>
      </w:pPr>
    </w:p>
    <w:p>
      <w:pPr>
        <w:spacing w:after="0" w:line="356" w:lineRule="exact"/>
        <w:rPr>
          <w:sz w:val="24"/>
          <w:szCs w:val="24"/>
          <w:color w:val="auto"/>
        </w:rPr>
      </w:pPr>
    </w:p>
    <w:p>
      <w:pPr>
        <w:ind w:left="1320"/>
        <w:spacing w:after="0"/>
        <w:rPr>
          <w:sz w:val="20"/>
          <w:szCs w:val="20"/>
          <w:color w:val="auto"/>
        </w:rPr>
      </w:pPr>
      <w:r>
        <w:rPr>
          <w:rFonts w:ascii="Arial" w:cs="Arial" w:eastAsia="Arial" w:hAnsi="Arial"/>
          <w:sz w:val="16"/>
          <w:szCs w:val="16"/>
          <w:b w:val="1"/>
          <w:bCs w:val="1"/>
          <w:color w:val="auto"/>
        </w:rPr>
        <w:t>Cayman Islands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6" w:lineRule="exact"/>
        <w:rPr>
          <w:sz w:val="24"/>
          <w:szCs w:val="24"/>
          <w:color w:val="auto"/>
        </w:rPr>
      </w:pPr>
    </w:p>
    <w:p>
      <w:pPr>
        <w:jc w:val="center"/>
        <w:ind w:right="2060"/>
        <w:spacing w:after="0"/>
        <w:rPr>
          <w:sz w:val="20"/>
          <w:szCs w:val="20"/>
          <w:color w:val="auto"/>
        </w:rPr>
      </w:pPr>
      <w:r>
        <w:rPr>
          <w:rFonts w:ascii="Arial" w:cs="Arial" w:eastAsia="Arial" w:hAnsi="Arial"/>
          <w:sz w:val="16"/>
          <w:szCs w:val="16"/>
          <w:b w:val="1"/>
          <w:bCs w:val="1"/>
          <w:color w:val="auto"/>
        </w:rPr>
        <w:t>001-34775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Not Applicable</w:t>
      </w:r>
    </w:p>
    <w:p>
      <w:pPr>
        <w:spacing w:after="0" w:line="31" w:lineRule="exact"/>
        <w:rPr>
          <w:sz w:val="24"/>
          <w:szCs w:val="24"/>
          <w:color w:val="auto"/>
        </w:rPr>
      </w:pPr>
    </w:p>
    <w:p>
      <w:pPr>
        <w:sectPr>
          <w:pgSz w:w="11900" w:h="16838" w:orient="portrait"/>
          <w:cols w:equalWidth="0" w:num="3">
            <w:col w:w="4740" w:space="720"/>
            <w:col w:w="2840" w:space="720"/>
            <w:col w:w="2280"/>
          </w:cols>
          <w:pgMar w:left="240" w:top="378" w:right="359" w:bottom="1440" w:gutter="0" w:footer="0" w:header="0"/>
          <w:type w:val="continuous"/>
        </w:sectPr>
      </w:pPr>
    </w:p>
    <w:p>
      <w:pPr>
        <w:spacing w:after="0" w:line="12"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140"/>
        <w:spacing w:after="0"/>
        <w:rPr>
          <w:sz w:val="20"/>
          <w:szCs w:val="20"/>
          <w:color w:val="auto"/>
        </w:rPr>
      </w:pPr>
      <w:r>
        <w:rPr>
          <w:rFonts w:ascii="Arial" w:cs="Arial" w:eastAsia="Arial" w:hAnsi="Arial"/>
          <w:sz w:val="14"/>
          <w:szCs w:val="14"/>
          <w:b w:val="1"/>
          <w:bCs w:val="1"/>
          <w:color w:val="auto"/>
        </w:rPr>
        <w:t>(IRS Employer</w:t>
      </w:r>
    </w:p>
    <w:p>
      <w:pPr>
        <w:jc w:val="center"/>
        <w:ind w:right="1140"/>
        <w:spacing w:after="0"/>
        <w:rPr>
          <w:sz w:val="20"/>
          <w:szCs w:val="20"/>
          <w:color w:val="auto"/>
        </w:rPr>
      </w:pPr>
      <w:r>
        <w:rPr>
          <w:rFonts w:ascii="Arial" w:cs="Arial" w:eastAsia="Arial" w:hAnsi="Arial"/>
          <w:sz w:val="13"/>
          <w:szCs w:val="13"/>
          <w:b w:val="1"/>
          <w:bCs w:val="1"/>
          <w:color w:val="auto"/>
        </w:rPr>
        <w:t>Identification No.)</w:t>
      </w:r>
    </w:p>
    <w:p>
      <w:pPr>
        <w:spacing w:after="0" w:line="163" w:lineRule="exact"/>
        <w:rPr>
          <w:sz w:val="24"/>
          <w:szCs w:val="24"/>
          <w:color w:val="auto"/>
        </w:rPr>
      </w:pPr>
    </w:p>
    <w:p>
      <w:pPr>
        <w:sectPr>
          <w:pgSz w:w="11900" w:h="16838" w:orient="portrait"/>
          <w:cols w:equalWidth="0" w:num="3">
            <w:col w:w="4700" w:space="720"/>
            <w:col w:w="2900" w:space="720"/>
            <w:col w:w="2260"/>
          </w:cols>
          <w:pgMar w:left="240" w:top="378" w:right="359" w:bottom="1440" w:gutter="0" w:footer="0" w:header="0"/>
          <w:type w:val="continuous"/>
        </w:sectPr>
      </w:pPr>
    </w:p>
    <w:p>
      <w:pPr>
        <w:jc w:val="center"/>
        <w:ind w:right="-119"/>
        <w:spacing w:after="0"/>
        <w:rPr>
          <w:sz w:val="20"/>
          <w:szCs w:val="20"/>
          <w:color w:val="auto"/>
        </w:rPr>
      </w:pPr>
      <w:r>
        <w:rPr>
          <w:rFonts w:ascii="Arial" w:cs="Arial" w:eastAsia="Arial" w:hAnsi="Arial"/>
          <w:sz w:val="16"/>
          <w:szCs w:val="16"/>
          <w:b w:val="1"/>
          <w:bCs w:val="1"/>
          <w:color w:val="auto"/>
        </w:rPr>
        <w:t>c/o Intertrust Corporate Services (Cayman) Limited</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190 Elgin Avenue</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George Town</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Grand Cayman</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KY1-9005</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Cayman Islands</w:t>
      </w:r>
    </w:p>
    <w:p>
      <w:pPr>
        <w:spacing w:after="0" w:line="2"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138"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+66 2-524-9600</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8"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200660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78" w:right="359" w:bottom="1440" w:gutter="0" w:footer="0" w:header="0"/>
          <w:type w:val="continuous"/>
        </w:sectPr>
      </w:pPr>
    </w:p>
    <w:p>
      <w:pPr>
        <w:spacing w:after="0" w:line="200" w:lineRule="exact"/>
        <w:rPr>
          <w:sz w:val="24"/>
          <w:szCs w:val="24"/>
          <w:color w:val="auto"/>
        </w:rPr>
      </w:pPr>
    </w:p>
    <w:p>
      <w:pPr>
        <w:spacing w:after="0" w:line="27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w:t>
      </w:r>
    </w:p>
    <w:p>
      <w:pPr>
        <w:spacing w:after="0" w:line="35"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71" w:lineRule="exact"/>
        <w:rPr>
          <w:sz w:val="24"/>
          <w:szCs w:val="24"/>
          <w:color w:val="auto"/>
        </w:rPr>
      </w:pPr>
    </w:p>
    <w:p>
      <w:pPr>
        <w:ind w:right="200"/>
        <w:spacing w:after="0" w:line="270"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4"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90805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78" w:right="359" w:bottom="1440" w:gutter="0" w:footer="0" w:header="0"/>
          <w:type w:val="continuous"/>
        </w:sectPr>
      </w:pPr>
    </w:p>
    <w:bookmarkStart w:id="1" w:name="page2"/>
    <w:bookmarkEnd w:id="1"/>
    <w:p>
      <w:pPr>
        <w:ind w:left="1040" w:right="200" w:hanging="1025"/>
        <w:spacing w:after="0" w:line="282" w:lineRule="auto"/>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ind w:right="120" w:firstLine="456"/>
        <w:spacing w:after="0" w:line="342" w:lineRule="auto"/>
        <w:rPr>
          <w:sz w:val="20"/>
          <w:szCs w:val="20"/>
          <w:color w:val="auto"/>
        </w:rPr>
      </w:pPr>
      <w:r>
        <w:rPr>
          <w:rFonts w:ascii="Arial" w:cs="Arial" w:eastAsia="Arial" w:hAnsi="Arial"/>
          <w:sz w:val="16"/>
          <w:szCs w:val="16"/>
          <w:color w:val="auto"/>
        </w:rPr>
        <w:t>On January 9, 2018, Fabrinet (the “</w:t>
      </w:r>
      <w:r>
        <w:rPr>
          <w:rFonts w:ascii="Arial" w:cs="Arial" w:eastAsia="Arial" w:hAnsi="Arial"/>
          <w:sz w:val="16"/>
          <w:szCs w:val="16"/>
          <w:u w:val="single" w:color="auto"/>
          <w:color w:val="auto"/>
        </w:rPr>
        <w:t>Company</w:t>
      </w:r>
      <w:r>
        <w:rPr>
          <w:rFonts w:ascii="Arial" w:cs="Arial" w:eastAsia="Arial" w:hAnsi="Arial"/>
          <w:sz w:val="16"/>
          <w:szCs w:val="16"/>
          <w:color w:val="auto"/>
        </w:rPr>
        <w:t>”) entered into amended and restated offer letters of employment with Harpal Gill, President and Chief Operating Officer, and Toh-Seng Ng, Executive Vice President and Chief Financial Officer, in order to provide for certain severance and retirement benefits.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Amended and Restated Gill Offer Letter</w:t>
      </w:r>
    </w:p>
    <w:p>
      <w:pPr>
        <w:spacing w:after="0" w:line="11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Dr. Gill’s amended and restated offer letter (the “</w:t>
      </w:r>
      <w:r>
        <w:rPr>
          <w:rFonts w:ascii="Arial" w:cs="Arial" w:eastAsia="Arial" w:hAnsi="Arial"/>
          <w:sz w:val="18"/>
          <w:szCs w:val="18"/>
          <w:u w:val="single" w:color="auto"/>
          <w:color w:val="auto"/>
        </w:rPr>
        <w:t>Amended Gill Offer Letter</w:t>
      </w:r>
      <w:r>
        <w:rPr>
          <w:rFonts w:ascii="Arial" w:cs="Arial" w:eastAsia="Arial" w:hAnsi="Arial"/>
          <w:sz w:val="18"/>
          <w:szCs w:val="18"/>
          <w:color w:val="auto"/>
        </w:rPr>
        <w:t>”) confirms Dr. Gill’s (i) current annual base salary of $950,000, (ii) current annual cash bonus opportunity of at least 95% of base salary, which will be earned based on the Compensation Committee’s evaluation of performance objectives established for the applicable year, and (iii) continued car allowance of $1,000 per month.</w:t>
      </w:r>
    </w:p>
    <w:p>
      <w:pPr>
        <w:spacing w:after="0" w:line="181"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In the event Dr. Gill remains continuously employed with the Company through and on May 7, 2018, Dr. Gill will become 100% vested on such date in any then-outstanding and unvested equity-based awards granted to him by the Company prior to August 2016, as well as the award of restricted share units covering 42,613 ordinary shares that was granted to him by the Company on August 18, 2016 (collectively, the “</w:t>
      </w:r>
      <w:r>
        <w:rPr>
          <w:rFonts w:ascii="Arial" w:cs="Arial" w:eastAsia="Arial" w:hAnsi="Arial"/>
          <w:sz w:val="16"/>
          <w:szCs w:val="16"/>
          <w:u w:val="single" w:color="auto"/>
          <w:color w:val="auto"/>
        </w:rPr>
        <w:t>Gill Acceleration Eligible Awards</w:t>
      </w:r>
      <w:r>
        <w:rPr>
          <w:rFonts w:ascii="Arial" w:cs="Arial" w:eastAsia="Arial" w:hAnsi="Arial"/>
          <w:sz w:val="16"/>
          <w:szCs w:val="16"/>
          <w:color w:val="auto"/>
        </w:rPr>
        <w:t>”).</w:t>
      </w:r>
    </w:p>
    <w:p>
      <w:pPr>
        <w:spacing w:after="0" w:line="147"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Dr. Gill and the Company are each free to terminate Dr. Gill’s employment with the Company at any time, effective (i) one year after providing written notice, or (ii) such lesser period ending on May 7, 2023 (the “</w:t>
      </w:r>
      <w:r>
        <w:rPr>
          <w:rFonts w:ascii="Arial" w:cs="Arial" w:eastAsia="Arial" w:hAnsi="Arial"/>
          <w:sz w:val="16"/>
          <w:szCs w:val="16"/>
          <w:u w:val="single" w:color="auto"/>
          <w:color w:val="auto"/>
        </w:rPr>
        <w:t>Gill Retirement Date</w:t>
      </w:r>
      <w:r>
        <w:rPr>
          <w:rFonts w:ascii="Arial" w:cs="Arial" w:eastAsia="Arial" w:hAnsi="Arial"/>
          <w:sz w:val="16"/>
          <w:szCs w:val="16"/>
          <w:color w:val="auto"/>
        </w:rPr>
        <w:t>”) to the extent that the written notice is provided within the one year period prior to the Gill Retirement Date, provided that Dr. Gill’s employment can be terminated at any time for cause without advance written notice.</w:t>
      </w:r>
    </w:p>
    <w:p>
      <w:pPr>
        <w:spacing w:after="0" w:line="14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Subject to certain conditions, in the event Dr. Gill’s employment is terminated prior to, or within 10 days after, the Gill Retirement Date, either by the Company without “good cause” (as such term is defined in the Amended Gill Offer Letter) and other than due to his death or disability, or by Dr. Gill for any reason, Dr. Gill will receive the following severance benefits: (1) a lump sum payment equal to the sum of (a) his one month’s base salary multiplied by the total number of full and fractional years of his employment with the Company; (b) any earned but unpaid bonus; and (c) two times his cost of COBRA coverage for twelve months; (2) any then-outstanding and unvested performance-based equity awards that remain subject to the achievement of any performance goals as of the date of termination of employment (the “</w:t>
      </w:r>
      <w:r>
        <w:rPr>
          <w:rFonts w:ascii="Arial" w:cs="Arial" w:eastAsia="Arial" w:hAnsi="Arial"/>
          <w:sz w:val="16"/>
          <w:szCs w:val="16"/>
          <w:u w:val="single" w:color="auto"/>
          <w:color w:val="auto"/>
        </w:rPr>
        <w:t>Gill Performance Awards</w:t>
      </w:r>
      <w:r>
        <w:rPr>
          <w:rFonts w:ascii="Arial" w:cs="Arial" w:eastAsia="Arial" w:hAnsi="Arial"/>
          <w:sz w:val="16"/>
          <w:szCs w:val="16"/>
          <w:color w:val="auto"/>
        </w:rPr>
        <w:t>”) will remain outstanding and eligible to vest based on the extent that the applicable performance-based or other criteria are satisfied; and (3) continued tax equalization benefits under the Company’s expatriate policy, as in effect on the date of termination, for the calendar year in which the termination date occurs, and the following calendar year.</w:t>
      </w:r>
    </w:p>
    <w:p>
      <w:pPr>
        <w:spacing w:after="0" w:line="166"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In the event Dr. Gill’s employment is terminated on account of Dr. Gill’s death or disability on or prior to the Gill Retirement Date, (i) Dr. Gill will become 100% vested immediately prior to his termination date in any then outstanding and unvested Gill Acceleration Eligible Awards and (ii) any then-outstanding and unvested Gill Performance Awards will remain outstanding and eligible to vest based on the extent that the applicable performance-based or other criteria are satisfied. In addition, if Dr. Gill’s employment is terminated on account of Dr. Gill’s death or disability on or after May 7, 2018, Dr. Gill will also receive the severance benefits described in clause (1) of the immediately preceding paragraph.</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Dr. Gill’s severance benefits are conditioned upon the parties’ entry into a separation agreement and release of claims in favor of the Company.</w:t>
      </w:r>
    </w:p>
    <w:p>
      <w:pPr>
        <w:spacing w:after="0" w:line="23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foregoing description of the Amended Gill Offer Letter is a summary and is qualified in its entirety by the terms of the Amended Gill Offer Letter, which is incorporated herein by reference and attached to this Current Report on Form 8-K as Exhibit 10.1.</w:t>
      </w:r>
    </w:p>
    <w:p>
      <w:pPr>
        <w:sectPr>
          <w:pgSz w:w="11900" w:h="16838" w:orient="portrait"/>
          <w:cols w:equalWidth="0" w:num="1">
            <w:col w:w="11400"/>
          </w:cols>
          <w:pgMar w:left="240" w:top="270" w:right="259" w:bottom="1440" w:gutter="0" w:footer="0" w:header="0"/>
        </w:sectPr>
      </w:pPr>
    </w:p>
    <w:bookmarkStart w:id="2" w:name="page3"/>
    <w:bookmarkEnd w:id="2"/>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Amended and Restated Ng Offer Letter</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Mr. Ng’s amended and restated offer letter (the “</w:t>
      </w:r>
      <w:r>
        <w:rPr>
          <w:rFonts w:ascii="Arial" w:cs="Arial" w:eastAsia="Arial" w:hAnsi="Arial"/>
          <w:sz w:val="18"/>
          <w:szCs w:val="18"/>
          <w:u w:val="single" w:color="auto"/>
          <w:color w:val="auto"/>
        </w:rPr>
        <w:t>Amended Ng Offer Letter</w:t>
      </w:r>
      <w:r>
        <w:rPr>
          <w:rFonts w:ascii="Arial" w:cs="Arial" w:eastAsia="Arial" w:hAnsi="Arial"/>
          <w:sz w:val="18"/>
          <w:szCs w:val="18"/>
          <w:color w:val="auto"/>
        </w:rPr>
        <w:t>”) confirms Mr. Ng’s current annual base salary of $650,000 and continued car allowance of $1,000 per month, as well as provides for an annual cash bonus opportunity of at least 80% of base salary, which will be earned based on the Compensation Committee’s evaluation of performance objectives established for the applicable year.</w:t>
      </w:r>
    </w:p>
    <w:p>
      <w:pPr>
        <w:spacing w:after="0" w:line="181" w:lineRule="exact"/>
        <w:rPr>
          <w:sz w:val="20"/>
          <w:szCs w:val="20"/>
          <w:color w:val="auto"/>
        </w:rPr>
      </w:pPr>
    </w:p>
    <w:p>
      <w:pPr>
        <w:jc w:val="both"/>
        <w:ind w:right="60" w:firstLine="456"/>
        <w:spacing w:after="0" w:line="312" w:lineRule="auto"/>
        <w:rPr>
          <w:sz w:val="20"/>
          <w:szCs w:val="20"/>
          <w:color w:val="auto"/>
        </w:rPr>
      </w:pPr>
      <w:r>
        <w:rPr>
          <w:rFonts w:ascii="Arial" w:cs="Arial" w:eastAsia="Arial" w:hAnsi="Arial"/>
          <w:sz w:val="16"/>
          <w:szCs w:val="16"/>
          <w:color w:val="auto"/>
        </w:rPr>
        <w:t>In the event Mr. Ng remains continuously employed with the Company through and on December 30, 2018, Mr. Ng will become 100% vested on such date in any then-outstanding and unvested equity-based awards granted to him by the Company prior to August 2016, as well as the award of restricted share units covering 40,760 ordinary shares that was granted to him by the Company on August 18, 2016 (collectively, the “</w:t>
      </w:r>
      <w:r>
        <w:rPr>
          <w:rFonts w:ascii="Arial" w:cs="Arial" w:eastAsia="Arial" w:hAnsi="Arial"/>
          <w:sz w:val="16"/>
          <w:szCs w:val="16"/>
          <w:u w:val="single" w:color="auto"/>
          <w:color w:val="auto"/>
        </w:rPr>
        <w:t>Ng Acceleration Eligible Awards</w:t>
      </w:r>
      <w:r>
        <w:rPr>
          <w:rFonts w:ascii="Arial" w:cs="Arial" w:eastAsia="Arial" w:hAnsi="Arial"/>
          <w:sz w:val="16"/>
          <w:szCs w:val="16"/>
          <w:color w:val="auto"/>
        </w:rPr>
        <w:t>”).</w:t>
      </w:r>
    </w:p>
    <w:p>
      <w:pPr>
        <w:spacing w:after="0" w:line="147"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Mr. Ng and the Company are each free to terminate Mr. Ng’s employment with the Company at any time, effective (i) one year after providing written notice, or (ii) such lesser period ending on December 30, 2023 (the “</w:t>
      </w:r>
      <w:r>
        <w:rPr>
          <w:rFonts w:ascii="Arial" w:cs="Arial" w:eastAsia="Arial" w:hAnsi="Arial"/>
          <w:sz w:val="16"/>
          <w:szCs w:val="16"/>
          <w:u w:val="single" w:color="auto"/>
          <w:color w:val="auto"/>
        </w:rPr>
        <w:t>Ng Retirement Date</w:t>
      </w:r>
      <w:r>
        <w:rPr>
          <w:rFonts w:ascii="Arial" w:cs="Arial" w:eastAsia="Arial" w:hAnsi="Arial"/>
          <w:sz w:val="16"/>
          <w:szCs w:val="16"/>
          <w:color w:val="auto"/>
        </w:rPr>
        <w:t>”) to the extent that the written notice is provided within the one year period prior to the Ng Retirement Date, provided that Mr. Ng’s employment can be terminated at any time for cause without advance written notice.</w:t>
      </w:r>
    </w:p>
    <w:p>
      <w:pPr>
        <w:spacing w:after="0" w:line="147"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Subject to certain conditions, in the event Mr. Ng’s employment is terminated prior to, or within 10 days after, the Ng Retirement Date, either by the Company without “good cause” (as such term is defined in the Amended Ng Offer Letter) and other than due to his death or disability, or by Mr. Ng for any reason, Mr. Ng will receive the following severance benefits: (1) a lump sum payment equal to the sum of (a) his one month’s base salary multiplied by the total number of full and fractional years of his employment with the Company as of his termination date; (b) any earned but unpaid bonus; and (c) two times his cost of COBRA coverage for twelve months; (2) any then-outstanding and unvested performance-based equity awards that remain subject to the achievement of any performance goals (the “</w:t>
      </w:r>
      <w:r>
        <w:rPr>
          <w:rFonts w:ascii="Arial" w:cs="Arial" w:eastAsia="Arial" w:hAnsi="Arial"/>
          <w:sz w:val="17"/>
          <w:szCs w:val="17"/>
          <w:u w:val="single" w:color="auto"/>
          <w:color w:val="auto"/>
        </w:rPr>
        <w:t>Ng Performance Awards</w:t>
      </w:r>
      <w:r>
        <w:rPr>
          <w:rFonts w:ascii="Arial" w:cs="Arial" w:eastAsia="Arial" w:hAnsi="Arial"/>
          <w:sz w:val="17"/>
          <w:szCs w:val="17"/>
          <w:color w:val="auto"/>
        </w:rPr>
        <w:t>”) will remain outstanding and eligible to vest based on the extent that the applicable performance-based or other criteria are satisfied; and (3) continued tax equalization benefits under the Company’s expatriate policy, as in effect on the date of termination, for the calendar year in which the termination date occurs, and the following calendar year.</w:t>
      </w:r>
    </w:p>
    <w:p>
      <w:pPr>
        <w:spacing w:after="0" w:line="179"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color w:val="auto"/>
        </w:rPr>
        <w:t>In the event Mr. Ng’s employment is terminated on account of Mr. Ng’s death or disability on or prior to the Ng Retirement Date, (i) Mr. Ng will become 100% vested immediately prior to his termination date in any then-outstanding and unvested Ng Acceleration Eligible Awards and (ii) any then-outstanding and unvested Ng Performance Awards will remain outstanding and eligible to vest based on the extent that the applicable performance-based or other criteria are satisfied. In addition, if Mr. Ng’s employment is terminated on account of Mr. Ng’s death or disability on or after December 30, 2018, Mr. Ng will also receive the severance benefits described in clause (1) of the immediately preceding paragraph.</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Mr. Ng’s severance benefits are conditioned upon the parties’ entry into a separation agreement and release of claims in favor of the Company.</w:t>
      </w:r>
    </w:p>
    <w:p>
      <w:pPr>
        <w:spacing w:after="0" w:line="23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foregoing description of the Amended Ng Offer Letter is a summary and is qualified in its entirety by the terms of the Amended Ng Offer Letter, which is incorporated herein by reference and attached to this Current Report on Form 8-K as Exhibit 10.2.</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160" w:type="dxa"/>
            <w:vAlign w:val="bottom"/>
          </w:tcPr>
          <w:p>
            <w:pPr>
              <w:spacing w:after="0"/>
              <w:rPr>
                <w:sz w:val="20"/>
                <w:szCs w:val="20"/>
                <w:color w:val="auto"/>
              </w:rPr>
            </w:pPr>
          </w:p>
        </w:tc>
        <w:tc>
          <w:tcPr>
            <w:tcW w:w="8300" w:type="dxa"/>
            <w:vAlign w:val="bottom"/>
            <w:gridSpan w:val="3"/>
          </w:tcPr>
          <w:p>
            <w:pPr>
              <w:ind w:left="20"/>
              <w:spacing w:after="0"/>
              <w:rPr>
                <w:sz w:val="20"/>
                <w:szCs w:val="20"/>
                <w:color w:val="auto"/>
              </w:rPr>
            </w:pPr>
            <w:r>
              <w:rPr>
                <w:rFonts w:ascii="Arial" w:cs="Arial" w:eastAsia="Arial" w:hAnsi="Arial"/>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324"/>
        </w:trPr>
        <w:tc>
          <w:tcPr>
            <w:tcW w:w="860" w:type="dxa"/>
            <w:vAlign w:val="bottom"/>
            <w:gridSpan w:val="2"/>
          </w:tcPr>
          <w:p>
            <w:pPr>
              <w:spacing w:after="0"/>
              <w:rPr>
                <w:sz w:val="20"/>
                <w:szCs w:val="20"/>
                <w:color w:val="auto"/>
              </w:rPr>
            </w:pPr>
            <w:r>
              <w:rPr>
                <w:rFonts w:ascii="Arial" w:cs="Arial" w:eastAsia="Arial" w:hAnsi="Arial"/>
                <w:sz w:val="18"/>
                <w:szCs w:val="18"/>
                <w:color w:val="auto"/>
              </w:rPr>
              <w:t>(d)</w:t>
            </w:r>
          </w:p>
        </w:tc>
        <w:tc>
          <w:tcPr>
            <w:tcW w:w="8460" w:type="dxa"/>
            <w:vAlign w:val="bottom"/>
            <w:gridSpan w:val="4"/>
          </w:tcPr>
          <w:p>
            <w:pPr>
              <w:ind w:left="120"/>
              <w:spacing w:after="0"/>
              <w:rPr>
                <w:sz w:val="20"/>
                <w:szCs w:val="20"/>
                <w:color w:val="auto"/>
              </w:rPr>
            </w:pPr>
            <w:r>
              <w:rPr>
                <w:rFonts w:ascii="Arial" w:cs="Arial" w:eastAsia="Arial" w:hAnsi="Arial"/>
                <w:sz w:val="18"/>
                <w:szCs w:val="18"/>
                <w:color w:val="auto"/>
              </w:rPr>
              <w:t>Exhibits.</w:t>
            </w:r>
          </w:p>
        </w:tc>
        <w:tc>
          <w:tcPr>
            <w:tcW w:w="0" w:type="dxa"/>
            <w:vAlign w:val="bottom"/>
          </w:tcPr>
          <w:p>
            <w:pPr>
              <w:spacing w:after="0"/>
              <w:rPr>
                <w:sz w:val="1"/>
                <w:szCs w:val="1"/>
                <w:color w:val="auto"/>
              </w:rPr>
            </w:pPr>
          </w:p>
        </w:tc>
      </w:tr>
      <w:tr>
        <w:trPr>
          <w:trHeight w:val="369"/>
        </w:trPr>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160" w:type="dxa"/>
            <w:vAlign w:val="bottom"/>
          </w:tcPr>
          <w:p>
            <w:pPr>
              <w:spacing w:after="0"/>
              <w:rPr>
                <w:sz w:val="24"/>
                <w:szCs w:val="2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7580" w:type="dxa"/>
            <w:vAlign w:val="bottom"/>
            <w:gridSpan w:val="2"/>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No.</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75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460" w:type="dxa"/>
            <w:vAlign w:val="bottom"/>
          </w:tcPr>
          <w:p>
            <w:pPr>
              <w:spacing w:after="0"/>
              <w:rPr>
                <w:sz w:val="20"/>
                <w:szCs w:val="20"/>
                <w:color w:val="auto"/>
              </w:rPr>
            </w:pPr>
            <w:r>
              <w:rPr>
                <w:rFonts w:ascii="Arial" w:cs="Arial" w:eastAsia="Arial" w:hAnsi="Arial"/>
                <w:sz w:val="18"/>
                <w:szCs w:val="18"/>
                <w:color w:val="auto"/>
              </w:rPr>
              <w:t>10.1</w:t>
            </w: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30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Amended and Restated Offer Letter, dated January 9, 2018, by and between Dr. Harpal Gill and Fabrinet USA, Inc.</w:t>
              </w:r>
            </w:hyperlink>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10.2</w:t>
            </w: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300" w:type="dxa"/>
            <w:vAlign w:val="bottom"/>
            <w:gridSpan w:val="3"/>
          </w:tcPr>
          <w:p>
            <w:pPr>
              <w:spacing w:after="0"/>
              <w:rPr>
                <w:rFonts w:ascii="Arial" w:cs="Arial" w:eastAsia="Arial" w:hAnsi="Arial"/>
                <w:sz w:val="18"/>
                <w:szCs w:val="18"/>
                <w:color w:val="0000EE"/>
                <w:w w:val="90"/>
              </w:rPr>
            </w:pPr>
            <w:hyperlink w:anchor="page13">
              <w:r>
                <w:rPr>
                  <w:rFonts w:ascii="Arial" w:cs="Arial" w:eastAsia="Arial" w:hAnsi="Arial"/>
                  <w:sz w:val="18"/>
                  <w:szCs w:val="18"/>
                  <w:color w:val="0000EE"/>
                  <w:w w:val="90"/>
                </w:rPr>
                <w:t>Amended and Restated Offer Letter, dated January 9, 2018, by and between Toh-Seng Ng and Fabrinet USA, Inc.</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74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80"/>
          </w:cols>
          <w:pgMar w:left="240" w:top="274" w:right="279" w:bottom="1440" w:gutter="0" w:footer="0" w:header="0"/>
        </w:sectPr>
      </w:pPr>
    </w:p>
    <w:bookmarkStart w:id="3" w:name="page4"/>
    <w:bookmarkEnd w:id="3"/>
    <w:p>
      <w:pPr>
        <w:jc w:val="center"/>
        <w:ind w:right="-6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6060"/>
        <w:spacing w:after="0"/>
        <w:rPr>
          <w:sz w:val="20"/>
          <w:szCs w:val="20"/>
          <w:color w:val="auto"/>
        </w:rPr>
      </w:pPr>
      <w:r>
        <w:rPr>
          <w:rFonts w:ascii="Arial" w:cs="Arial" w:eastAsia="Arial" w:hAnsi="Arial"/>
          <w:sz w:val="20"/>
          <w:szCs w:val="20"/>
          <w:b w:val="1"/>
          <w:bCs w:val="1"/>
          <w:color w:val="auto"/>
        </w:rPr>
        <w:t>FABRINET</w:t>
      </w:r>
    </w:p>
    <w:p>
      <w:pPr>
        <w:spacing w:after="0" w:line="224" w:lineRule="exact"/>
        <w:rPr>
          <w:sz w:val="20"/>
          <w:szCs w:val="20"/>
          <w:color w:val="auto"/>
        </w:rPr>
      </w:pPr>
    </w:p>
    <w:p>
      <w:pPr>
        <w:ind w:left="5540"/>
        <w:spacing w:after="0"/>
        <w:tabs>
          <w:tab w:leader="none" w:pos="79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Toh-Seng 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0</wp:posOffset>
            </wp:positionV>
            <wp:extent cx="34048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7" w:lineRule="exact"/>
        <w:rPr>
          <w:sz w:val="20"/>
          <w:szCs w:val="20"/>
          <w:color w:val="auto"/>
        </w:rPr>
      </w:pPr>
    </w:p>
    <w:p>
      <w:pPr>
        <w:jc w:val="center"/>
        <w:ind w:left="6060"/>
        <w:spacing w:after="0"/>
        <w:rPr>
          <w:sz w:val="20"/>
          <w:szCs w:val="20"/>
          <w:color w:val="auto"/>
        </w:rPr>
      </w:pPr>
      <w:r>
        <w:rPr>
          <w:rFonts w:ascii="Arial" w:cs="Arial" w:eastAsia="Arial" w:hAnsi="Arial"/>
          <w:sz w:val="20"/>
          <w:szCs w:val="20"/>
          <w:b w:val="1"/>
          <w:bCs w:val="1"/>
          <w:color w:val="auto"/>
        </w:rPr>
        <w:t>Toh-Seng Ng</w:t>
      </w:r>
    </w:p>
    <w:p>
      <w:pPr>
        <w:spacing w:after="0" w:line="2" w:lineRule="exact"/>
        <w:rPr>
          <w:sz w:val="20"/>
          <w:szCs w:val="20"/>
          <w:color w:val="auto"/>
        </w:rPr>
      </w:pPr>
    </w:p>
    <w:p>
      <w:pPr>
        <w:ind w:left="6960"/>
        <w:spacing w:after="0"/>
        <w:rPr>
          <w:sz w:val="20"/>
          <w:szCs w:val="20"/>
          <w:color w:val="auto"/>
        </w:rPr>
      </w:pPr>
      <w:r>
        <w:rPr>
          <w:rFonts w:ascii="Arial" w:cs="Arial" w:eastAsia="Arial" w:hAnsi="Arial"/>
          <w:sz w:val="17"/>
          <w:szCs w:val="17"/>
          <w:i w:val="1"/>
          <w:iCs w:val="1"/>
          <w:color w:val="auto"/>
        </w:rPr>
        <w:t>Executive Vice President, Chief Financial Officer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Date: January 16, 2018</w:t>
      </w:r>
    </w:p>
    <w:p>
      <w:pPr>
        <w:sectPr>
          <w:pgSz w:w="11900" w:h="16838" w:orient="portrait"/>
          <w:cols w:equalWidth="0" w:num="1">
            <w:col w:w="10740"/>
          </w:cols>
          <w:pgMar w:left="240" w:top="270" w:right="91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5502275</wp:posOffset>
            </wp:positionH>
            <wp:positionV relativeFrom="paragraph">
              <wp:posOffset>172085</wp:posOffset>
            </wp:positionV>
            <wp:extent cx="1749425" cy="7289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49425"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January 9, 2018</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Harpal Gill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Dear Harpal,</w:t>
      </w:r>
    </w:p>
    <w:p>
      <w:pPr>
        <w:spacing w:after="0" w:line="11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This letter is intended to amend and restate your offer letter dated February 5, 2015 and subsequently amended on August 12, 2016. We previously extended an offer of employment to you, which you accepted, for the position of Senior Vice President of Operations of Fabrinet USA, Inc. (“</w:t>
      </w:r>
      <w:r>
        <w:rPr>
          <w:rFonts w:ascii="Arial" w:cs="Arial" w:eastAsia="Arial" w:hAnsi="Arial"/>
          <w:sz w:val="18"/>
          <w:szCs w:val="18"/>
          <w:u w:val="single" w:color="auto"/>
          <w:color w:val="auto"/>
        </w:rPr>
        <w:t>FUSA</w:t>
      </w:r>
      <w:r>
        <w:rPr>
          <w:rFonts w:ascii="Arial" w:cs="Arial" w:eastAsia="Arial" w:hAnsi="Arial"/>
          <w:sz w:val="18"/>
          <w:szCs w:val="18"/>
          <w:color w:val="auto"/>
        </w:rPr>
        <w:t>” or the “</w:t>
      </w:r>
      <w:r>
        <w:rPr>
          <w:rFonts w:ascii="Arial" w:cs="Arial" w:eastAsia="Arial" w:hAnsi="Arial"/>
          <w:sz w:val="18"/>
          <w:szCs w:val="18"/>
          <w:u w:val="single" w:color="auto"/>
          <w:color w:val="auto"/>
        </w:rPr>
        <w:t>Company</w:t>
      </w:r>
      <w:r>
        <w:rPr>
          <w:rFonts w:ascii="Arial" w:cs="Arial" w:eastAsia="Arial" w:hAnsi="Arial"/>
          <w:sz w:val="18"/>
          <w:szCs w:val="18"/>
          <w:color w:val="auto"/>
        </w:rPr>
        <w:t>”), a wholly-owned subsidiary of Fabrinet (“</w:t>
      </w:r>
      <w:r>
        <w:rPr>
          <w:rFonts w:ascii="Arial" w:cs="Arial" w:eastAsia="Arial" w:hAnsi="Arial"/>
          <w:sz w:val="18"/>
          <w:szCs w:val="18"/>
          <w:u w:val="single" w:color="auto"/>
          <w:color w:val="auto"/>
        </w:rPr>
        <w:t>Fabrinet</w:t>
      </w:r>
      <w:r>
        <w:rPr>
          <w:rFonts w:ascii="Arial" w:cs="Arial" w:eastAsia="Arial" w:hAnsi="Arial"/>
          <w:sz w:val="18"/>
          <w:szCs w:val="18"/>
          <w:color w:val="auto"/>
        </w:rPr>
        <w:t>”), effective May 1, 2005. You have since been promoted to President and Chief Operating Officer. You will report to Mr. Seamus Grady, Chief Executive Officer (CEO) of Fabrinet.</w:t>
      </w:r>
    </w:p>
    <w:p>
      <w:pPr>
        <w:spacing w:after="0" w:line="187"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Your duties will generally consist of those associated with continuously improving Manufacturing and Operation excellences. As the President and Chief Operating Officer of FUSA, you will devote substantially all of your business time and efforts to the performance of your duties and use your best efforts in such endeavors. Acceptance of this offer constitutes your representation that your execution of this agreement and performance of the requirements of this position will not be in violation of any other agreement to which you are a party, including but not limited to any current non-solicit agreements.</w:t>
      </w:r>
    </w:p>
    <w:p>
      <w:pPr>
        <w:spacing w:after="0" w:line="154"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Your annual base salary will be $950,000 to be paid on a semi-monthly basis on or about the 15th and 30th of each month in accordance with FUSA’s payroll policy, subject to applicable U.S. tax withholdings. Your base salary will be subject to review and adjustment by the Company from time to time, in its sole discretion. Subject to the approval of Fabrinet’s Board of Directors (the “</w:t>
      </w:r>
      <w:r>
        <w:rPr>
          <w:rFonts w:ascii="Arial" w:cs="Arial" w:eastAsia="Arial" w:hAnsi="Arial"/>
          <w:sz w:val="17"/>
          <w:szCs w:val="17"/>
          <w:u w:val="single" w:color="auto"/>
          <w:color w:val="auto"/>
        </w:rPr>
        <w:t>Board</w:t>
      </w:r>
      <w:r>
        <w:rPr>
          <w:rFonts w:ascii="Arial" w:cs="Arial" w:eastAsia="Arial" w:hAnsi="Arial"/>
          <w:sz w:val="17"/>
          <w:szCs w:val="17"/>
          <w:color w:val="auto"/>
        </w:rPr>
        <w:t>”), you will be eligible to participate in Fabrinet’s Executive Incentive Plan, with a target bonus of at least 95% of your annual base salary. Any target bonus, or portion thereof, will be paid as soon as practicable after the Compensation Committee of the Board determines that the target bonus (or relevant portion thereof) has been earned, but in no event shall any such target bonus be paid later than sixty (60) days following the end of the applicable target bonus performance period.</w:t>
      </w:r>
    </w:p>
    <w:p>
      <w:pPr>
        <w:spacing w:after="0" w:line="178"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Additionally, you will be eligible to participate in FUSA’s Employee Benefits Plan, which includes two hundred forty (240) hours paid time off (PTO), health care (medical, dental &amp; vision for you and your eligible dependents), 401(k), and Group Term Life. Reasonable business-related travel and other expenses will be reimbursable via monthly expense reporting pursuant to the Company’s policies and procedures, but in no event will any reimbursement</w:t>
      </w:r>
    </w:p>
    <w:p>
      <w:pPr>
        <w:sectPr>
          <w:pgSz w:w="11900" w:h="16838" w:orient="portrait"/>
          <w:cols w:equalWidth="0" w:num="1">
            <w:col w:w="11420"/>
          </w:cols>
          <w:pgMar w:left="240" w:top="121" w:right="239" w:bottom="1440" w:gutter="0" w:footer="0" w:header="0"/>
        </w:sectPr>
      </w:pPr>
    </w:p>
    <w:bookmarkStart w:id="5" w:name="page6"/>
    <w:bookmarkEnd w:id="5"/>
    <w:p>
      <w:pPr>
        <w:ind w:right="14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occur later than the fifteenth (15) day of the third month following the later of (i) the close of the Company’s fiscal year in which such expenses are incurred or (ii) the calendar year in which such expenses are incurred. You will be eligible to receive a car allowance of $1,000 per month, provided that you are an employee of FUSA on the date the car allowance is paid to you each month. The Company may modify or terminate its benefits programs and arrangements from time to time as necessary or appropriate. The Company has the right to withhold from any payments or benefits under this letter all applicable federal, state and local taxes required to be withheld and any other required payroll deductions.</w:t>
      </w:r>
    </w:p>
    <w:p>
      <w:pPr>
        <w:spacing w:after="0" w:line="173"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Upon commencement of your employment, you were awarded a long-term incentive equity award of an option to purchase ordinary shares of Fabrinet at $1.75 per share and pursuant to the terms of the Company’s stock option plan then in effect. The options became fully vested and exercisable over a four year period immediately following the option grant date.</w:t>
      </w:r>
    </w:p>
    <w:p>
      <w:pPr>
        <w:spacing w:after="0" w:line="181"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Subject to your remaining continuously employed with FUSA through and on May 7, 2018 (the “</w:t>
      </w:r>
      <w:r>
        <w:rPr>
          <w:rFonts w:ascii="Arial" w:cs="Arial" w:eastAsia="Arial" w:hAnsi="Arial"/>
          <w:sz w:val="17"/>
          <w:szCs w:val="17"/>
          <w:u w:val="single" w:color="auto"/>
          <w:color w:val="auto"/>
        </w:rPr>
        <w:t>Milestone Date</w:t>
      </w:r>
      <w:r>
        <w:rPr>
          <w:rFonts w:ascii="Arial" w:cs="Arial" w:eastAsia="Arial" w:hAnsi="Arial"/>
          <w:sz w:val="17"/>
          <w:szCs w:val="17"/>
          <w:color w:val="auto"/>
        </w:rPr>
        <w:t>”), you shall become 100% vested on the Milestone Date, in any then-outstanding and unvested Acceleration Eligible Awards. “</w:t>
      </w:r>
      <w:r>
        <w:rPr>
          <w:rFonts w:ascii="Arial" w:cs="Arial" w:eastAsia="Arial" w:hAnsi="Arial"/>
          <w:sz w:val="17"/>
          <w:szCs w:val="17"/>
          <w:u w:val="single" w:color="auto"/>
          <w:color w:val="auto"/>
        </w:rPr>
        <w:t>Acceleration Eligible Awards</w:t>
      </w:r>
      <w:r>
        <w:rPr>
          <w:rFonts w:ascii="Arial" w:cs="Arial" w:eastAsia="Arial" w:hAnsi="Arial"/>
          <w:sz w:val="17"/>
          <w:szCs w:val="17"/>
          <w:color w:val="auto"/>
        </w:rPr>
        <w:t>” means (i) any restricted shares, restricted share units (“</w:t>
      </w:r>
      <w:r>
        <w:rPr>
          <w:rFonts w:ascii="Arial" w:cs="Arial" w:eastAsia="Arial" w:hAnsi="Arial"/>
          <w:sz w:val="17"/>
          <w:szCs w:val="17"/>
          <w:u w:val="single" w:color="auto"/>
          <w:color w:val="auto"/>
        </w:rPr>
        <w:t>RSUs</w:t>
      </w:r>
      <w:r>
        <w:rPr>
          <w:rFonts w:ascii="Arial" w:cs="Arial" w:eastAsia="Arial" w:hAnsi="Arial"/>
          <w:sz w:val="17"/>
          <w:szCs w:val="17"/>
          <w:color w:val="auto"/>
        </w:rPr>
        <w:t>”), share appreciation rights, phantom shares or other equity based awards granted to you by Fabrinet prior to August 2016 and (ii) the award of RSUs covering 42,613 ordinary shares that was granted to you by Fabrinet on August 18, 2016.</w:t>
      </w:r>
    </w:p>
    <w:p>
      <w:pPr>
        <w:spacing w:after="0" w:line="171"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You are free to terminate your employment for any reason at any time, effective one (1) year after written notice is provided to FUSA, or such lesser period ending on the Transition Date (as defined below) to the extent that the written notice is provided within the one (1) year period prior to the Transition Date (such applicable period, the “</w:t>
      </w:r>
      <w:r>
        <w:rPr>
          <w:rFonts w:ascii="Arial" w:cs="Arial" w:eastAsia="Arial" w:hAnsi="Arial"/>
          <w:sz w:val="17"/>
          <w:szCs w:val="17"/>
          <w:u w:val="single" w:color="auto"/>
          <w:color w:val="auto"/>
        </w:rPr>
        <w:t>Employee Notice Period</w:t>
      </w:r>
      <w:r>
        <w:rPr>
          <w:rFonts w:ascii="Arial" w:cs="Arial" w:eastAsia="Arial" w:hAnsi="Arial"/>
          <w:sz w:val="17"/>
          <w:szCs w:val="17"/>
          <w:color w:val="auto"/>
        </w:rPr>
        <w:t>”). Similarly, FUSA may terminate the employment relationship, effective one (1) year after providing written notice to you, or such lesser period ending on the Transition Date to the extent that the written notice is provided within the one (1) year period prior to the Transition Date (such applicable period, together with the Employee Notice Period, the “</w:t>
      </w:r>
      <w:r>
        <w:rPr>
          <w:rFonts w:ascii="Arial" w:cs="Arial" w:eastAsia="Arial" w:hAnsi="Arial"/>
          <w:sz w:val="17"/>
          <w:szCs w:val="17"/>
          <w:u w:val="single" w:color="auto"/>
          <w:color w:val="auto"/>
        </w:rPr>
        <w:t>Termination Notice Period</w:t>
      </w:r>
      <w:r>
        <w:rPr>
          <w:rFonts w:ascii="Arial" w:cs="Arial" w:eastAsia="Arial" w:hAnsi="Arial"/>
          <w:sz w:val="17"/>
          <w:szCs w:val="17"/>
          <w:color w:val="auto"/>
        </w:rPr>
        <w:t>”), except in the case of termination with good cause, which may occur without any obligation to provide advance notice to you. Upon termination of your employment, you will receive a lump sum cash payment of your accrued but unpaid PTO (if any) which will be paid no later than ten (10) calendar days following the date of termination of your employment (or such earlier date as required by applicable law).</w:t>
      </w:r>
    </w:p>
    <w:p>
      <w:pPr>
        <w:spacing w:after="0" w:line="17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the event your employment is terminated (x) prior to May 7, 2023 (the “</w:t>
      </w:r>
      <w:r>
        <w:rPr>
          <w:rFonts w:ascii="Arial" w:cs="Arial" w:eastAsia="Arial" w:hAnsi="Arial"/>
          <w:sz w:val="18"/>
          <w:szCs w:val="18"/>
          <w:u w:val="single" w:color="auto"/>
          <w:color w:val="auto"/>
        </w:rPr>
        <w:t>Transition Date</w:t>
      </w:r>
      <w:r>
        <w:rPr>
          <w:rFonts w:ascii="Arial" w:cs="Arial" w:eastAsia="Arial" w:hAnsi="Arial"/>
          <w:sz w:val="18"/>
          <w:szCs w:val="18"/>
          <w:color w:val="auto"/>
        </w:rPr>
        <w:t>”), either (A) by FUSA without good cause (and other than due to your death or disability which is addressed further below), or (B) by you for any reason, and provided that during the Termination Notice Period, you have satisfied the Notice Period Services (as defined below) as determined by the Company in good faith in the Company’s sole discretion, or (y) on or within ten (10) calendar days after the Transition Date either (A) by FUSA without good cause (and other than due to your death or disability which is addressed further below), or (B) by you for any reason, you will receive the following (the “</w:t>
      </w:r>
      <w:r>
        <w:rPr>
          <w:rFonts w:ascii="Arial" w:cs="Arial" w:eastAsia="Arial" w:hAnsi="Arial"/>
          <w:sz w:val="18"/>
          <w:szCs w:val="18"/>
          <w:u w:val="single" w:color="auto"/>
          <w:color w:val="auto"/>
        </w:rPr>
        <w:t>Severance Benefits</w:t>
      </w:r>
      <w:r>
        <w:rPr>
          <w:rFonts w:ascii="Arial" w:cs="Arial" w:eastAsia="Arial" w:hAnsi="Arial"/>
          <w:sz w:val="18"/>
          <w:szCs w:val="18"/>
          <w:color w:val="auto"/>
        </w:rPr>
        <w:t>,” and the Severance Benefits described under only clauses (a) through (c) below, the “</w:t>
      </w:r>
      <w:r>
        <w:rPr>
          <w:rFonts w:ascii="Arial" w:cs="Arial" w:eastAsia="Arial" w:hAnsi="Arial"/>
          <w:sz w:val="18"/>
          <w:szCs w:val="18"/>
          <w:u w:val="single" w:color="auto"/>
          <w:color w:val="auto"/>
        </w:rPr>
        <w:t>Cash and COBRA Severance</w:t>
      </w:r>
      <w:r>
        <w:rPr>
          <w:rFonts w:ascii="Arial" w:cs="Arial" w:eastAsia="Arial" w:hAnsi="Arial"/>
          <w:sz w:val="18"/>
          <w:szCs w:val="18"/>
          <w:color w:val="auto"/>
        </w:rPr>
        <w:t>”):</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6" w:name="page7"/>
    <w:bookmarkEnd w:id="6"/>
    <w:p>
      <w:pPr>
        <w:ind w:right="140" w:firstLine="921"/>
        <w:spacing w:after="0" w:line="277" w:lineRule="auto"/>
        <w:tabs>
          <w:tab w:leader="none" w:pos="1158" w:val="left"/>
        </w:tabs>
        <w:numPr>
          <w:ilvl w:val="0"/>
          <w:numId w:val="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lump sum payment payable on the sixtieth (60th) day following your termination date equal to the product of one month of your then-base salary multiplied by the total number of full and fractional years of your employment with FUSA as of your termination date;</w:t>
      </w:r>
    </w:p>
    <w:p>
      <w:pPr>
        <w:spacing w:after="0" w:line="170" w:lineRule="exact"/>
        <w:rPr>
          <w:rFonts w:ascii="Arial" w:cs="Arial" w:eastAsia="Arial" w:hAnsi="Arial"/>
          <w:sz w:val="18"/>
          <w:szCs w:val="18"/>
          <w:color w:val="auto"/>
        </w:rPr>
      </w:pPr>
    </w:p>
    <w:p>
      <w:pPr>
        <w:ind w:firstLine="921"/>
        <w:spacing w:after="0" w:line="277" w:lineRule="auto"/>
        <w:tabs>
          <w:tab w:leader="none" w:pos="1168" w:val="left"/>
        </w:tabs>
        <w:numPr>
          <w:ilvl w:val="0"/>
          <w:numId w:val="2"/>
        </w:numPr>
        <w:rPr>
          <w:rFonts w:ascii="Arial" w:cs="Arial" w:eastAsia="Arial" w:hAnsi="Arial"/>
          <w:sz w:val="18"/>
          <w:szCs w:val="18"/>
          <w:color w:val="auto"/>
        </w:rPr>
      </w:pPr>
      <w:r>
        <w:rPr>
          <w:rFonts w:ascii="Arial" w:cs="Arial" w:eastAsia="Arial" w:hAnsi="Arial"/>
          <w:sz w:val="18"/>
          <w:szCs w:val="18"/>
          <w:color w:val="auto"/>
        </w:rPr>
        <w:t>a lump sum payment payable on the sixtieth (60th) day following your termination date equal to any earned but unpaid bonus as of the date of termination of your employment;</w:t>
      </w:r>
    </w:p>
    <w:p>
      <w:pPr>
        <w:spacing w:after="0" w:line="170" w:lineRule="exact"/>
        <w:rPr>
          <w:rFonts w:ascii="Arial" w:cs="Arial" w:eastAsia="Arial" w:hAnsi="Arial"/>
          <w:sz w:val="18"/>
          <w:szCs w:val="18"/>
          <w:color w:val="auto"/>
        </w:rPr>
      </w:pPr>
    </w:p>
    <w:p>
      <w:pPr>
        <w:ind w:right="40" w:firstLine="921"/>
        <w:spacing w:after="0" w:line="277" w:lineRule="auto"/>
        <w:tabs>
          <w:tab w:leader="none" w:pos="1158" w:val="left"/>
        </w:tabs>
        <w:numPr>
          <w:ilvl w:val="0"/>
          <w:numId w:val="2"/>
        </w:numPr>
        <w:rPr>
          <w:rFonts w:ascii="Arial" w:cs="Arial" w:eastAsia="Arial" w:hAnsi="Arial"/>
          <w:sz w:val="18"/>
          <w:szCs w:val="18"/>
          <w:color w:val="auto"/>
        </w:rPr>
      </w:pPr>
      <w:r>
        <w:rPr>
          <w:rFonts w:ascii="Arial" w:cs="Arial" w:eastAsia="Arial" w:hAnsi="Arial"/>
          <w:sz w:val="18"/>
          <w:szCs w:val="18"/>
          <w:color w:val="auto"/>
        </w:rPr>
        <w:t>a lump sum payment payable on the sixtieth (60th) day following your termination date equal to two times your cost of COBRA coverage for twelve months under the FUSA health plans then in effect for you and your covered dependents;</w:t>
      </w:r>
    </w:p>
    <w:p>
      <w:pPr>
        <w:spacing w:after="0" w:line="170" w:lineRule="exact"/>
        <w:rPr>
          <w:rFonts w:ascii="Arial" w:cs="Arial" w:eastAsia="Arial" w:hAnsi="Arial"/>
          <w:sz w:val="18"/>
          <w:szCs w:val="18"/>
          <w:color w:val="auto"/>
        </w:rPr>
      </w:pPr>
    </w:p>
    <w:p>
      <w:pPr>
        <w:ind w:firstLine="921"/>
        <w:spacing w:after="0" w:line="273" w:lineRule="auto"/>
        <w:tabs>
          <w:tab w:leader="none" w:pos="1168" w:val="left"/>
        </w:tabs>
        <w:numPr>
          <w:ilvl w:val="0"/>
          <w:numId w:val="2"/>
        </w:numPr>
        <w:rPr>
          <w:rFonts w:ascii="Arial" w:cs="Arial" w:eastAsia="Arial" w:hAnsi="Arial"/>
          <w:sz w:val="17"/>
          <w:szCs w:val="17"/>
          <w:color w:val="auto"/>
        </w:rPr>
      </w:pPr>
      <w:r>
        <w:rPr>
          <w:rFonts w:ascii="Arial" w:cs="Arial" w:eastAsia="Arial" w:hAnsi="Arial"/>
          <w:sz w:val="17"/>
          <w:szCs w:val="17"/>
          <w:color w:val="auto"/>
        </w:rPr>
        <w:t>any of your then-outstanding and unvested performance-based equity awards covering Fabrinet ordinary shares that remain subject to the achievement of any performance goals as of the date of termination of your employment (the “</w:t>
      </w:r>
      <w:r>
        <w:rPr>
          <w:rFonts w:ascii="Arial" w:cs="Arial" w:eastAsia="Arial" w:hAnsi="Arial"/>
          <w:sz w:val="17"/>
          <w:szCs w:val="17"/>
          <w:u w:val="single" w:color="auto"/>
          <w:color w:val="auto"/>
        </w:rPr>
        <w:t>Performance Awards</w:t>
      </w:r>
      <w:r>
        <w:rPr>
          <w:rFonts w:ascii="Arial" w:cs="Arial" w:eastAsia="Arial" w:hAnsi="Arial"/>
          <w:sz w:val="17"/>
          <w:szCs w:val="17"/>
          <w:color w:val="auto"/>
        </w:rPr>
        <w:t>”) will remain outstanding and eligible to vest following your termination date (subject to any earlier termination, such as in connection with a change in control of Fabrinet, as set forth in the Plan or any successor plan under which they were granted), and will become vested to the extent that the applicable performance-based or other criteria are satisfied under the Performance Award, with the exception that any requirement to provide further continued service will be deemed to have been met in full as of your termination date (such benefit under this clause (d), the “</w:t>
      </w:r>
      <w:r>
        <w:rPr>
          <w:rFonts w:ascii="Arial" w:cs="Arial" w:eastAsia="Arial" w:hAnsi="Arial"/>
          <w:sz w:val="17"/>
          <w:szCs w:val="17"/>
          <w:u w:val="single" w:color="auto"/>
          <w:color w:val="auto"/>
        </w:rPr>
        <w:t>Performance Award Severance</w:t>
      </w:r>
      <w:r>
        <w:rPr>
          <w:rFonts w:ascii="Arial" w:cs="Arial" w:eastAsia="Arial" w:hAnsi="Arial"/>
          <w:sz w:val="17"/>
          <w:szCs w:val="17"/>
          <w:color w:val="auto"/>
        </w:rPr>
        <w:t>”); and</w:t>
      </w:r>
    </w:p>
    <w:p>
      <w:pPr>
        <w:spacing w:after="0" w:line="178" w:lineRule="exact"/>
        <w:rPr>
          <w:rFonts w:ascii="Arial" w:cs="Arial" w:eastAsia="Arial" w:hAnsi="Arial"/>
          <w:sz w:val="17"/>
          <w:szCs w:val="17"/>
          <w:color w:val="auto"/>
        </w:rPr>
      </w:pPr>
    </w:p>
    <w:p>
      <w:pPr>
        <w:ind w:right="20" w:firstLine="921"/>
        <w:spacing w:after="0" w:line="273" w:lineRule="auto"/>
        <w:tabs>
          <w:tab w:leader="none" w:pos="1158" w:val="left"/>
        </w:tabs>
        <w:numPr>
          <w:ilvl w:val="0"/>
          <w:numId w:val="2"/>
        </w:numPr>
        <w:rPr>
          <w:rFonts w:ascii="Arial" w:cs="Arial" w:eastAsia="Arial" w:hAnsi="Arial"/>
          <w:sz w:val="17"/>
          <w:szCs w:val="17"/>
          <w:color w:val="auto"/>
        </w:rPr>
      </w:pPr>
      <w:r>
        <w:rPr>
          <w:rFonts w:ascii="Arial" w:cs="Arial" w:eastAsia="Arial" w:hAnsi="Arial"/>
          <w:sz w:val="17"/>
          <w:szCs w:val="17"/>
          <w:color w:val="auto"/>
        </w:rPr>
        <w:t>continued tax equalization benefits under FUSA’s expatriate policy, as in effect on the date of your termination, for the calendar year in which your termination date occurs, and the following calendar year, with such benefits being payable as soon as practicable following the year the compensation subject to the tax equalization payment relates was paid, and in no event later than the end of your second taxable year beginning after your taxable year in which your U.S. Federal income tax return is required to be filed (including any extensions) for the year to which the compensation subject to the tax equalization payment relates, or, if later, your second taxable year beginning after the latest such taxable year in which your foreign tax return or payment is required to be filed or made for the year to which the compensation subject to the tax equalization payment relates.</w:t>
      </w:r>
    </w:p>
    <w:p>
      <w:pPr>
        <w:spacing w:after="0" w:line="17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Prior to the Transition Date and during any Termination Notice Period, except as otherwise determined by the Company in its sole discretion and notified to you by the Company in writing, (x) you shall use your best efforts to recruit and train a successor that is satisfactory to the Board so that a successor to your position assumes your position upon or prior to the date of termination of your employment with FUSA, and (y) you will continue to devote substantially all</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7" w:name="page8"/>
    <w:bookmarkEnd w:id="7"/>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your business time and efforts (at full-time status) to the performance of your duties and use your best efforts in such endeavors, and continue to perform such other duties and responsibilities as described in this letter (such services with respect to the Termination Notice Period, the “</w:t>
      </w:r>
      <w:r>
        <w:rPr>
          <w:rFonts w:ascii="Arial" w:cs="Arial" w:eastAsia="Arial" w:hAnsi="Arial"/>
          <w:sz w:val="17"/>
          <w:szCs w:val="17"/>
          <w:u w:val="single" w:color="auto"/>
          <w:color w:val="auto"/>
        </w:rPr>
        <w:t>Notice Period Services</w:t>
      </w:r>
      <w:r>
        <w:rPr>
          <w:rFonts w:ascii="Arial" w:cs="Arial" w:eastAsia="Arial" w:hAnsi="Arial"/>
          <w:sz w:val="17"/>
          <w:szCs w:val="17"/>
          <w:color w:val="auto"/>
        </w:rPr>
        <w:t>”). For the avoidance of doubt, the Company may reduce your authority, duties and responsibilities, or your full-time status, during the Termination Notice Period or any portion thereof (the “</w:t>
      </w:r>
      <w:r>
        <w:rPr>
          <w:rFonts w:ascii="Arial" w:cs="Arial" w:eastAsia="Arial" w:hAnsi="Arial"/>
          <w:sz w:val="17"/>
          <w:szCs w:val="17"/>
          <w:u w:val="single" w:color="auto"/>
          <w:color w:val="auto"/>
        </w:rPr>
        <w:t>Notice Period Adjustments</w:t>
      </w:r>
      <w:r>
        <w:rPr>
          <w:rFonts w:ascii="Arial" w:cs="Arial" w:eastAsia="Arial" w:hAnsi="Arial"/>
          <w:sz w:val="17"/>
          <w:szCs w:val="17"/>
          <w:color w:val="auto"/>
        </w:rPr>
        <w:t>”), provided that the Company will continue to pay you, for the duration of the Termination Notice Period while you remain employed with FUSA, your base salary at the level in effect immediately before the Termination Notice Period, in accordance with FUSA’s payroll policy, subject to applicable U.S. tax withholdings. During the Termination Notice Period, you will remain eligible to receive equity awards covering Fabrinet ordinary shares and participate in Fabrinet’s Executive Incentive Plan (or successor plan, if applicable) to the same extent as similarly situated executives of Fabrinet. If during any Termination Notice Period, you breach your obligations to perform your Notice Period Services (as adjusted by any Notice Period Adjustments) as determined by the Board in good faith in its sole discretion, you will forfeit any and all Severance Benefits specified in this letter, and you no longer will have any rights thereto.</w:t>
      </w:r>
    </w:p>
    <w:p>
      <w:pPr>
        <w:spacing w:after="0" w:line="17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the event your employment is terminated on account of your death or disability on or before the Transition Date, then (x) you will become 100% vested immediately prior to your termination date in any then-outstanding and unvested Acceleration Eligible Awards granted to you by Fabrinet, and (y) you will receive the Performance Award Severance. In addition, if your employment is terminated on account of your death or disability on or after the Milestone Date, then you will also receive the Cash and COBRA Severance Benefits.</w:t>
      </w:r>
    </w:p>
    <w:p>
      <w:pPr>
        <w:spacing w:after="0" w:line="18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Any payments or benefits due to you under the preceding three paragraphs (for the avoidance of doubt, beginning with the paragraph discussing your Severance Benefits) shall be conditioned upon the execution of a general separation agreement and release of claims by you (or in the case of your death or disability, the administrator of your estate or your legal representative, as applicable) in such form as provided to you by FUSA within five (5) calendar days following your termination date that becomes irrevocable within sixty (60) days of your termination date. If the foregoing separation agreement and release of claims is executed and delivered and no longer subject to revocation as provided in the preceding sentence, then such payments or benefits shall be made or commence upon the sixtieth (60th) day following your termination date subject to the requirements under Section 409A (as defined below) as described further below. The first such cash payment shall include payment of all amounts that otherwise would have been due prior thereto under the terms of this letter had such payments commenced immediately upon your termination date, and any payments made thereafter shall continue as provided herein. The delayed payments or benefits shall in any event expire at the time such benefits would have expired had such benefits commenced immediately following your termination date.</w:t>
      </w:r>
    </w:p>
    <w:p>
      <w:pPr>
        <w:spacing w:after="0" w:line="178"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In the event your employment is terminated for any reason, you shall be under no obligation to seek other employment and there shall be no offset against any amounts due to you</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8" w:name="page9"/>
    <w:bookmarkEnd w:id="8"/>
    <w:p>
      <w:pPr>
        <w:ind w:right="1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under this letter on account of any remuneration attributable to any subsequent employment that you may obtain. Any amounts due under the preceding four paragraphs (for the avoidance of doubt, beginning with the paragraph discussing your Severance Benefits) are in the nature of severance payments, or liquidated damages, or both, and are not in the nature of a penalty.</w:t>
      </w:r>
    </w:p>
    <w:p>
      <w:pPr>
        <w:spacing w:after="0" w:line="18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Anything in this letter to the contrary notwithstanding, all payments required to be made by FUSA hereunder to you or your estate or beneficiaries shall be subject to the withholding of such amounts relating to taxes as FUSA may reasonably determine it should withhold pursuant to any applicable law or regulation. In lieu of withholding such amounts, in whole or in part, FUSA may, in its sole discretion, accept other provisions for payment of taxes and withholding as required by law, provided it is satisfied that all requirements of law affecting its responsibilities to withhold have been satisfied.</w:t>
      </w:r>
    </w:p>
    <w:p>
      <w:pPr>
        <w:spacing w:after="0" w:line="17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For purposes of this letter, “</w:t>
      </w:r>
      <w:r>
        <w:rPr>
          <w:rFonts w:ascii="Arial" w:cs="Arial" w:eastAsia="Arial" w:hAnsi="Arial"/>
          <w:sz w:val="17"/>
          <w:szCs w:val="17"/>
          <w:u w:val="single" w:color="auto"/>
          <w:color w:val="auto"/>
        </w:rPr>
        <w:t>good cause</w:t>
      </w:r>
      <w:r>
        <w:rPr>
          <w:rFonts w:ascii="Arial" w:cs="Arial" w:eastAsia="Arial" w:hAnsi="Arial"/>
          <w:sz w:val="17"/>
          <w:szCs w:val="17"/>
          <w:color w:val="auto"/>
        </w:rPr>
        <w:t>” means (i) an act of dishonesty made by you in connection with your responsibilities as an employee; (ii) your conviction of or plea of nolo contendere to a felony, or any crime involving fraud, embezzlement or any other act of moral turpitude; (iii) your gross misconduct; (iv) your unauthorized use or disclosure of any proprietary information or trade secrets of the Company or any other party to whom you owe an obligation of nondisclosure as a result of your relationship with the Company; (v) your willful breach of any obligations under any written agreement or covenant with the Company; or (vi) your continued failure to perform your employment duties after you have received a written demand of performance from the Company which specifically sets forth the factual basis for the Company’s belief that you have not substantially performed your duties and have failed to cure such nonperformance to the Company’s satisfaction within thirty (30) days after receipt of such notice.</w:t>
      </w:r>
    </w:p>
    <w:p>
      <w:pPr>
        <w:spacing w:after="0" w:line="178"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Notwithstanding anything to the contrary in this letter, no Deferred Compensation Separation Benefits (as defined below) will be considered due or payable until you have incurred a “separation from service” within the meaning of Section 409A of the Internal Revenue Code of 1986, as amended, and the final regulations and any guidance promulgated thereunder (together, “</w:t>
      </w:r>
      <w:r>
        <w:rPr>
          <w:rFonts w:ascii="Arial" w:cs="Arial" w:eastAsia="Arial" w:hAnsi="Arial"/>
          <w:sz w:val="18"/>
          <w:szCs w:val="18"/>
          <w:u w:val="single" w:color="auto"/>
          <w:color w:val="auto"/>
        </w:rPr>
        <w:t>Section 409A</w:t>
      </w:r>
      <w:r>
        <w:rPr>
          <w:rFonts w:ascii="Arial" w:cs="Arial" w:eastAsia="Arial" w:hAnsi="Arial"/>
          <w:sz w:val="18"/>
          <w:szCs w:val="18"/>
          <w:color w:val="auto"/>
        </w:rPr>
        <w:t>”).</w:t>
      </w:r>
    </w:p>
    <w:p>
      <w:pPr>
        <w:spacing w:after="0" w:line="181"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In addition, if FUSA, Fabrinet (Cayman) or affiliates of either continues to be a public company with its securities listed on a stock exchange at the time of termination of your employment, and at the time of such termination it is determined that you are a “specified employee” within the meaning of Section 409A, the amounts payable to you, pursuant to this letter, when considered together with any other severance payments or separation benefits that are considered deferred compensation under Section 409A (together, the “</w:t>
      </w:r>
      <w:r>
        <w:rPr>
          <w:rFonts w:ascii="Arial" w:cs="Arial" w:eastAsia="Arial" w:hAnsi="Arial"/>
          <w:sz w:val="16"/>
          <w:szCs w:val="16"/>
          <w:u w:val="single" w:color="auto"/>
          <w:color w:val="auto"/>
        </w:rPr>
        <w:t>Deferred Compensation Separation Benefits</w:t>
      </w:r>
      <w:r>
        <w:rPr>
          <w:rFonts w:ascii="Arial" w:cs="Arial" w:eastAsia="Arial" w:hAnsi="Arial"/>
          <w:sz w:val="16"/>
          <w:szCs w:val="16"/>
          <w:color w:val="auto"/>
        </w:rPr>
        <w:t>”) that are payable within the first six</w:t>
      </w:r>
    </w:p>
    <w:p>
      <w:pPr>
        <w:spacing w:after="0" w:line="2"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6"/>
          <w:szCs w:val="16"/>
          <w:color w:val="auto"/>
        </w:rPr>
      </w:pPr>
      <w:r>
        <w:rPr>
          <w:rFonts w:ascii="Arial" w:cs="Arial" w:eastAsia="Arial" w:hAnsi="Arial"/>
          <w:sz w:val="16"/>
          <w:szCs w:val="16"/>
          <w:color w:val="auto"/>
        </w:rPr>
        <w:t>months following termination of your employment, will become payable on the first payroll date that occurs on or after the date six (6) months and one</w:t>
      </w:r>
    </w:p>
    <w:p>
      <w:pPr>
        <w:spacing w:after="0" w:line="32" w:lineRule="exact"/>
        <w:rPr>
          <w:rFonts w:ascii="Arial" w:cs="Arial" w:eastAsia="Arial" w:hAnsi="Arial"/>
          <w:sz w:val="16"/>
          <w:szCs w:val="16"/>
          <w:color w:val="auto"/>
        </w:rPr>
      </w:pPr>
    </w:p>
    <w:p>
      <w:pPr>
        <w:ind w:right="200" w:firstLine="8"/>
        <w:spacing w:after="0" w:line="261" w:lineRule="auto"/>
        <w:tabs>
          <w:tab w:leader="none" w:pos="255" w:val="left"/>
        </w:tabs>
        <w:numPr>
          <w:ilvl w:val="0"/>
          <w:numId w:val="4"/>
        </w:numPr>
        <w:rPr>
          <w:rFonts w:ascii="Arial" w:cs="Arial" w:eastAsia="Arial" w:hAnsi="Arial"/>
          <w:sz w:val="18"/>
          <w:szCs w:val="18"/>
          <w:color w:val="auto"/>
        </w:rPr>
      </w:pPr>
      <w:r>
        <w:rPr>
          <w:rFonts w:ascii="Arial" w:cs="Arial" w:eastAsia="Arial" w:hAnsi="Arial"/>
          <w:sz w:val="18"/>
          <w:szCs w:val="18"/>
          <w:color w:val="auto"/>
        </w:rPr>
        <w:t>day following the date of termination of your employment (the “</w:t>
      </w:r>
      <w:r>
        <w:rPr>
          <w:rFonts w:ascii="Arial" w:cs="Arial" w:eastAsia="Arial" w:hAnsi="Arial"/>
          <w:sz w:val="18"/>
          <w:szCs w:val="18"/>
          <w:u w:val="single" w:color="auto"/>
          <w:color w:val="auto"/>
        </w:rPr>
        <w:t>Separation Delay</w:t>
      </w:r>
      <w:r>
        <w:rPr>
          <w:rFonts w:ascii="Arial" w:cs="Arial" w:eastAsia="Arial" w:hAnsi="Arial"/>
          <w:sz w:val="18"/>
          <w:szCs w:val="18"/>
          <w:color w:val="auto"/>
        </w:rPr>
        <w:t>”). Any amount paid under this letter that satisfies the requirements of the “short-term deferral” rule set forth in Section 1.409A-1(b)(4) of the Treasury</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9" w:name="page10"/>
    <w:bookmarkEnd w:id="9"/>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Regulations will not constitute Deferred Compensation Separation Benefits for purposes of this paragraph. In addition, any amount paid under this letter that qualifies as a payment made as a result of an involuntary separation from service pursuant to Section 1.409A-1(b)(9)(iii) of the Treasury Regulations that does not exceed the specified limit in Section 1.409A-1(b)(9)(iii)(A) of the Treasury Regulations will not constitute Deferred Compensation Separation Benefits for purposes of this paragraph. Each payment and benefit payable under this letter is intended to constitute a separate payment for purposes of</w:t>
      </w:r>
    </w:p>
    <w:p>
      <w:pPr>
        <w:spacing w:after="0" w:line="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Section 1.409A-2(b)(2) of the Treasury Regulations. To the extent necessary or appropriate to be exempt from or to comply with Section 409A, your employment termination, termination of your employment, or similar terms in this letter will be references to your separation from service within the meaning of Section 409A.</w:t>
      </w:r>
    </w:p>
    <w:p>
      <w:pPr>
        <w:spacing w:after="0" w:line="190"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Any Performance Awards outstanding as of the date hereof will be settled and paid to you in accordance with the regular vesting schedule and payment timing requirements set forth in the applicable Performance Award agreement, subject to your continued employment or service as described in the applicable Performance Award agreement except as specified in this letter, provided that any Performance Awards (or portions thereof) that constitute Severance Benefits will be subject to any applicable Separation Delay. Notwithstanding the foregoing sentence, in the event that any Performance Award outstanding as of the date hereof otherwise would be scheduled to vest and be settled upon the certification of achievement of the performance goal or goals under the Performance Award, such Performance Award (or portion thereof, as applicable) that vests upon certification instead will be settled and paid to you on the ninetieth (90</w:t>
      </w:r>
      <w:r>
        <w:rPr>
          <w:rFonts w:ascii="Arial" w:cs="Arial" w:eastAsia="Arial" w:hAnsi="Arial"/>
          <w:sz w:val="13"/>
          <w:szCs w:val="13"/>
          <w:color w:val="auto"/>
        </w:rPr>
        <w:t>th</w:t>
      </w:r>
      <w:r>
        <w:rPr>
          <w:rFonts w:ascii="Arial" w:cs="Arial" w:eastAsia="Arial" w:hAnsi="Arial"/>
          <w:sz w:val="16"/>
          <w:szCs w:val="16"/>
          <w:color w:val="auto"/>
        </w:rPr>
        <w:t>) day following the end of the performance period during which such performance goals would be measured, provided that any Performance Awards (or portions thereof) that constitute Severance Benefits will be subject to any applicable Separation Delay. Notwithstanding the foregoing in this paragraph, the settlement and payment of any vested Performance Awards will accelerate upon a corporate transaction set forth in Section 7.2 of the Plan (or similar provision in any successor plan) that qualifies as a “change in control” within the meaning of Section 409A, in accordance with the terms of the Plan (or successor plan, as applicable). The provisions of this letter constitute an amendment to any Performance Awards outstanding as of the date hereof and may be amended only in writing and by specific reference to such applicable provisions of this letter.</w:t>
      </w:r>
    </w:p>
    <w:p>
      <w:pPr>
        <w:spacing w:after="0" w:line="16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foregoing provisions are intended to comply with the requirements of Section 409A so that none of the payments and benefits to be provided hereunder will be subject to the additional tax imposed under Section 409A, and any ambiguities or ambiguous terms herein will be interpreted to so comply. In no event will the Company reimburse you for any taxes or other costs (including without limitation any interest and penalties) that may be imposed on you under Section 409A or any other provision of the Code with respect to any payments or benefits you may receive from the Company under this letter or under any other agreement or arrangement. The parties to this letter agree to work together in good faith to consider amendments to this letter, if required, and to take such reasonable actions, which are necessary, appropriate or desirable to avoid imposition of any additional tax or income recognition prior to actual payment to you under Section 409A.</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10" w:name="page11"/>
    <w:bookmarkEnd w:id="10"/>
    <w:p>
      <w:pPr>
        <w:ind w:left="4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During the term of your employment and for a one-year period immediately following the termination of your employment, you shall not, without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FUSA’s prior written consent:</w:t>
      </w:r>
    </w:p>
    <w:p>
      <w:pPr>
        <w:spacing w:after="0" w:line="211" w:lineRule="exact"/>
        <w:rPr>
          <w:sz w:val="20"/>
          <w:szCs w:val="20"/>
          <w:color w:val="auto"/>
        </w:rPr>
      </w:pPr>
    </w:p>
    <w:p>
      <w:pPr>
        <w:jc w:val="both"/>
        <w:ind w:right="140" w:firstLine="464"/>
        <w:spacing w:after="0" w:line="279" w:lineRule="auto"/>
        <w:tabs>
          <w:tab w:leader="none" w:pos="671"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solicit or encourage to leave the employment or other service of FUSA, Fabrinet (Cayman) or the affiliates of either, any employee or independent contractor thereof or hire (on behalf of yourself or any other person or entity) any employee or independent contractor who has left the employment or other service of FUSA, Fabrinet (Cayman) or the affiliates of either within the one-year period which follows the termination of such employee’s or independent contractor’s employment or other service with FUSA, Fabrinet (Cayman) and the affiliates of either; or</w:t>
      </w:r>
    </w:p>
    <w:p>
      <w:pPr>
        <w:spacing w:after="0" w:line="171" w:lineRule="exact"/>
        <w:rPr>
          <w:rFonts w:ascii="Arial" w:cs="Arial" w:eastAsia="Arial" w:hAnsi="Arial"/>
          <w:sz w:val="17"/>
          <w:szCs w:val="17"/>
          <w:color w:val="auto"/>
        </w:rPr>
      </w:pPr>
    </w:p>
    <w:p>
      <w:pPr>
        <w:ind w:firstLine="464"/>
        <w:spacing w:after="0" w:line="259" w:lineRule="auto"/>
        <w:tabs>
          <w:tab w:leader="none" w:pos="721" w:val="left"/>
        </w:tabs>
        <w:numPr>
          <w:ilvl w:val="0"/>
          <w:numId w:val="5"/>
        </w:numPr>
        <w:rPr>
          <w:rFonts w:ascii="Arial" w:cs="Arial" w:eastAsia="Arial" w:hAnsi="Arial"/>
          <w:sz w:val="18"/>
          <w:szCs w:val="18"/>
          <w:color w:val="auto"/>
        </w:rPr>
      </w:pPr>
      <w:r>
        <w:rPr>
          <w:rFonts w:ascii="Arial" w:cs="Arial" w:eastAsia="Arial" w:hAnsi="Arial"/>
          <w:sz w:val="18"/>
          <w:szCs w:val="18"/>
          <w:color w:val="auto"/>
        </w:rPr>
        <w:t>whether for your own account or for the account of any other person, firm, corporation or other business organization, intentionally interfere with FUSA’s, Fabrinet (Cayman)’s or any of their affiliates’ relationship with, or endeavor to entice away from FUSA, Fabrinet (Cayman) or the affiliates of either, any person who during the term of your employment or the one-year period following the expiration of the term of your employment is or was a customer or client of FUSA, Fabrinet (Cayman) or the affiliates of either.</w:t>
      </w:r>
    </w:p>
    <w:p>
      <w:pPr>
        <w:spacing w:after="0" w:line="18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You were previously provided additional information about general employment conditions including Company policies and benefits programs. Also, please be advised that it is the policy of FUSA to maintain a workplace that is free of drugs and alcohol.</w:t>
      </w:r>
    </w:p>
    <w:p>
      <w:pPr>
        <w:spacing w:after="0" w:line="170"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You understand that nothing in this letter or other non-disclosure agreements you entered into with the Company shall in any way limit or prohibit you from engaging for a lawful purpose in any Protected Activity. For purposes of this letter and any other such applicable agreements, “</w:t>
      </w:r>
      <w:r>
        <w:rPr>
          <w:rFonts w:ascii="Arial" w:cs="Arial" w:eastAsia="Arial" w:hAnsi="Arial"/>
          <w:sz w:val="16"/>
          <w:szCs w:val="16"/>
          <w:u w:val="single" w:color="auto"/>
          <w:color w:val="auto"/>
        </w:rPr>
        <w:t>Protected Activity</w:t>
      </w:r>
      <w:r>
        <w:rPr>
          <w:rFonts w:ascii="Arial" w:cs="Arial" w:eastAsia="Arial" w:hAnsi="Arial"/>
          <w:sz w:val="16"/>
          <w:szCs w:val="16"/>
          <w:color w:val="auto"/>
        </w:rPr>
        <w:t>” will mean filing a charge, complaint, or report with, or otherwise communicating with, cooperating with or participating in any investigation or proceeding that may be conducted by, any federal, state or local government agency or commission, including the Securities and Exchange Commission, the Equal Employment Opportunity Commission, the Occupational Safety and Health Administration, and the National Labor Relations Board (“</w:t>
      </w:r>
      <w:r>
        <w:rPr>
          <w:rFonts w:ascii="Arial" w:cs="Arial" w:eastAsia="Arial" w:hAnsi="Arial"/>
          <w:sz w:val="16"/>
          <w:szCs w:val="16"/>
          <w:u w:val="single" w:color="auto"/>
          <w:color w:val="auto"/>
        </w:rPr>
        <w:t>Government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Agencies</w:t>
      </w:r>
      <w:r>
        <w:rPr>
          <w:rFonts w:ascii="Arial" w:cs="Arial" w:eastAsia="Arial" w:hAnsi="Arial"/>
          <w:sz w:val="16"/>
          <w:szCs w:val="16"/>
          <w:color w:val="auto"/>
        </w:rPr>
        <w:t>”). You understand that in connection with such Protected Activity, you are permitted to disclose documents or other information as permitted by law, and without giving notice to, or receiving authorization from, the Company. Notwithstanding the foregoing, you agree to take all reasonable precautions to prevent any unauthorized use or disclosure of any information that may constitute Company confidential information under any non-disclosure agreement with the Company to any parties other than the relevant Government Agencies. You further understand that “Protected Activity” does not include the disclosure of any Company attorney-client privileged communications, and that any such disclosure without the Company’s written consent shall constitute a material breach of this letter and any other applicable non-disclosure agreements with the Company. In addition, pursuant to the Defend Trade Secrets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11" w:name="page12"/>
    <w:bookmarkEnd w:id="11"/>
    <w:p>
      <w:pPr>
        <w:ind w:right="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Act of 2016, you are notified that an individual will not be held criminally or civilly liable under any federal or state trade secret law for the disclosure of a trade secret that (i) is made in confidence to a federal, state, or local government official (directly or indirectly) or to an attorney solely for the purpose of reporting or investigating a suspected violation of law, or (ii) is made in a complaint or other document filed in a lawsuit or other proceeding, if (and only if) such filing is made under seal. Further, an individual who files a lawsuit for retaliation by an employer for reporting a suspected violation of law may disclose the trade secret to the individual’s attorney and use the trade secret information in the court proceeding, if the individual files any document containing the trade secret under seal and does not disclose the trade secret, except pursuant to court order.</w:t>
      </w:r>
    </w:p>
    <w:p>
      <w:pPr>
        <w:spacing w:after="0" w:line="178"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Should you have questions or require additional information about any benefits, terms or conditions of your employment, please do not hesitate to contact our General Counsel, Colin R. Campbell.</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If you are in agreement with the provisions of this letter detailing the terms of your employment with FUSA, please indicate your acceptance by signing below.</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look forward to your continuing with our organization.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Fabrinet USA,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Toh-Seng 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89039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9039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Toh-Seng Ng, Chief Financial Officer</w:t>
      </w:r>
    </w:p>
    <w:p>
      <w:pPr>
        <w:spacing w:after="0" w:line="224"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I accept the offer of employment with FUSA under the terms described in this letter. I acknowledge that this letter is the complete agreement concerning my employment and supersedes all prior or concurrent agreements and representations and may not be modified in any way except in a writing executed by an authorized agent of FUSA.</w:t>
      </w:r>
    </w:p>
    <w:p>
      <w:pPr>
        <w:spacing w:after="0" w:line="28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Harpal Gill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-10160</wp:posOffset>
            </wp:positionV>
            <wp:extent cx="193992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939925" cy="889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Harpal Gill</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January 9,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-10160</wp:posOffset>
            </wp:positionV>
            <wp:extent cx="19558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955800" cy="889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5502275</wp:posOffset>
            </wp:positionH>
            <wp:positionV relativeFrom="paragraph">
              <wp:posOffset>172085</wp:posOffset>
            </wp:positionV>
            <wp:extent cx="1749425" cy="7289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749425"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January 9, 2018</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Toh-Seng 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Dear TS,</w:t>
      </w:r>
    </w:p>
    <w:p>
      <w:pPr>
        <w:spacing w:after="0" w:line="11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This letter is intended to amend and restate your offer letter dated February 5, 2015, and subsequently amended on August 12, 2016. We previously extended an offer of employment to you, which you accepted, for the position of Executive Vice President and Chief Financial Officer of Fabrinet USA, Inc. (“</w:t>
      </w:r>
      <w:r>
        <w:rPr>
          <w:rFonts w:ascii="Arial" w:cs="Arial" w:eastAsia="Arial" w:hAnsi="Arial"/>
          <w:sz w:val="18"/>
          <w:szCs w:val="18"/>
          <w:u w:val="single" w:color="auto"/>
          <w:color w:val="auto"/>
        </w:rPr>
        <w:t>FUSA</w:t>
      </w:r>
      <w:r>
        <w:rPr>
          <w:rFonts w:ascii="Arial" w:cs="Arial" w:eastAsia="Arial" w:hAnsi="Arial"/>
          <w:sz w:val="18"/>
          <w:szCs w:val="18"/>
          <w:color w:val="auto"/>
        </w:rPr>
        <w:t>” or the “</w:t>
      </w:r>
      <w:r>
        <w:rPr>
          <w:rFonts w:ascii="Arial" w:cs="Arial" w:eastAsia="Arial" w:hAnsi="Arial"/>
          <w:sz w:val="18"/>
          <w:szCs w:val="18"/>
          <w:u w:val="single" w:color="auto"/>
          <w:color w:val="auto"/>
        </w:rPr>
        <w:t>Company</w:t>
      </w:r>
      <w:r>
        <w:rPr>
          <w:rFonts w:ascii="Arial" w:cs="Arial" w:eastAsia="Arial" w:hAnsi="Arial"/>
          <w:sz w:val="18"/>
          <w:szCs w:val="18"/>
          <w:color w:val="auto"/>
        </w:rPr>
        <w:t>”), a wholly-owned subsidiary of Fabrinet, effective March 1, 2012. You will report to Mr. Seamus Grady, Chief Executive Officer (CEO) of Fabrinet.</w:t>
      </w:r>
    </w:p>
    <w:p>
      <w:pPr>
        <w:spacing w:after="0" w:line="187" w:lineRule="exact"/>
        <w:rPr>
          <w:sz w:val="20"/>
          <w:szCs w:val="20"/>
          <w:color w:val="auto"/>
        </w:rPr>
      </w:pPr>
    </w:p>
    <w:p>
      <w:pPr>
        <w:jc w:val="both"/>
        <w:ind w:right="60" w:firstLine="456"/>
        <w:spacing w:after="0" w:line="279" w:lineRule="auto"/>
        <w:rPr>
          <w:sz w:val="20"/>
          <w:szCs w:val="20"/>
          <w:color w:val="auto"/>
        </w:rPr>
      </w:pPr>
      <w:r>
        <w:rPr>
          <w:rFonts w:ascii="Arial" w:cs="Arial" w:eastAsia="Arial" w:hAnsi="Arial"/>
          <w:sz w:val="17"/>
          <w:szCs w:val="17"/>
          <w:color w:val="auto"/>
        </w:rPr>
        <w:t>Your duties will generally consist of those associated with managing financial, taxes, treasury, investor relations, legal and Corporate HR of Fabrinet. You will devote substantially all of your business time and efforts to the performance of your duties and use your best efforts in such endeavors. Acceptance of this offer constitutes your representation that your execution of this agreement and performance of the requirements of this position will not be in violation of any other agreement to which you are a party, including but not limited to any current non-solicit agreements.</w:t>
      </w:r>
    </w:p>
    <w:p>
      <w:pPr>
        <w:spacing w:after="0" w:line="17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Your annual base salary will be $650,000 to be paid on a semi-monthly basis on or about the 15th and 30th of each month in accordance with FUSA’s payroll policy, subject to applicable U.S. tax withholdings. Your base salary will be subject to review and adjustment by the Company from time to time, in its sole discretion. Subject to the approval of Fabrinet’s Board of Directors (the “</w:t>
      </w:r>
      <w:r>
        <w:rPr>
          <w:rFonts w:ascii="Arial" w:cs="Arial" w:eastAsia="Arial" w:hAnsi="Arial"/>
          <w:sz w:val="17"/>
          <w:szCs w:val="17"/>
          <w:u w:val="single" w:color="auto"/>
          <w:color w:val="auto"/>
        </w:rPr>
        <w:t>Board</w:t>
      </w:r>
      <w:r>
        <w:rPr>
          <w:rFonts w:ascii="Arial" w:cs="Arial" w:eastAsia="Arial" w:hAnsi="Arial"/>
          <w:sz w:val="17"/>
          <w:szCs w:val="17"/>
          <w:color w:val="auto"/>
        </w:rPr>
        <w:t>”), you will be eligible to participate in Fabrinet’s Executive Incentive Plan, with a target bonus of at least 80% of your annual base salary. Any target bonus, or portion thereof, will be paid as soon as practicable after the Compensation Committee of the Board determines that the target bonus (or relevant portion thereof) has been earned, but in no event shall any such target bonus be paid later than sixty (60) days following the end of the applicable target bonus performance period.</w:t>
      </w:r>
    </w:p>
    <w:p>
      <w:pPr>
        <w:spacing w:after="0" w:line="178"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Additionally, you will be eligible to participate in FUSA’s Employee Benefits Plan, which includes two hundred forty (240) hours paid time off (PTO), health care (medical, dental &amp; vision for you and your eligible dependents), 401(k), and Group Term Life. Reasonable business-related travel and other expenses will be reimbursable via monthly expense reporting pursuant to the Company’s policies and procedures, but in no event will any reimbursement occur later than the fifteenth (15) day of the third month following the later of (i) the close of the Company’s fiscal year in which such expenses are incurred or (ii) the calendar year in which such expenses are incurred. You will be eligible to receive a car allowance of $1,000 per month,</w:t>
      </w:r>
    </w:p>
    <w:p>
      <w:pPr>
        <w:sectPr>
          <w:pgSz w:w="11900" w:h="16838" w:orient="portrait"/>
          <w:cols w:equalWidth="0" w:num="1">
            <w:col w:w="11420"/>
          </w:cols>
          <w:pgMar w:left="240" w:top="121" w:right="239" w:bottom="1440" w:gutter="0" w:footer="0" w:header="0"/>
        </w:sectPr>
      </w:pPr>
    </w:p>
    <w:bookmarkStart w:id="13" w:name="page14"/>
    <w:bookmarkEnd w:id="13"/>
    <w:p>
      <w:pPr>
        <w:ind w:right="1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provided that you are an employee of FUSA on the date the car allowance is paid to you each month. The Company may modify or terminate its benefits programs and arrangements from time to time as necessary or appropriate. The Company has the right to withhold from any payments or benefits under this letter all applicable federal, state and local taxes required to be withheld and any other required payroll deductions.</w:t>
      </w:r>
    </w:p>
    <w:p>
      <w:pPr>
        <w:spacing w:after="0" w:line="16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Upon commencement of your employment, you were awarded a long-term incentive equity award with a compensation value of $100,000 of Restricted Share Units (“</w:t>
      </w:r>
      <w:r>
        <w:rPr>
          <w:rFonts w:ascii="Arial" w:cs="Arial" w:eastAsia="Arial" w:hAnsi="Arial"/>
          <w:sz w:val="16"/>
          <w:szCs w:val="16"/>
          <w:u w:val="single" w:color="auto"/>
          <w:color w:val="auto"/>
        </w:rPr>
        <w:t>RSUs</w:t>
      </w:r>
      <w:r>
        <w:rPr>
          <w:rFonts w:ascii="Arial" w:cs="Arial" w:eastAsia="Arial" w:hAnsi="Arial"/>
          <w:sz w:val="16"/>
          <w:szCs w:val="16"/>
          <w:color w:val="auto"/>
        </w:rPr>
        <w:t>”) covering ordinary shares of Fabrinet, and an option to purchase ordinary shares of Fabrinet, split 50-50, per the terms of the Fabrinet 2010 Performance Incentive Plan (the “</w:t>
      </w:r>
      <w:r>
        <w:rPr>
          <w:rFonts w:ascii="Arial" w:cs="Arial" w:eastAsia="Arial" w:hAnsi="Arial"/>
          <w:sz w:val="16"/>
          <w:szCs w:val="16"/>
          <w:u w:val="single" w:color="auto"/>
          <w:color w:val="auto"/>
        </w:rPr>
        <w:t>Plan</w:t>
      </w:r>
      <w:r>
        <w:rPr>
          <w:rFonts w:ascii="Arial" w:cs="Arial" w:eastAsia="Arial" w:hAnsi="Arial"/>
          <w:sz w:val="16"/>
          <w:szCs w:val="16"/>
          <w:color w:val="auto"/>
        </w:rPr>
        <w:t>”) and Fabrinet’s standard form of agreement under the Plan. RSUs granted under the Plan generally will vest over a four (4) year period as follows: 25% of the RSUs subject to the grant shall vest on the anniversary of the vesting commencement date for each of the next four (4) years. Options granted under the Plan generally will vest and become exercisable over a four (4) year period as follows: 25% vesting on the one</w:t>
      </w:r>
    </w:p>
    <w:p>
      <w:pPr>
        <w:spacing w:after="0" w:line="2" w:lineRule="exact"/>
        <w:rPr>
          <w:sz w:val="20"/>
          <w:szCs w:val="20"/>
          <w:color w:val="auto"/>
        </w:rPr>
      </w:pPr>
    </w:p>
    <w:p>
      <w:pPr>
        <w:ind w:right="140" w:firstLine="8"/>
        <w:spacing w:after="0" w:line="261" w:lineRule="auto"/>
        <w:tabs>
          <w:tab w:leader="none" w:pos="255" w:val="left"/>
        </w:tabs>
        <w:numPr>
          <w:ilvl w:val="0"/>
          <w:numId w:val="6"/>
        </w:numPr>
        <w:rPr>
          <w:rFonts w:ascii="Arial" w:cs="Arial" w:eastAsia="Arial" w:hAnsi="Arial"/>
          <w:sz w:val="18"/>
          <w:szCs w:val="18"/>
          <w:color w:val="auto"/>
        </w:rPr>
      </w:pPr>
      <w:r>
        <w:rPr>
          <w:rFonts w:ascii="Arial" w:cs="Arial" w:eastAsia="Arial" w:hAnsi="Arial"/>
          <w:sz w:val="18"/>
          <w:szCs w:val="18"/>
          <w:color w:val="auto"/>
        </w:rPr>
        <w:t>year anniversary of the option grant date and 1/48 of the options vesting each month of the following thirty-six (36) months. Vesting is conditioned upon your continued service to FUSA on each vesting date, except as set forth in this letter.</w:t>
      </w:r>
    </w:p>
    <w:p>
      <w:pPr>
        <w:spacing w:after="0" w:line="184" w:lineRule="exact"/>
        <w:rPr>
          <w:sz w:val="20"/>
          <w:szCs w:val="20"/>
          <w:color w:val="auto"/>
        </w:rPr>
      </w:pPr>
    </w:p>
    <w:p>
      <w:pPr>
        <w:jc w:val="both"/>
        <w:ind w:right="220" w:firstLine="456"/>
        <w:spacing w:after="0" w:line="279" w:lineRule="auto"/>
        <w:rPr>
          <w:sz w:val="20"/>
          <w:szCs w:val="20"/>
          <w:color w:val="auto"/>
        </w:rPr>
      </w:pPr>
      <w:r>
        <w:rPr>
          <w:rFonts w:ascii="Arial" w:cs="Arial" w:eastAsia="Arial" w:hAnsi="Arial"/>
          <w:sz w:val="17"/>
          <w:szCs w:val="17"/>
          <w:color w:val="auto"/>
        </w:rPr>
        <w:t>Subject to your remaining continuously employed with FUSA through and on December 30, 2018 (the “</w:t>
      </w:r>
      <w:r>
        <w:rPr>
          <w:rFonts w:ascii="Arial" w:cs="Arial" w:eastAsia="Arial" w:hAnsi="Arial"/>
          <w:sz w:val="17"/>
          <w:szCs w:val="17"/>
          <w:u w:val="single" w:color="auto"/>
          <w:color w:val="auto"/>
        </w:rPr>
        <w:t>Milestone Date</w:t>
      </w:r>
      <w:r>
        <w:rPr>
          <w:rFonts w:ascii="Arial" w:cs="Arial" w:eastAsia="Arial" w:hAnsi="Arial"/>
          <w:sz w:val="17"/>
          <w:szCs w:val="17"/>
          <w:color w:val="auto"/>
        </w:rPr>
        <w:t>”), you shall become 100% vested on the Milestone Date in any then-outstanding and unvested Acceleration Eligible Awards. “</w:t>
      </w:r>
      <w:r>
        <w:rPr>
          <w:rFonts w:ascii="Arial" w:cs="Arial" w:eastAsia="Arial" w:hAnsi="Arial"/>
          <w:sz w:val="17"/>
          <w:szCs w:val="17"/>
          <w:u w:val="single" w:color="auto"/>
          <w:color w:val="auto"/>
        </w:rPr>
        <w:t>Acceleration Eligible Awards</w:t>
      </w:r>
      <w:r>
        <w:rPr>
          <w:rFonts w:ascii="Arial" w:cs="Arial" w:eastAsia="Arial" w:hAnsi="Arial"/>
          <w:sz w:val="17"/>
          <w:szCs w:val="17"/>
          <w:color w:val="auto"/>
        </w:rPr>
        <w:t>” means (i) any restricted shares, RSUs, share appreciation rights, phantom shares or other equity based awards granted to you by Fabrinet prior to August 2016 and (ii) the award of RSUs covering 40,760 ordinary shares that was granted to you by Fabrinet on August 18, 2016.</w:t>
      </w:r>
    </w:p>
    <w:p>
      <w:pPr>
        <w:spacing w:after="0" w:line="171"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You are free to terminate your employment for any reason at any time, effective one (1) year after written notice is provided to FUSA, or such lesser period ending on the Transition Date (as defined below) to the extent that the written notice is provided within the one (1) year period prior to the Transition Date (such applicable period, the “</w:t>
      </w:r>
      <w:r>
        <w:rPr>
          <w:rFonts w:ascii="Arial" w:cs="Arial" w:eastAsia="Arial" w:hAnsi="Arial"/>
          <w:sz w:val="17"/>
          <w:szCs w:val="17"/>
          <w:u w:val="single" w:color="auto"/>
          <w:color w:val="auto"/>
        </w:rPr>
        <w:t>Employee Notice Period</w:t>
      </w:r>
      <w:r>
        <w:rPr>
          <w:rFonts w:ascii="Arial" w:cs="Arial" w:eastAsia="Arial" w:hAnsi="Arial"/>
          <w:sz w:val="17"/>
          <w:szCs w:val="17"/>
          <w:color w:val="auto"/>
        </w:rPr>
        <w:t>”). Similarly, FUSA may terminate the employment relationship, effective one (1) year after providing written notice to you, or such lesser period ending on the Transition Date to the extent that the written notice is provided within the one (1) year period prior to the Transition Date (such applicable period, together with the Employee Notice Period, the “</w:t>
      </w:r>
      <w:r>
        <w:rPr>
          <w:rFonts w:ascii="Arial" w:cs="Arial" w:eastAsia="Arial" w:hAnsi="Arial"/>
          <w:sz w:val="17"/>
          <w:szCs w:val="17"/>
          <w:u w:val="single" w:color="auto"/>
          <w:color w:val="auto"/>
        </w:rPr>
        <w:t>Termination Notice Period</w:t>
      </w:r>
      <w:r>
        <w:rPr>
          <w:rFonts w:ascii="Arial" w:cs="Arial" w:eastAsia="Arial" w:hAnsi="Arial"/>
          <w:sz w:val="17"/>
          <w:szCs w:val="17"/>
          <w:color w:val="auto"/>
        </w:rPr>
        <w:t>”), except in the case of termination with good cause, which may occur without any obligation to provide advance notice to you. Upon termination of your employment, you will receive a lump sum cash payment of your accrued but unpaid PTO (if any) which will be paid no later than ten (10) calendar days following the date of termination of your employment (or such earlier date as required by applicable law).</w:t>
      </w:r>
    </w:p>
    <w:p>
      <w:pPr>
        <w:spacing w:after="0" w:line="179"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In the event your employment is terminated (x) prior to December 30, 2023 (the “</w:t>
      </w:r>
      <w:r>
        <w:rPr>
          <w:rFonts w:ascii="Arial" w:cs="Arial" w:eastAsia="Arial" w:hAnsi="Arial"/>
          <w:sz w:val="17"/>
          <w:szCs w:val="17"/>
          <w:u w:val="single" w:color="auto"/>
          <w:color w:val="auto"/>
        </w:rPr>
        <w:t>Transition Date</w:t>
      </w:r>
      <w:r>
        <w:rPr>
          <w:rFonts w:ascii="Arial" w:cs="Arial" w:eastAsia="Arial" w:hAnsi="Arial"/>
          <w:sz w:val="17"/>
          <w:szCs w:val="17"/>
          <w:color w:val="auto"/>
        </w:rPr>
        <w:t>”), either (A) by FUSA without good cause (and other than due to your death or disability which is addressed further below), or (B) by you for any reason, and provided that during the Termination Notice Period, you have satisfied the Notice Period Services (as defined below) as determined by the Company in good faith in the Company’s sole discretion, or (y) on or within ten (10) calendar days after the Transition Date either (A) by FUSA without good cause (and other than due to your death or disability which is addressed further below), or (B) by you for any reason, you will receive the following (the “</w:t>
      </w:r>
      <w:r>
        <w:rPr>
          <w:rFonts w:ascii="Arial" w:cs="Arial" w:eastAsia="Arial" w:hAnsi="Arial"/>
          <w:sz w:val="17"/>
          <w:szCs w:val="17"/>
          <w:u w:val="single" w:color="auto"/>
          <w:color w:val="auto"/>
        </w:rPr>
        <w:t>Severance Benefits</w:t>
      </w:r>
      <w:r>
        <w:rPr>
          <w:rFonts w:ascii="Arial" w:cs="Arial" w:eastAsia="Arial" w:hAnsi="Arial"/>
          <w:sz w:val="17"/>
          <w:szCs w:val="17"/>
          <w:color w:val="auto"/>
        </w:rPr>
        <w:t>,” and the Severance Benefits described under only clauses (a) through (c) below, the “</w:t>
      </w:r>
      <w:r>
        <w:rPr>
          <w:rFonts w:ascii="Arial" w:cs="Arial" w:eastAsia="Arial" w:hAnsi="Arial"/>
          <w:sz w:val="17"/>
          <w:szCs w:val="17"/>
          <w:u w:val="single" w:color="auto"/>
          <w:color w:val="auto"/>
        </w:rPr>
        <w:t>Cash and COBRA Severance</w:t>
      </w:r>
      <w:r>
        <w:rPr>
          <w:rFonts w:ascii="Arial" w:cs="Arial" w:eastAsia="Arial" w:hAnsi="Arial"/>
          <w:sz w:val="17"/>
          <w:szCs w:val="17"/>
          <w:color w:val="auto"/>
        </w:rPr>
        <w:t>”):</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14" w:name="page15"/>
    <w:bookmarkEnd w:id="14"/>
    <w:p>
      <w:pPr>
        <w:ind w:right="140" w:firstLine="921"/>
        <w:spacing w:after="0" w:line="277" w:lineRule="auto"/>
        <w:tabs>
          <w:tab w:leader="none" w:pos="1158" w:val="left"/>
        </w:tabs>
        <w:numPr>
          <w:ilvl w:val="0"/>
          <w:numId w:val="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lump sum payment payable on the sixtieth (60th) day following your termination date equal to the product of one month of your then-base salary multiplied by the total number of full and fractional years of your employment with FUSA as of your termination date;</w:t>
      </w:r>
    </w:p>
    <w:p>
      <w:pPr>
        <w:spacing w:after="0" w:line="170" w:lineRule="exact"/>
        <w:rPr>
          <w:rFonts w:ascii="Arial" w:cs="Arial" w:eastAsia="Arial" w:hAnsi="Arial"/>
          <w:sz w:val="18"/>
          <w:szCs w:val="18"/>
          <w:color w:val="auto"/>
        </w:rPr>
      </w:pPr>
    </w:p>
    <w:p>
      <w:pPr>
        <w:ind w:firstLine="921"/>
        <w:spacing w:after="0" w:line="277" w:lineRule="auto"/>
        <w:tabs>
          <w:tab w:leader="none" w:pos="1168" w:val="left"/>
        </w:tabs>
        <w:numPr>
          <w:ilvl w:val="0"/>
          <w:numId w:val="7"/>
        </w:numPr>
        <w:rPr>
          <w:rFonts w:ascii="Arial" w:cs="Arial" w:eastAsia="Arial" w:hAnsi="Arial"/>
          <w:sz w:val="18"/>
          <w:szCs w:val="18"/>
          <w:color w:val="auto"/>
        </w:rPr>
      </w:pPr>
      <w:r>
        <w:rPr>
          <w:rFonts w:ascii="Arial" w:cs="Arial" w:eastAsia="Arial" w:hAnsi="Arial"/>
          <w:sz w:val="18"/>
          <w:szCs w:val="18"/>
          <w:color w:val="auto"/>
        </w:rPr>
        <w:t>a lump sum payment payable on the sixtieth (60th) day following your termination date equal to any earned but unpaid bonus as of the date of termination of your employment;</w:t>
      </w:r>
    </w:p>
    <w:p>
      <w:pPr>
        <w:spacing w:after="0" w:line="170" w:lineRule="exact"/>
        <w:rPr>
          <w:rFonts w:ascii="Arial" w:cs="Arial" w:eastAsia="Arial" w:hAnsi="Arial"/>
          <w:sz w:val="18"/>
          <w:szCs w:val="18"/>
          <w:color w:val="auto"/>
        </w:rPr>
      </w:pPr>
    </w:p>
    <w:p>
      <w:pPr>
        <w:ind w:right="40" w:firstLine="921"/>
        <w:spacing w:after="0" w:line="277" w:lineRule="auto"/>
        <w:tabs>
          <w:tab w:leader="none" w:pos="1158" w:val="left"/>
        </w:tabs>
        <w:numPr>
          <w:ilvl w:val="0"/>
          <w:numId w:val="7"/>
        </w:numPr>
        <w:rPr>
          <w:rFonts w:ascii="Arial" w:cs="Arial" w:eastAsia="Arial" w:hAnsi="Arial"/>
          <w:sz w:val="18"/>
          <w:szCs w:val="18"/>
          <w:color w:val="auto"/>
        </w:rPr>
      </w:pPr>
      <w:r>
        <w:rPr>
          <w:rFonts w:ascii="Arial" w:cs="Arial" w:eastAsia="Arial" w:hAnsi="Arial"/>
          <w:sz w:val="18"/>
          <w:szCs w:val="18"/>
          <w:color w:val="auto"/>
        </w:rPr>
        <w:t>a lump sum payment payable on the sixtieth (60th) day following your termination date equal to two times your cost of COBRA coverage for twelve months under the FUSA health plans then in effect for you and your covered dependents;</w:t>
      </w:r>
    </w:p>
    <w:p>
      <w:pPr>
        <w:spacing w:after="0" w:line="170" w:lineRule="exact"/>
        <w:rPr>
          <w:rFonts w:ascii="Arial" w:cs="Arial" w:eastAsia="Arial" w:hAnsi="Arial"/>
          <w:sz w:val="18"/>
          <w:szCs w:val="18"/>
          <w:color w:val="auto"/>
        </w:rPr>
      </w:pPr>
    </w:p>
    <w:p>
      <w:pPr>
        <w:ind w:firstLine="921"/>
        <w:spacing w:after="0" w:line="273" w:lineRule="auto"/>
        <w:tabs>
          <w:tab w:leader="none" w:pos="1168" w:val="left"/>
        </w:tabs>
        <w:numPr>
          <w:ilvl w:val="0"/>
          <w:numId w:val="7"/>
        </w:numPr>
        <w:rPr>
          <w:rFonts w:ascii="Arial" w:cs="Arial" w:eastAsia="Arial" w:hAnsi="Arial"/>
          <w:sz w:val="17"/>
          <w:szCs w:val="17"/>
          <w:color w:val="auto"/>
        </w:rPr>
      </w:pPr>
      <w:r>
        <w:rPr>
          <w:rFonts w:ascii="Arial" w:cs="Arial" w:eastAsia="Arial" w:hAnsi="Arial"/>
          <w:sz w:val="17"/>
          <w:szCs w:val="17"/>
          <w:color w:val="auto"/>
        </w:rPr>
        <w:t>any of your then-outstanding and unvested performance-based equity awards covering Fabrinet ordinary shares that remain subject to the achievement of any performance goals as of the date of termination of your employment (the “</w:t>
      </w:r>
      <w:r>
        <w:rPr>
          <w:rFonts w:ascii="Arial" w:cs="Arial" w:eastAsia="Arial" w:hAnsi="Arial"/>
          <w:sz w:val="17"/>
          <w:szCs w:val="17"/>
          <w:u w:val="single" w:color="auto"/>
          <w:color w:val="auto"/>
        </w:rPr>
        <w:t>Performance Awards</w:t>
      </w:r>
      <w:r>
        <w:rPr>
          <w:rFonts w:ascii="Arial" w:cs="Arial" w:eastAsia="Arial" w:hAnsi="Arial"/>
          <w:sz w:val="17"/>
          <w:szCs w:val="17"/>
          <w:color w:val="auto"/>
        </w:rPr>
        <w:t>”) will remain outstanding and eligible to vest following your termination date (subject to any earlier termination, such as in connection with a change in control of Fabrinet, as set forth in the Plan or any successor plan under which they were granted), and will become vested to the extent that the applicable performance-based or other criteria are satisfied under the Performance Award, with the exception that any requirement to provide further continued service will be deemed to have been met in full as of your termination date (such benefit under this clause (d), the “</w:t>
      </w:r>
      <w:r>
        <w:rPr>
          <w:rFonts w:ascii="Arial" w:cs="Arial" w:eastAsia="Arial" w:hAnsi="Arial"/>
          <w:sz w:val="17"/>
          <w:szCs w:val="17"/>
          <w:u w:val="single" w:color="auto"/>
          <w:color w:val="auto"/>
        </w:rPr>
        <w:t>Performance Award Severance</w:t>
      </w:r>
      <w:r>
        <w:rPr>
          <w:rFonts w:ascii="Arial" w:cs="Arial" w:eastAsia="Arial" w:hAnsi="Arial"/>
          <w:sz w:val="17"/>
          <w:szCs w:val="17"/>
          <w:color w:val="auto"/>
        </w:rPr>
        <w:t>”); and</w:t>
      </w:r>
    </w:p>
    <w:p>
      <w:pPr>
        <w:spacing w:after="0" w:line="178" w:lineRule="exact"/>
        <w:rPr>
          <w:rFonts w:ascii="Arial" w:cs="Arial" w:eastAsia="Arial" w:hAnsi="Arial"/>
          <w:sz w:val="17"/>
          <w:szCs w:val="17"/>
          <w:color w:val="auto"/>
        </w:rPr>
      </w:pPr>
    </w:p>
    <w:p>
      <w:pPr>
        <w:ind w:right="20" w:firstLine="921"/>
        <w:spacing w:after="0" w:line="273" w:lineRule="auto"/>
        <w:tabs>
          <w:tab w:leader="none" w:pos="1158" w:val="left"/>
        </w:tabs>
        <w:numPr>
          <w:ilvl w:val="0"/>
          <w:numId w:val="7"/>
        </w:numPr>
        <w:rPr>
          <w:rFonts w:ascii="Arial" w:cs="Arial" w:eastAsia="Arial" w:hAnsi="Arial"/>
          <w:sz w:val="17"/>
          <w:szCs w:val="17"/>
          <w:color w:val="auto"/>
        </w:rPr>
      </w:pPr>
      <w:r>
        <w:rPr>
          <w:rFonts w:ascii="Arial" w:cs="Arial" w:eastAsia="Arial" w:hAnsi="Arial"/>
          <w:sz w:val="17"/>
          <w:szCs w:val="17"/>
          <w:color w:val="auto"/>
        </w:rPr>
        <w:t>continued tax equalization benefits under FUSA’s expatriate policy, as in effect on the date of your termination, for the calendar year in which your termination date occurs, and the following calendar year, with such benefits being payable as soon as practicable following the year the compensation subject to the tax equalization payment relates was paid, and in no event later than the end of your second taxable year beginning after your taxable year in which your U.S. Federal income tax return is required to be filed (including any extensions) for the year to which the compensation subject to the tax equalization payment relates, or, if later, your second taxable year beginning after the latest such taxable year in which your foreign tax return or payment is required to be filed or made for the year to which the compensation subject to the tax equalization payment relates.</w:t>
      </w:r>
    </w:p>
    <w:p>
      <w:pPr>
        <w:spacing w:after="0" w:line="17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Prior to the Transition Date and during any Termination Notice Period, except as otherwise determined by the Company in its sole discretion and notified to you by the Company in writing, (x) you shall use your best efforts to recruit and train a successor that is satisfactory to the Board so that a successor to your position assumes your position upon or prior to the date of termination of your employment with FUSA, and (y) you will continue to devote substantially all of your business time and efforts (at full-time status) to the performance of your duties and use your best efforts in such endeavors, and continue to perform such other duties and responsibilities as described in this letter (such services with respect to the Termination Notice Period, the “</w:t>
      </w:r>
      <w:r>
        <w:rPr>
          <w:rFonts w:ascii="Arial" w:cs="Arial" w:eastAsia="Arial" w:hAnsi="Arial"/>
          <w:sz w:val="18"/>
          <w:szCs w:val="18"/>
          <w:u w:val="single" w:color="auto"/>
          <w:color w:val="auto"/>
        </w:rPr>
        <w:t>Notice</w:t>
      </w:r>
      <w:r>
        <w:rPr>
          <w:rFonts w:ascii="Arial" w:cs="Arial" w:eastAsia="Arial" w:hAnsi="Arial"/>
          <w:sz w:val="18"/>
          <w:szCs w:val="18"/>
          <w:color w:val="auto"/>
        </w:rPr>
        <w:t xml:space="preserve"> </w:t>
      </w:r>
      <w:r>
        <w:rPr>
          <w:rFonts w:ascii="Arial" w:cs="Arial" w:eastAsia="Arial" w:hAnsi="Arial"/>
          <w:sz w:val="18"/>
          <w:szCs w:val="18"/>
          <w:u w:val="single" w:color="auto"/>
          <w:color w:val="auto"/>
        </w:rPr>
        <w:t>Period Services</w:t>
      </w:r>
      <w:r>
        <w:rPr>
          <w:rFonts w:ascii="Arial" w:cs="Arial" w:eastAsia="Arial" w:hAnsi="Arial"/>
          <w:sz w:val="18"/>
          <w:szCs w:val="18"/>
          <w:color w:val="auto"/>
        </w:rPr>
        <w:t>”). For the avoidance of doubt, the Company may reduce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15" w:name="page16"/>
    <w:bookmarkEnd w:id="15"/>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your authority, duties and responsibilities, or your full-time status, during the Termination Notice Period or any portion thereof (the “</w:t>
      </w:r>
      <w:r>
        <w:rPr>
          <w:rFonts w:ascii="Arial" w:cs="Arial" w:eastAsia="Arial" w:hAnsi="Arial"/>
          <w:sz w:val="18"/>
          <w:szCs w:val="18"/>
          <w:u w:val="single" w:color="auto"/>
          <w:color w:val="auto"/>
        </w:rPr>
        <w:t>Notice Period</w:t>
      </w:r>
      <w:r>
        <w:rPr>
          <w:rFonts w:ascii="Arial" w:cs="Arial" w:eastAsia="Arial" w:hAnsi="Arial"/>
          <w:sz w:val="18"/>
          <w:szCs w:val="18"/>
          <w:color w:val="auto"/>
        </w:rPr>
        <w:t xml:space="preserve"> </w:t>
      </w:r>
      <w:r>
        <w:rPr>
          <w:rFonts w:ascii="Arial" w:cs="Arial" w:eastAsia="Arial" w:hAnsi="Arial"/>
          <w:sz w:val="18"/>
          <w:szCs w:val="18"/>
          <w:u w:val="single" w:color="auto"/>
          <w:color w:val="auto"/>
        </w:rPr>
        <w:t>Adjustments</w:t>
      </w:r>
      <w:r>
        <w:rPr>
          <w:rFonts w:ascii="Arial" w:cs="Arial" w:eastAsia="Arial" w:hAnsi="Arial"/>
          <w:sz w:val="18"/>
          <w:szCs w:val="18"/>
          <w:color w:val="auto"/>
        </w:rPr>
        <w:t>”), provided that the Company will continue to pay you, for the duration of the Termination Notice Period while you remain employed with FUSA, your base salary at the level in effect immediately before the Termination Notice Period, in accordance with FUSA’s payroll policy, subject to applicable U.S. tax withholdings. During the Termination Notice Period, you will remain eligible to receive equity awards covering Fabrinet ordinary shares and participate in Fabrinet’s Executive Incentive Plan (or successor plan, if applicable) to the same extent as similarly situated executives of Fabrinet. If during any Termination Notice Period, you breach your obligations to perform your Notice Period Services (as adjusted by any Notice Period Adjustments) as determined by the Board in good faith in its sole discretion, you will forfeit any and all Severance Benefits specified in this letter, and you no longer will have any rights thereto.</w:t>
      </w:r>
    </w:p>
    <w:p>
      <w:pPr>
        <w:spacing w:after="0" w:line="19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the event your employment is terminated on account of your death or disability on or before the Transition Date, then (x) you will become 100% vested immediately prior to your termination date in any then-outstanding and unvested Acceleration Eligible Awards granted to you by Fabrinet, and (y) you will receive the Performance Award Severance. In addition, if your employment is terminated on account of your death or disability on or after the Milestone Date, then you will also receive the Cash and COBRA Severance Benefits.</w:t>
      </w:r>
    </w:p>
    <w:p>
      <w:pPr>
        <w:spacing w:after="0" w:line="18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Any payments or benefits due to you under the preceding three paragraphs (for the avoidance of doubt, beginning with the paragraph discussing your Severance Benefits) shall be conditioned upon the execution of a general separation agreement and release of claims by you (or in the case of your death or disability, the administrator of your estate or your legal representative, as applicable) in such form as provided to you by FUSA within five (5) calendar days following your termination date that becomes irrevocable within sixty (60) days of your termination date. If the foregoing separation agreement and release of claims is executed and delivered and no longer subject to revocation as provided in the preceding sentence, then such payments or benefits shall be made or commence upon the sixtieth (60th) day following your termination date subject to the requirements under Section 409A (as defined below) as described further below. The first such cash payment shall include payment of all amounts that otherwise would have been due prior thereto under the terms of this letter had such payments commenced immediately upon your termination date, and any payments made thereafter shall continue as provided herein. The delayed payments or benefits shall in any event expire at the time such benefits would have expired had such benefits commenced immediately following your termination date.</w:t>
      </w:r>
    </w:p>
    <w:p>
      <w:pPr>
        <w:spacing w:after="0" w:line="178" w:lineRule="exact"/>
        <w:rPr>
          <w:sz w:val="20"/>
          <w:szCs w:val="20"/>
          <w:color w:val="auto"/>
        </w:rPr>
      </w:pPr>
    </w:p>
    <w:p>
      <w:pPr>
        <w:ind w:right="240" w:firstLine="456"/>
        <w:spacing w:after="0" w:line="279" w:lineRule="auto"/>
        <w:rPr>
          <w:sz w:val="20"/>
          <w:szCs w:val="20"/>
          <w:color w:val="auto"/>
        </w:rPr>
      </w:pPr>
      <w:r>
        <w:rPr>
          <w:rFonts w:ascii="Arial" w:cs="Arial" w:eastAsia="Arial" w:hAnsi="Arial"/>
          <w:sz w:val="17"/>
          <w:szCs w:val="17"/>
          <w:color w:val="auto"/>
        </w:rPr>
        <w:t>In the event your employment is terminated for any reason, you shall be under no obligation to seek other employment and there shall be no offset against any amounts due to you under this letter on account of any remuneration attributable to any subsequent employment that you may obtain. Any amounts due under the preceding four paragraphs (for the avoidance of doubt, beginning with the paragraph discussing your Severance Benefits) are in the nature of severance payments, or liquidated damages, or both, and are not in the nature of a penalty.</w:t>
      </w:r>
    </w:p>
    <w:p>
      <w:pPr>
        <w:spacing w:after="0" w:line="171"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Anything in this letter to the contrary notwithstanding, all payments required to be made by FUSA hereunder to you or your estate or beneficiaries shall be subject to the withholding of such amounts relating to taxes as FUSA may reasonably determine it should withhold pursuant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16" w:name="page17"/>
    <w:bookmarkEnd w:id="16"/>
    <w:p>
      <w:pPr>
        <w:ind w:right="2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any applicable law or regulation. In lieu of withholding such amounts, in whole or in part, FUSA may, in its sole discretion, accept other provisions for payment of taxes and withholding as required by law, provided it is satisfied that all requirements of law affecting its responsibilities to withhold have been satisfied.</w:t>
      </w:r>
    </w:p>
    <w:p>
      <w:pPr>
        <w:spacing w:after="0" w:line="18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For purposes of this letter, “</w:t>
      </w:r>
      <w:r>
        <w:rPr>
          <w:rFonts w:ascii="Arial" w:cs="Arial" w:eastAsia="Arial" w:hAnsi="Arial"/>
          <w:sz w:val="17"/>
          <w:szCs w:val="17"/>
          <w:u w:val="single" w:color="auto"/>
          <w:color w:val="auto"/>
        </w:rPr>
        <w:t>good cause</w:t>
      </w:r>
      <w:r>
        <w:rPr>
          <w:rFonts w:ascii="Arial" w:cs="Arial" w:eastAsia="Arial" w:hAnsi="Arial"/>
          <w:sz w:val="17"/>
          <w:szCs w:val="17"/>
          <w:color w:val="auto"/>
        </w:rPr>
        <w:t>” means (i) an act of dishonesty made by you in connection with your responsibilities as an employee; (ii) your conviction of or plea of nolo contendere to a felony, or any crime involving fraud, embezzlement or any other act of moral turpitude; (iii) your gross misconduct; (iv) your unauthorized use or disclosure of any proprietary information or trade secrets of the Company or any other party to whom you owe an obligation of nondisclosure as a result of your relationship with the Company; (v) your willful breach of any obligations under any written agreement or covenant with the Company; or (vi) your continued failure to perform your employment duties after you have received a written demand of performance from the Company which specifically sets forth the factual basis for the Company’s belief that you have not substantially performed your duties and have failed to cure such nonperformance to the Company’s satisfaction within thirty (30) days after receipt of such notice.</w:t>
      </w:r>
    </w:p>
    <w:p>
      <w:pPr>
        <w:spacing w:after="0" w:line="178"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Notwithstanding anything to the contrary in this letter, no Deferred Compensation Separation Benefits (as defined below) will be considered due or payable until you have incurred a “separation from service” within the meaning of Section 409A of the Internal Revenue Code of 1986, as amended, and the final regulations and any guidance promulgated thereunder (together, “</w:t>
      </w:r>
      <w:r>
        <w:rPr>
          <w:rFonts w:ascii="Arial" w:cs="Arial" w:eastAsia="Arial" w:hAnsi="Arial"/>
          <w:sz w:val="18"/>
          <w:szCs w:val="18"/>
          <w:u w:val="single" w:color="auto"/>
          <w:color w:val="auto"/>
        </w:rPr>
        <w:t>Section 409A</w:t>
      </w:r>
      <w:r>
        <w:rPr>
          <w:rFonts w:ascii="Arial" w:cs="Arial" w:eastAsia="Arial" w:hAnsi="Arial"/>
          <w:sz w:val="18"/>
          <w:szCs w:val="18"/>
          <w:color w:val="auto"/>
        </w:rPr>
        <w:t>”).</w:t>
      </w:r>
    </w:p>
    <w:p>
      <w:pPr>
        <w:spacing w:after="0" w:line="181"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In addition, if FUSA, Fabrinet (Cayman) or affiliates of either continues to be a public company with its securities listed on a stock exchange at the time of termination of your employment, and at the time of such termination it is determined that you are a “specified employee” within the meaning of Section 409A, the amounts payable to you, pursuant to this letter, when considered together with any other severance payments or separation benefits that are considered deferred compensation under Section 409A (together, the “</w:t>
      </w:r>
      <w:r>
        <w:rPr>
          <w:rFonts w:ascii="Arial" w:cs="Arial" w:eastAsia="Arial" w:hAnsi="Arial"/>
          <w:sz w:val="16"/>
          <w:szCs w:val="16"/>
          <w:u w:val="single" w:color="auto"/>
          <w:color w:val="auto"/>
        </w:rPr>
        <w:t>Deferred Compensation Separation Benefits</w:t>
      </w:r>
      <w:r>
        <w:rPr>
          <w:rFonts w:ascii="Arial" w:cs="Arial" w:eastAsia="Arial" w:hAnsi="Arial"/>
          <w:sz w:val="16"/>
          <w:szCs w:val="16"/>
          <w:color w:val="auto"/>
        </w:rPr>
        <w:t>”) that are payable within the first six</w:t>
      </w:r>
    </w:p>
    <w:p>
      <w:pPr>
        <w:spacing w:after="0" w:line="2" w:lineRule="exact"/>
        <w:rPr>
          <w:sz w:val="20"/>
          <w:szCs w:val="20"/>
          <w:color w:val="auto"/>
        </w:rPr>
      </w:pPr>
    </w:p>
    <w:p>
      <w:pPr>
        <w:ind w:left="260" w:hanging="252"/>
        <w:spacing w:after="0"/>
        <w:tabs>
          <w:tab w:leader="none" w:pos="260" w:val="left"/>
        </w:tabs>
        <w:numPr>
          <w:ilvl w:val="0"/>
          <w:numId w:val="8"/>
        </w:numPr>
        <w:rPr>
          <w:rFonts w:ascii="Arial" w:cs="Arial" w:eastAsia="Arial" w:hAnsi="Arial"/>
          <w:sz w:val="16"/>
          <w:szCs w:val="16"/>
          <w:color w:val="auto"/>
        </w:rPr>
      </w:pPr>
      <w:r>
        <w:rPr>
          <w:rFonts w:ascii="Arial" w:cs="Arial" w:eastAsia="Arial" w:hAnsi="Arial"/>
          <w:sz w:val="16"/>
          <w:szCs w:val="16"/>
          <w:color w:val="auto"/>
        </w:rPr>
        <w:t>months following termination of your employment, will become payable on the first payroll date that occurs on or after the date six (6) months and one</w:t>
      </w:r>
    </w:p>
    <w:p>
      <w:pPr>
        <w:spacing w:after="0" w:line="32" w:lineRule="exact"/>
        <w:rPr>
          <w:rFonts w:ascii="Arial" w:cs="Arial" w:eastAsia="Arial" w:hAnsi="Arial"/>
          <w:sz w:val="16"/>
          <w:szCs w:val="16"/>
          <w:color w:val="auto"/>
        </w:rPr>
      </w:pPr>
    </w:p>
    <w:p>
      <w:pPr>
        <w:ind w:right="40" w:firstLine="8"/>
        <w:spacing w:after="0" w:line="268" w:lineRule="auto"/>
        <w:tabs>
          <w:tab w:leader="none" w:pos="255" w:val="left"/>
        </w:tabs>
        <w:numPr>
          <w:ilvl w:val="0"/>
          <w:numId w:val="9"/>
        </w:numPr>
        <w:rPr>
          <w:rFonts w:ascii="Arial" w:cs="Arial" w:eastAsia="Arial" w:hAnsi="Arial"/>
          <w:sz w:val="17"/>
          <w:szCs w:val="17"/>
          <w:color w:val="auto"/>
        </w:rPr>
      </w:pPr>
      <w:r>
        <w:rPr>
          <w:rFonts w:ascii="Arial" w:cs="Arial" w:eastAsia="Arial" w:hAnsi="Arial"/>
          <w:sz w:val="17"/>
          <w:szCs w:val="17"/>
          <w:color w:val="auto"/>
        </w:rPr>
        <w:t>day following the date of termination of your employment (the “</w:t>
      </w:r>
      <w:r>
        <w:rPr>
          <w:rFonts w:ascii="Arial" w:cs="Arial" w:eastAsia="Arial" w:hAnsi="Arial"/>
          <w:sz w:val="17"/>
          <w:szCs w:val="17"/>
          <w:u w:val="single" w:color="auto"/>
          <w:color w:val="auto"/>
        </w:rPr>
        <w:t>Separation Delay</w:t>
      </w:r>
      <w:r>
        <w:rPr>
          <w:rFonts w:ascii="Arial" w:cs="Arial" w:eastAsia="Arial" w:hAnsi="Arial"/>
          <w:sz w:val="17"/>
          <w:szCs w:val="17"/>
          <w:color w:val="auto"/>
        </w:rPr>
        <w:t>”). Any amount paid under this letter that satisfies the requirements of the “short-term deferral” rule set forth in Section 1.409A-1(b)(4) of the Treasury Regulations will not constitute Deferred Compensation Separation Benefits for purposes of this paragraph. In addition, any amount paid under this letter that qualifies as a payment made as a result of an involuntary separation from service pursuant to Section 1.409A-1(b)(9)(iii) of the Treasury Regulations that does not exceed the specified limit in Section 1.409A-1(b)(9)(iii)(A) of the Treasury Regulations will not constitute Deferred Compensation Separation Benefits for purposes of this paragraph. Each payment and benefit payable under this letter is intended to constitute a separate payment for purposes of Section 1.409A-2(b)(2) of the Treasury Regulations. To the extent necessary or appropriate to be exempt from or to comply with Section 409A, your employment termination, termination of your employment, or similar terms in this letter will be references to your separation from service within the meaning of Section 409A.</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17" w:name="page18"/>
    <w:bookmarkEnd w:id="17"/>
    <w:p>
      <w:pPr>
        <w:ind w:firstLine="456"/>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Performance Awards outstanding as of the date hereof will be settled and paid to you in accordance with the regular vesting schedule and payment timing requirements set forth in the applicable Performance Award agreement, subject to your continued employment or service as described in the applicable Performance Award agreement except as specified in this letter, provided that any Performance Awards (or portions thereof) that constitute Severance Benefits will be subject to any applicable Separation Delay. Notwithstanding the foregoing sentence, in the event that any Performance Award outstanding as of the date hereof otherwise would be scheduled to vest and be settled upon the certification of achievement of the performance goal or goals under the Performance Award, such Performance Award (or portion thereof, as applicable) that vests upon certification instead will be settled and paid to you on the ninetieth (90</w:t>
      </w:r>
      <w:r>
        <w:rPr>
          <w:rFonts w:ascii="Arial" w:cs="Arial" w:eastAsia="Arial" w:hAnsi="Arial"/>
          <w:sz w:val="13"/>
          <w:szCs w:val="13"/>
          <w:color w:val="auto"/>
        </w:rPr>
        <w:t>th</w:t>
      </w:r>
      <w:r>
        <w:rPr>
          <w:rFonts w:ascii="Arial" w:cs="Arial" w:eastAsia="Arial" w:hAnsi="Arial"/>
          <w:sz w:val="16"/>
          <w:szCs w:val="16"/>
          <w:color w:val="auto"/>
        </w:rPr>
        <w:t>) day following the end of the performance period during which such performance goals would be measured, provided that any Performance Awards (or portions thereof) that constitute Severance Benefits will be subject to any applicable Separation Delay. Notwithstanding the foregoing in this paragraph, the settlement and payment of any vested Performance Awards will accelerate upon a corporate transaction set forth in Section 7.2 of the Plan (or similar provision in any successor plan) that qualifies as a “change in control” within the meaning of Section 409A, in accordance with the terms of the Plan (or successor plan, as applicable). The provisions of this letter constitute an amendment to any Performance Awards outstanding as of the date hereof and may be amended only in writing and by specific reference to such applicable provisions of this letter.</w:t>
      </w:r>
    </w:p>
    <w:p>
      <w:pPr>
        <w:spacing w:after="0" w:line="16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foregoing provisions are intended to comply with the requirements of Section 409A so that none of the payments and benefits to be provided hereunder will be subject to the additional tax imposed under Section 409A, and any ambiguities or ambiguous terms herein will be interpreted to so comply. In no event will the Company reimburse you for any taxes or other costs (including without limitation any interest and penalties) that may be imposed on you under Section 409A or any other provision of the Code with respect to any payments or benefits you may receive from the Company under this letter or under any other agreement or arrangement. The parties to this letter agree to work together in good faith to consider amendments to this letter, if required, and to take such reasonable actions, which are necessary, appropriate or desirable to avoid imposition of any additional tax or income recognition prior to actual payment to you under Section 409A.</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During the term of your employment and for a one-year period immediately following the termination of your employment, you shall not, without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FUSA’s prior written consent:</w:t>
      </w:r>
    </w:p>
    <w:p>
      <w:pPr>
        <w:spacing w:after="0" w:line="211" w:lineRule="exact"/>
        <w:rPr>
          <w:sz w:val="20"/>
          <w:szCs w:val="20"/>
          <w:color w:val="auto"/>
        </w:rPr>
      </w:pPr>
    </w:p>
    <w:p>
      <w:pPr>
        <w:jc w:val="both"/>
        <w:ind w:right="140" w:firstLine="464"/>
        <w:spacing w:after="0" w:line="279" w:lineRule="auto"/>
        <w:tabs>
          <w:tab w:leader="none" w:pos="671" w:val="left"/>
        </w:tabs>
        <w:numPr>
          <w:ilvl w:val="0"/>
          <w:numId w:val="10"/>
        </w:numPr>
        <w:rPr>
          <w:rFonts w:ascii="Arial" w:cs="Arial" w:eastAsia="Arial" w:hAnsi="Arial"/>
          <w:sz w:val="17"/>
          <w:szCs w:val="17"/>
          <w:color w:val="auto"/>
        </w:rPr>
      </w:pPr>
      <w:r>
        <w:rPr>
          <w:rFonts w:ascii="Arial" w:cs="Arial" w:eastAsia="Arial" w:hAnsi="Arial"/>
          <w:sz w:val="17"/>
          <w:szCs w:val="17"/>
          <w:color w:val="auto"/>
        </w:rPr>
        <w:t>solicit or encourage to leave the employment or other service of FUSA, Fabrinet (Cayman) or the affiliates of either, any employee or independent contractor thereof or hire (on behalf of yourself or any other person or entity) any employee or independent contractor who has left the employment or other service of FUSA, Fabrinet (Cayman) or the affiliates of either within the one-year period which follows the termination of such employee’s or independent contractor’s employment or other service with FUSA, Fabrinet (Cayman) and the affiliates of either; or</w:t>
      </w:r>
    </w:p>
    <w:p>
      <w:pPr>
        <w:spacing w:after="0" w:line="171" w:lineRule="exact"/>
        <w:rPr>
          <w:rFonts w:ascii="Arial" w:cs="Arial" w:eastAsia="Arial" w:hAnsi="Arial"/>
          <w:sz w:val="17"/>
          <w:szCs w:val="17"/>
          <w:color w:val="auto"/>
        </w:rPr>
      </w:pPr>
    </w:p>
    <w:p>
      <w:pPr>
        <w:ind w:firstLine="464"/>
        <w:spacing w:after="0" w:line="259" w:lineRule="auto"/>
        <w:tabs>
          <w:tab w:leader="none" w:pos="721"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for your own account or for the account of any other person, firm, corporation or other business organization, intentionally interfere with FUSA’s, Fabrinet (Cayman)’s or any of their affiliates’ relationship with, or endeavor to entice away from FUSA, Fabrinet (Cayman) or the affiliates of either, any person who during the term of your employment or the one-year period following the expiration of the term of your employment is or was a customer or client of FUSA, Fabrinet (Cayman) or the affiliates of either.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18" w:name="page19"/>
    <w:bookmarkEnd w:id="18"/>
    <w:p>
      <w:pPr>
        <w:ind w:right="12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You were previously provided additional information about general employment conditions including Company policies and benefits programs. Also, please be advised that it is the policy of FUSA to maintain a workplace that is free of drugs and alcohol.</w:t>
      </w:r>
    </w:p>
    <w:p>
      <w:pPr>
        <w:spacing w:after="0" w:line="17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You understand that nothing in this letter or other non-disclosure agreements you entered into with the Company shall in any way limit or prohibit you from engaging for a lawful purpose in any Protected Activity. For purposes of this letter and any other such applicable agreements, “</w:t>
      </w:r>
      <w:r>
        <w:rPr>
          <w:rFonts w:ascii="Arial" w:cs="Arial" w:eastAsia="Arial" w:hAnsi="Arial"/>
          <w:sz w:val="16"/>
          <w:szCs w:val="16"/>
          <w:u w:val="single" w:color="auto"/>
          <w:color w:val="auto"/>
        </w:rPr>
        <w:t>Protected Activity</w:t>
      </w:r>
      <w:r>
        <w:rPr>
          <w:rFonts w:ascii="Arial" w:cs="Arial" w:eastAsia="Arial" w:hAnsi="Arial"/>
          <w:sz w:val="16"/>
          <w:szCs w:val="16"/>
          <w:color w:val="auto"/>
        </w:rPr>
        <w:t>” will mean filing a charge, complaint, or report with, or otherwise communicating with, cooperating with or participating in any investigation or proceeding that may be conducted by, any federal, state or local government agency or commission, including the Securities and Exchange Commission, the Equal Employment Opportunity Commission, the Occupational Safety and Health Administration, and the National Labor Relations Board (“</w:t>
      </w:r>
      <w:r>
        <w:rPr>
          <w:rFonts w:ascii="Arial" w:cs="Arial" w:eastAsia="Arial" w:hAnsi="Arial"/>
          <w:sz w:val="16"/>
          <w:szCs w:val="16"/>
          <w:u w:val="single" w:color="auto"/>
          <w:color w:val="auto"/>
        </w:rPr>
        <w:t>Government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Agencies</w:t>
      </w:r>
      <w:r>
        <w:rPr>
          <w:rFonts w:ascii="Arial" w:cs="Arial" w:eastAsia="Arial" w:hAnsi="Arial"/>
          <w:sz w:val="16"/>
          <w:szCs w:val="16"/>
          <w:color w:val="auto"/>
        </w:rPr>
        <w:t>”). You understand that in connection with such Protected Activity, you are permitted to disclose documents or other information as permitted by law, and without giving notice to, or receiving authorization from, the Company. Notwithstanding the foregoing, you agree to take all reasonable precautions to prevent any unauthorized use or disclosure of any information that may constitute Company confidential information under any non-disclosure agreement with the Company to any parties other than the relevant Government Agencies. You further understand that “Protected Activity” does not include the disclosure of any Company attorney-client privileged communications, and that any such disclosure without the Company’s written consent shall constitute a material breach of this letter and any other applicable non-disclosure agreements with the Company. In addition, pursuant to the Defend Trade Secrets Act of 2016, you are notified that an individual will not be held criminally or civilly liable under any federal or state trade secret law for the disclosure of a trade secret that (i) is made in confidence to a federal, state, or local government official (directly or indirectly) or to an attorney solely for the purpose of reporting or investigating a suspected violation of law, or (ii) is made in a complaint or other document filed in a lawsuit or other proceeding, if (and only if) such filing is made under seal. Further, an individual who files a lawsuit for retaliation by an employer for reporting a suspected violation of law may disclose the trade secret to the individual’s attorney and use the trade secret information in the court proceeding, if the individual files any document containing the trade secret under seal and does not disclose the trade secret, except pursuant to court order.</w:t>
      </w:r>
    </w:p>
    <w:p>
      <w:pPr>
        <w:spacing w:after="0" w:line="175"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Should you have questions or require additional information about any benefits, terms or conditions of your employment, please do not hesitate to contact our General Counsel, Colin R. Campbell.</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74" w:right="279" w:bottom="1440" w:gutter="0" w:footer="0" w:header="0"/>
        </w:sectPr>
      </w:pPr>
    </w:p>
    <w:bookmarkStart w:id="19" w:name="page20"/>
    <w:bookmarkEnd w:id="19"/>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you are in agreement with the provisions of this letter detailing the terms of your employment with FUSA, please indicate your acceptance by signing below.</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look forward to your continuing with our organization.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Fabrinet USA, Inc.</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 Harpal Gill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79705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79705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Harpal Gill, President</w:t>
      </w:r>
    </w:p>
    <w:p>
      <w:pPr>
        <w:spacing w:after="0" w:line="319"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I accept the offer of employment with FUSA under the terms described in this letter. I acknowledge that this letter is the complete agreement concerning my employment and supersedes all prior or concurrent agreements and representations and may not be modified in any way except in a writing executed by an authorized agent of FUSA.</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/s/ Toh-Seng 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80467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80467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Toh-Seng 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January 9,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81292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81292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lowerLetter"/>
      <w:start w:val="1"/>
    </w:lvl>
  </w:abstractNum>
  <w:abstractNum w:abstractNumId="2">
    <w:nsid w:val="2EB141F2"/>
    <w:multiLevelType w:val="hybridMultilevel"/>
    <w:lvl w:ilvl="0">
      <w:lvlJc w:val="left"/>
      <w:lvlText w:val="(%1)"/>
      <w:numFmt w:val="decimal"/>
      <w:start w:val="6"/>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1)"/>
      <w:numFmt w:val="lowerRoman"/>
      <w:start w:val="1"/>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decimal"/>
      <w:start w:val="6"/>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2019-12-29T02:13:19Z</dcterms:created>
  <dcterms:modified xsi:type="dcterms:W3CDTF">2019-12-29T02:13:19Z</dcterms:modified>
</cp:coreProperties>
</file>