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June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Fabrinet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001-34775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31" w:lineRule="exact"/>
        <w:rPr>
          <w:sz w:val="24"/>
          <w:szCs w:val="24"/>
          <w:color w:val="auto"/>
        </w:rPr>
      </w:pPr>
    </w:p>
    <w:p>
      <w:pPr>
        <w:sectPr>
          <w:pgSz w:w="11900" w:h="16838" w:orient="portrait"/>
          <w:cols w:equalWidth="0" w:num="3">
            <w:col w:w="4740" w:space="720"/>
            <w:col w:w="2840" w:space="720"/>
            <w:col w:w="228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 Intertrust Corporate Services (Cayman)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190 Elgin Avenue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George Town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Grand Cayman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KY1-9005</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Cayman Islands</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+66 2-524-9600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Agreement.</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June 4, 2018, Fabrinet entered into the Fifth Amendment to Credit Agreement (the “Amendment”) which amends that certain Credit Agreement, dated as of May 22, 2014, among Fabrinet, certain of its subsidiaries as designated borrowers thereunder, certain of its subsidiaries from time to time party thereto as guarantors, the lenders from time to time party thereto and Bank of America, N.A., as administrative agent (the “Administrative Agent”) for the lenders (as amended, the “Credit Agreement”).</w:t>
      </w:r>
    </w:p>
    <w:p>
      <w:pPr>
        <w:spacing w:after="0" w:line="18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Among other things, the Amendment amends the Credit Agreement to (i) reduce the revolving commitments thereunder from $150.0 million to $25.0 million, (ii) extend the termination date of the revolving commitments from May 22, 2019 to June 4, 2023, (iii) refinance the existing term loan and all the existing revolving loans under the Credit Agreement into a $65.0 million term loan that matures on June 4, 2023 and (iv) reduce the applicable interest rate margins and commitment fees. Term loans made under the Credit Agreement shall be repaid in quarterly installments equal to $812,500, beginning on June 30, 2018, with the remaining outstanding principal and accrued and unpaid interest being due and payable on June 4, 2023. After giving effect to the Amendment, $65.0 million aggregate principal amount of term loans and no revolving loans were outstanding under the Credit Agreement.</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After giving effect to the Amendment, loans under the Credit Agreement will bear interest, at Fabrinet’s option, at a rate per annum equal to a LIBOR rate plus a spread of 1.50% to 2.25%, or a base rate, determined in accordance with the Credit Agreement, plus a spread of 0.50% to 1.25%, in each case with such spread determined based on Fabrinet’s consolidated total leverage ratio for the preceding four fiscal quarter period. In addition, the Credit Agreement contains an accordion feature permitting Fabrinet to request an increase in the revolving loan facility to provide up to an aggregate of $200.0 million in additional commitments, subject to customary terms and conditions, and provided that no default or event of default exists at the time of such request.</w:t>
      </w:r>
    </w:p>
    <w:p>
      <w:pPr>
        <w:spacing w:after="0" w:line="15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foregoing description of the Amendment is qualified in its entirety by reference to the Amendment, a copy of which is attached as Exhibit 10.1 hereto and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9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10.1</w:t>
            </w:r>
          </w:p>
        </w:tc>
        <w:tc>
          <w:tcPr>
            <w:tcW w:w="680" w:type="dxa"/>
            <w:vAlign w:val="bottom"/>
          </w:tcPr>
          <w:p>
            <w:pPr>
              <w:spacing w:after="0"/>
              <w:rPr>
                <w:sz w:val="22"/>
                <w:szCs w:val="22"/>
                <w:color w:val="auto"/>
              </w:rPr>
            </w:pPr>
          </w:p>
        </w:tc>
        <w:tc>
          <w:tcPr>
            <w:tcW w:w="96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Fifth Amendment to Credit Agreement, dated as of June 4, 2018, by and among Fabrinet, the Designated Borrowers party thereto, the</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3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Guarantors party thereto, the lenders party thereto and Bank of America, N.A. as administrative agent.</w:t>
              </w:r>
            </w:hyperlink>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FABRINET</w:t>
      </w:r>
    </w:p>
    <w:p>
      <w:pPr>
        <w:spacing w:after="0" w:line="22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Toh-Seng Ng</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Toh-Seng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center"/>
        <w:ind w:left="734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2018</w:t>
      </w:r>
    </w:p>
    <w:p>
      <w:pPr>
        <w:sectPr>
          <w:pgSz w:w="11900" w:h="16838" w:orient="portrait"/>
          <w:cols w:equalWidth="0" w:num="1">
            <w:col w:w="11160"/>
          </w:cols>
          <w:pgMar w:left="240" w:top="270"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CREDIT AGREEMENT</w:t>
      </w:r>
    </w:p>
    <w:p>
      <w:pPr>
        <w:spacing w:after="0" w:line="225"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FIFTH AMENDMENT TO CREDIT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dated as of June 4, 2018, is by and among </w:t>
      </w:r>
      <w:r>
        <w:rPr>
          <w:rFonts w:ascii="Arial" w:cs="Arial" w:eastAsia="Arial" w:hAnsi="Arial"/>
          <w:sz w:val="18"/>
          <w:szCs w:val="18"/>
          <w:b w:val="1"/>
          <w:bCs w:val="1"/>
          <w:color w:val="auto"/>
        </w:rPr>
        <w:t>FABRINET</w:t>
      </w:r>
      <w:r>
        <w:rPr>
          <w:rFonts w:ascii="Arial" w:cs="Arial" w:eastAsia="Arial" w:hAnsi="Arial"/>
          <w:sz w:val="18"/>
          <w:szCs w:val="18"/>
          <w:color w:val="auto"/>
        </w:rPr>
        <w:t>, an exempted company incorporated with limited liability in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the Designated Borrowers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the Guarantors party hereto, the Lenders party hereto and </w:t>
      </w: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E T H</w:t>
      </w:r>
    </w:p>
    <w:p>
      <w:pPr>
        <w:spacing w:after="0" w:line="22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Borrowers, the Subsidiaries of the Company from time to time party thereto (the “</w:t>
      </w:r>
      <w:r>
        <w:rPr>
          <w:rFonts w:ascii="Arial" w:cs="Arial" w:eastAsia="Arial" w:hAnsi="Arial"/>
          <w:sz w:val="17"/>
          <w:szCs w:val="17"/>
          <w:u w:val="single" w:color="auto"/>
          <w:color w:val="auto"/>
        </w:rPr>
        <w:t>Guarantors</w:t>
      </w:r>
      <w:r>
        <w:rPr>
          <w:rFonts w:ascii="Arial" w:cs="Arial" w:eastAsia="Arial" w:hAnsi="Arial"/>
          <w:sz w:val="17"/>
          <w:szCs w:val="17"/>
          <w:color w:val="auto"/>
        </w:rPr>
        <w:t>”), certain banks and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Bank of America, N.A., as Administrative Agent, are parties to that certain Credit Agreement dated as of May 22, 2014 (as amended by that certain First Amendment to Credit Agreement dated as of September 25, 2014, that certain Second Amendment to Credit Agreement dated as of February 26, 2015, that certain Third Amendment to Credit Agreement dated as of July 31, 2015 and that certain Fourth Amendment to Credit Agreement dated as of July 22, 2016 the “</w:t>
      </w:r>
      <w:r>
        <w:rPr>
          <w:rFonts w:ascii="Arial" w:cs="Arial" w:eastAsia="Arial" w:hAnsi="Arial"/>
          <w:sz w:val="17"/>
          <w:szCs w:val="17"/>
          <w:u w:val="single" w:color="auto"/>
          <w:color w:val="auto"/>
        </w:rPr>
        <w:t>Pre-Amendment Credit Agreement</w:t>
      </w:r>
      <w:r>
        <w:rPr>
          <w:rFonts w:ascii="Arial" w:cs="Arial" w:eastAsia="Arial" w:hAnsi="Arial"/>
          <w:sz w:val="17"/>
          <w:szCs w:val="17"/>
          <w:color w:val="auto"/>
        </w:rPr>
        <w:t>”; the Pre-Amendment Credit Agreement, as amended by this Amendment being referred to herein as the “</w:t>
      </w:r>
      <w:r>
        <w:rPr>
          <w:rFonts w:ascii="Arial" w:cs="Arial" w:eastAsia="Arial" w:hAnsi="Arial"/>
          <w:sz w:val="17"/>
          <w:szCs w:val="17"/>
          <w:u w:val="single" w:color="auto"/>
          <w:color w:val="auto"/>
        </w:rPr>
        <w:t>Amended Credit Agreement</w:t>
      </w:r>
      <w:r>
        <w:rPr>
          <w:rFonts w:ascii="Arial" w:cs="Arial" w:eastAsia="Arial" w:hAnsi="Arial"/>
          <w:sz w:val="17"/>
          <w:szCs w:val="17"/>
          <w:color w:val="auto"/>
        </w:rPr>
        <w:t>”);</w:t>
      </w:r>
    </w:p>
    <w:p>
      <w:pPr>
        <w:spacing w:after="0" w:line="174"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informed the Administrative Agent of (a) its formation of a new wholly-owned subsidiary, Fabrinet UK Holdings Ltd.,</w:t>
      </w:r>
      <w:r>
        <w:rPr>
          <w:rFonts w:ascii="Arial" w:cs="Arial" w:eastAsia="Arial" w:hAnsi="Arial"/>
          <w:sz w:val="17"/>
          <w:szCs w:val="17"/>
          <w:b w:val="1"/>
          <w:bCs w:val="1"/>
          <w:color w:val="auto"/>
        </w:rPr>
        <w:t xml:space="preserve"> </w:t>
      </w:r>
      <w:r>
        <w:rPr>
          <w:rFonts w:ascii="Arial" w:cs="Arial" w:eastAsia="Arial" w:hAnsi="Arial"/>
          <w:sz w:val="17"/>
          <w:szCs w:val="17"/>
          <w:color w:val="auto"/>
        </w:rPr>
        <w:t>a private limited company incorporated in England and Wales with company number 10231734 whose registered office is at 5 New Street Square, London, United Kingdom, EC4A 3TW (“</w:t>
      </w:r>
      <w:r>
        <w:rPr>
          <w:rFonts w:ascii="Arial" w:cs="Arial" w:eastAsia="Arial" w:hAnsi="Arial"/>
          <w:sz w:val="17"/>
          <w:szCs w:val="17"/>
          <w:u w:val="single" w:color="auto"/>
          <w:color w:val="auto"/>
        </w:rPr>
        <w:t>Fabrinet UK Holdings</w:t>
      </w:r>
      <w:r>
        <w:rPr>
          <w:rFonts w:ascii="Arial" w:cs="Arial" w:eastAsia="Arial" w:hAnsi="Arial"/>
          <w:sz w:val="17"/>
          <w:szCs w:val="17"/>
          <w:color w:val="auto"/>
        </w:rPr>
        <w:t>”), (b) its intention to transfer to Fabritek, Inc., a California corporation (“</w:t>
      </w:r>
      <w:r>
        <w:rPr>
          <w:rFonts w:ascii="Arial" w:cs="Arial" w:eastAsia="Arial" w:hAnsi="Arial"/>
          <w:sz w:val="17"/>
          <w:szCs w:val="17"/>
          <w:u w:val="single" w:color="auto"/>
          <w:color w:val="auto"/>
        </w:rPr>
        <w:t>Fabritek</w:t>
      </w:r>
      <w:r>
        <w:rPr>
          <w:rFonts w:ascii="Arial" w:cs="Arial" w:eastAsia="Arial" w:hAnsi="Arial"/>
          <w:sz w:val="17"/>
          <w:szCs w:val="17"/>
          <w:color w:val="auto"/>
        </w:rPr>
        <w:t>”), all of its right, title and interest in and to the outstanding Equity Interests of Fabrinet West, Inc., a California corporation (“</w:t>
      </w:r>
      <w:r>
        <w:rPr>
          <w:rFonts w:ascii="Arial" w:cs="Arial" w:eastAsia="Arial" w:hAnsi="Arial"/>
          <w:sz w:val="17"/>
          <w:szCs w:val="17"/>
          <w:u w:val="single" w:color="auto"/>
          <w:color w:val="auto"/>
        </w:rPr>
        <w:t>Fabrinet West</w:t>
      </w:r>
      <w:r>
        <w:rPr>
          <w:rFonts w:ascii="Arial" w:cs="Arial" w:eastAsia="Arial" w:hAnsi="Arial"/>
          <w:sz w:val="17"/>
          <w:szCs w:val="17"/>
          <w:color w:val="auto"/>
        </w:rPr>
        <w:t>”), Fabrinet USA, Inc., a California corporation (“</w:t>
      </w:r>
      <w:r>
        <w:rPr>
          <w:rFonts w:ascii="Arial" w:cs="Arial" w:eastAsia="Arial" w:hAnsi="Arial"/>
          <w:sz w:val="17"/>
          <w:szCs w:val="17"/>
          <w:u w:val="single" w:color="auto"/>
          <w:color w:val="auto"/>
        </w:rPr>
        <w:t>Fabrinet USA</w:t>
      </w:r>
      <w:r>
        <w:rPr>
          <w:rFonts w:ascii="Arial" w:cs="Arial" w:eastAsia="Arial" w:hAnsi="Arial"/>
          <w:sz w:val="17"/>
          <w:szCs w:val="17"/>
          <w:color w:val="auto"/>
        </w:rPr>
        <w:t>”), and FBN New Jersey Manufacturing, Inc., a Delaware corporation (“</w:t>
      </w:r>
      <w:r>
        <w:rPr>
          <w:rFonts w:ascii="Arial" w:cs="Arial" w:eastAsia="Arial" w:hAnsi="Arial"/>
          <w:sz w:val="17"/>
          <w:szCs w:val="17"/>
          <w:u w:val="single" w:color="auto"/>
          <w:color w:val="auto"/>
        </w:rPr>
        <w:t>FBN New Jersey</w:t>
      </w:r>
      <w:r>
        <w:rPr>
          <w:rFonts w:ascii="Arial" w:cs="Arial" w:eastAsia="Arial" w:hAnsi="Arial"/>
          <w:sz w:val="17"/>
          <w:szCs w:val="17"/>
          <w:color w:val="auto"/>
        </w:rPr>
        <w:t>”), pursuant to a share transfer and exchange agreement (the “</w:t>
      </w:r>
      <w:r>
        <w:rPr>
          <w:rFonts w:ascii="Arial" w:cs="Arial" w:eastAsia="Arial" w:hAnsi="Arial"/>
          <w:sz w:val="17"/>
          <w:szCs w:val="17"/>
          <w:u w:val="single" w:color="auto"/>
          <w:color w:val="auto"/>
        </w:rPr>
        <w:t>Fabrinet US Share Transfer Agreement</w:t>
      </w:r>
      <w:r>
        <w:rPr>
          <w:rFonts w:ascii="Arial" w:cs="Arial" w:eastAsia="Arial" w:hAnsi="Arial"/>
          <w:sz w:val="17"/>
          <w:szCs w:val="17"/>
          <w:color w:val="auto"/>
        </w:rPr>
        <w:t>”) between the Company and Fabritek, and (c) its intention to transfer to Fabrinet UK Holdings all of its right, title and interest in and to the outstanding Equity Interests of Fabritek pursuant to a share transfer and exchange agreement (the “</w:t>
      </w:r>
      <w:r>
        <w:rPr>
          <w:rFonts w:ascii="Arial" w:cs="Arial" w:eastAsia="Arial" w:hAnsi="Arial"/>
          <w:sz w:val="17"/>
          <w:szCs w:val="17"/>
          <w:u w:val="single" w:color="auto"/>
          <w:color w:val="auto"/>
        </w:rPr>
        <w:t>Fabritek Share Transfer Agreement</w:t>
      </w:r>
      <w:r>
        <w:rPr>
          <w:rFonts w:ascii="Arial" w:cs="Arial" w:eastAsia="Arial" w:hAnsi="Arial"/>
          <w:sz w:val="17"/>
          <w:szCs w:val="17"/>
          <w:color w:val="auto"/>
        </w:rPr>
        <w:t>”) between the Company and Fabrinet UK Holdings (the activities described in clauses (b) and (c), the “</w:t>
      </w:r>
      <w:r>
        <w:rPr>
          <w:rFonts w:ascii="Arial" w:cs="Arial" w:eastAsia="Arial" w:hAnsi="Arial"/>
          <w:sz w:val="17"/>
          <w:szCs w:val="17"/>
          <w:u w:val="single" w:color="auto"/>
          <w:color w:val="auto"/>
        </w:rPr>
        <w:t>Fabrinet UK</w:t>
      </w:r>
      <w:r>
        <w:rPr>
          <w:rFonts w:ascii="Arial" w:cs="Arial" w:eastAsia="Arial" w:hAnsi="Arial"/>
          <w:sz w:val="17"/>
          <w:szCs w:val="17"/>
          <w:color w:val="auto"/>
        </w:rPr>
        <w:t xml:space="preserve"> </w:t>
      </w:r>
      <w:r>
        <w:rPr>
          <w:rFonts w:ascii="Arial" w:cs="Arial" w:eastAsia="Arial" w:hAnsi="Arial"/>
          <w:sz w:val="17"/>
          <w:szCs w:val="17"/>
          <w:u w:val="single" w:color="auto"/>
          <w:color w:val="auto"/>
        </w:rPr>
        <w:t>Reorganization</w:t>
      </w:r>
      <w:r>
        <w:rPr>
          <w:rFonts w:ascii="Arial" w:cs="Arial" w:eastAsia="Arial" w:hAnsi="Arial"/>
          <w:sz w:val="17"/>
          <w:szCs w:val="17"/>
          <w:color w:val="auto"/>
        </w:rPr>
        <w:t>”);</w:t>
      </w:r>
    </w:p>
    <w:p>
      <w:pPr>
        <w:spacing w:after="0" w:line="174"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notified the Administrative Agent of its request that, on the Fifth Amendment Effective Date (as defined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make a term loan to the Borrowers in an aggregate principal amount equal to the Fifth Amendment Term Loan Commitment (as defined below), the proceeds of which will be used by the Borrowers to finance the working capital needs and other general corporate purposes of the Company and its Subsidiaries and any other purpose not prohibited by the terms of the Loan Documents;</w:t>
      </w:r>
    </w:p>
    <w:p>
      <w:pPr>
        <w:sectPr>
          <w:pgSz w:w="11900" w:h="16838" w:orient="portrait"/>
          <w:cols w:equalWidth="0" w:num="1">
            <w:col w:w="11420"/>
          </w:cols>
          <w:pgMar w:left="240" w:top="121" w:right="239" w:bottom="1440" w:gutter="0" w:footer="0" w:header="0"/>
        </w:sectPr>
      </w:pPr>
    </w:p>
    <w:bookmarkStart w:id="4" w:name="page5"/>
    <w:bookmarkEnd w:id="4"/>
    <w:p>
      <w:pPr>
        <w:ind w:right="10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w:t>
      </w:r>
      <w:r>
        <w:rPr>
          <w:rFonts w:ascii="Arial" w:cs="Arial" w:eastAsia="Arial" w:hAnsi="Arial"/>
          <w:sz w:val="18"/>
          <w:szCs w:val="18"/>
          <w:color w:val="auto"/>
        </w:rPr>
        <w:t>, the Loan Parties have requested that the Required Lenders amend certain provisions of the Pre-Amendment Credit Agreement to, among</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things, consent to the Fabrinet UK Reorganization and provide for the Fifth Amendment Term Loan; and</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Lenders party hereto, constituting the Required Lenders, are willing to amend the Pre-Amendment Credit Agreement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and subject to the terms and conditions set forth herein.</w:t>
      </w:r>
    </w:p>
    <w:p>
      <w:pPr>
        <w:spacing w:after="0" w:line="162"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agreements hereinafter set forth,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which are hereby acknowledged, the parties hereto agree as follows: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0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Capitalized terms used but not otherwise defined herein shall have the respective meanings assigned to such terms in the Amended Credit Agreement.</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Amendments to Pre-Amendment Credit Agreement</w:t>
      </w:r>
      <w:r>
        <w:rPr>
          <w:rFonts w:ascii="Arial" w:cs="Arial" w:eastAsia="Arial" w:hAnsi="Arial"/>
          <w:sz w:val="18"/>
          <w:szCs w:val="18"/>
          <w:color w:val="auto"/>
        </w:rPr>
        <w:t xml:space="preserve">. Effective as of the Fifth Amendment Effective Date, concurrently with the funding of the Fifth Amendment Term Loan, the Pre-Amendment Credit Agreement is hereby amended to delete the stricken text (indicated textually in the same manner as the following example: </w:t>
      </w:r>
      <w:r>
        <w:rPr>
          <w:rFonts w:ascii="Arial" w:cs="Arial" w:eastAsia="Arial" w:hAnsi="Arial"/>
          <w:sz w:val="18"/>
          <w:szCs w:val="18"/>
          <w:color w:val="auto"/>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auto"/>
        </w:rPr>
        <w:t>double-underlined text</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u w:val="single" w:color="auto"/>
          <w:color w:val="auto"/>
        </w:rPr>
        <w:t>Fifth Amendment Term Loan</w:t>
      </w:r>
      <w:r>
        <w:rPr>
          <w:rFonts w:ascii="Arial" w:cs="Arial" w:eastAsia="Arial" w:hAnsi="Arial"/>
          <w:sz w:val="18"/>
          <w:szCs w:val="18"/>
          <w:color w:val="auto"/>
        </w:rPr>
        <w:t>. The Lenders hereby (a) commit to provide to the Borrowers a term loan (the “</w:t>
      </w:r>
      <w:r>
        <w:rPr>
          <w:rFonts w:ascii="Arial" w:cs="Arial" w:eastAsia="Arial" w:hAnsi="Arial"/>
          <w:sz w:val="18"/>
          <w:szCs w:val="18"/>
          <w:u w:val="single" w:color="auto"/>
          <w:color w:val="auto"/>
        </w:rPr>
        <w:t>Fifth Amendment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consisting of a single loan denominated in Dollars in an aggregate principal amount of $65,000,000 on the terms and subject to the applicable conditions set forth herein and in the Amended Credit Agreement and subject to the conditions set forth herein in Section 3.1 and (b) agree upon the Fifth Amendment Effective Date to make the Fifth Amendment Term Loan to the Borrowers.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CONSENT</w:t>
      </w:r>
    </w:p>
    <w:p>
      <w:pPr>
        <w:spacing w:after="0" w:line="207" w:lineRule="exact"/>
        <w:rPr>
          <w:sz w:val="20"/>
          <w:szCs w:val="20"/>
          <w:color w:val="auto"/>
        </w:rPr>
      </w:pPr>
    </w:p>
    <w:p>
      <w:pPr>
        <w:ind w:right="80" w:firstLine="456"/>
        <w:spacing w:after="0" w:line="314"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b w:val="1"/>
          <w:bCs w:val="1"/>
          <w:u w:val="single" w:color="auto"/>
          <w:color w:val="auto"/>
        </w:rPr>
        <w:t>Limited Consent to Fabrinet UK Reorganization</w:t>
      </w:r>
      <w:r>
        <w:rPr>
          <w:rFonts w:ascii="Arial" w:cs="Arial" w:eastAsia="Arial" w:hAnsi="Arial"/>
          <w:sz w:val="16"/>
          <w:szCs w:val="16"/>
          <w:color w:val="auto"/>
        </w:rPr>
        <w:t>. Subject to the satisfaction of the conditions set forth in Section 2.2 below, the Lenders signatory hereto, constituting the Required Lenders, hereby consent to the consummation of the Fabrinet UK Reorganization and waive any noncompliance by the Loan Parties of Section 7.03, Section 7.04, Section 7.05 and Section 7.08 of the Amended Credit Agreement, if any, as a result thereof.</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b w:val="1"/>
          <w:bCs w:val="1"/>
          <w:u w:val="single" w:color="auto"/>
          <w:color w:val="auto"/>
        </w:rPr>
        <w:t>Conditions to Fabrinet UK Reorganization</w:t>
      </w:r>
      <w:r>
        <w:rPr>
          <w:rFonts w:ascii="Arial" w:cs="Arial" w:eastAsia="Arial" w:hAnsi="Arial"/>
          <w:sz w:val="16"/>
          <w:szCs w:val="16"/>
          <w:color w:val="auto"/>
        </w:rPr>
        <w:t>. Not later than five (5) days after the consummation of the Fabrinet UK Reorganization,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shall have delivered to the Administrative Agent each of the following:</w:t>
      </w:r>
    </w:p>
    <w:p>
      <w:pPr>
        <w:spacing w:after="0" w:line="103" w:lineRule="exact"/>
        <w:rPr>
          <w:sz w:val="20"/>
          <w:szCs w:val="20"/>
          <w:color w:val="auto"/>
        </w:rPr>
      </w:pPr>
    </w:p>
    <w:p>
      <w:pPr>
        <w:ind w:left="460" w:right="140" w:firstLine="443"/>
        <w:spacing w:after="0" w:line="277"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Consummation of Reorganization</w:t>
      </w:r>
      <w:r>
        <w:rPr>
          <w:rFonts w:ascii="Arial" w:cs="Arial" w:eastAsia="Arial" w:hAnsi="Arial"/>
          <w:sz w:val="18"/>
          <w:szCs w:val="18"/>
          <w:color w:val="auto"/>
        </w:rPr>
        <w:t>. A certificate of a Responsible Officer of the Company certifying that the Fabrinet UK Reorganization has been consummated.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5" w:name="page6"/>
    <w:bookmarkEnd w:id="5"/>
    <w:p>
      <w:pPr>
        <w:ind w:left="460" w:right="460" w:firstLine="443"/>
        <w:spacing w:after="0" w:line="277" w:lineRule="auto"/>
        <w:tabs>
          <w:tab w:leader="none" w:pos="115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Joinder Agreement</w:t>
      </w:r>
      <w:r>
        <w:rPr>
          <w:rFonts w:ascii="Arial" w:cs="Arial" w:eastAsia="Arial" w:hAnsi="Arial"/>
          <w:sz w:val="18"/>
          <w:szCs w:val="18"/>
          <w:color w:val="auto"/>
        </w:rPr>
        <w:t>. A Joinder Agreement, duly executed by Fabrinet UK Holdings, in form and substance reasonably satisfactory to the Administrative Agent.</w:t>
      </w:r>
    </w:p>
    <w:p>
      <w:pPr>
        <w:spacing w:after="0" w:line="62" w:lineRule="exact"/>
        <w:rPr>
          <w:rFonts w:ascii="Arial" w:cs="Arial" w:eastAsia="Arial" w:hAnsi="Arial"/>
          <w:sz w:val="18"/>
          <w:szCs w:val="18"/>
          <w:color w:val="auto"/>
        </w:rPr>
      </w:pPr>
    </w:p>
    <w:p>
      <w:pPr>
        <w:ind w:left="460" w:right="320" w:firstLine="443"/>
        <w:spacing w:after="0" w:line="277" w:lineRule="auto"/>
        <w:tabs>
          <w:tab w:leader="none" w:pos="114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Fabrinet UK Share Pledge</w:t>
      </w:r>
      <w:r>
        <w:rPr>
          <w:rFonts w:ascii="Arial" w:cs="Arial" w:eastAsia="Arial" w:hAnsi="Arial"/>
          <w:sz w:val="18"/>
          <w:szCs w:val="18"/>
          <w:color w:val="auto"/>
        </w:rPr>
        <w:t>. The Fabrinet UK Share Pledge, duly executed by the Company and the Administrative Agent, and in form and substance reasonably satisfactory to the Administrative Agent.</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A supplement to the Security Agreement executed by Fabritek and the Administrative Agent, and in form and substance reasonably satisfactory to the Administrative Agent.</w:t>
      </w:r>
    </w:p>
    <w:p>
      <w:pPr>
        <w:spacing w:after="0" w:line="62" w:lineRule="exact"/>
        <w:rPr>
          <w:rFonts w:ascii="Arial" w:cs="Arial" w:eastAsia="Arial" w:hAnsi="Arial"/>
          <w:sz w:val="18"/>
          <w:szCs w:val="18"/>
          <w:color w:val="auto"/>
        </w:rPr>
      </w:pPr>
    </w:p>
    <w:p>
      <w:pPr>
        <w:ind w:left="460" w:firstLine="443"/>
        <w:spacing w:after="0" w:line="277" w:lineRule="auto"/>
        <w:tabs>
          <w:tab w:leader="none" w:pos="114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Pledged Equity.</w:t>
      </w:r>
      <w:r>
        <w:rPr>
          <w:rFonts w:ascii="Arial" w:cs="Arial" w:eastAsia="Arial" w:hAnsi="Arial"/>
          <w:sz w:val="18"/>
          <w:szCs w:val="18"/>
          <w:color w:val="auto"/>
        </w:rPr>
        <w:t xml:space="preserve"> Original share certificates for each of Fabritek, Fabrinet West, Fabrinet USA and FBN New Jersey, in each case, together with appropriate stock powers duly executed in blank.</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Disclosure Letter</w:t>
      </w:r>
      <w:r>
        <w:rPr>
          <w:rFonts w:ascii="Arial" w:cs="Arial" w:eastAsia="Arial" w:hAnsi="Arial"/>
          <w:sz w:val="18"/>
          <w:szCs w:val="18"/>
          <w:color w:val="auto"/>
        </w:rPr>
        <w:t>. Administrative Agent shall have received a copy of the Disclosure Letter attaching certain schedules thereto.</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Financing Statement</w:t>
      </w:r>
      <w:r>
        <w:rPr>
          <w:rFonts w:ascii="Arial" w:cs="Arial" w:eastAsia="Arial" w:hAnsi="Arial"/>
          <w:sz w:val="18"/>
          <w:szCs w:val="18"/>
          <w:color w:val="auto"/>
        </w:rPr>
        <w:t>. UCC-1 financing statements (or equivalent) naming Fabrinet UK Holdings, as debtor, and the Administrative Agent as secured party.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(i) Satisfactory opinions of counsel to the Administrative Agent with respect to the Fabrinet UK Share Pledge and</w:t>
      </w:r>
    </w:p>
    <w:p>
      <w:pPr>
        <w:spacing w:after="0" w:line="23" w:lineRule="exact"/>
        <w:rPr>
          <w:rFonts w:ascii="Arial" w:cs="Arial" w:eastAsia="Arial" w:hAnsi="Arial"/>
          <w:sz w:val="18"/>
          <w:szCs w:val="18"/>
          <w:color w:val="auto"/>
        </w:rPr>
      </w:pPr>
    </w:p>
    <w:p>
      <w:pPr>
        <w:jc w:val="both"/>
        <w:ind w:left="460" w:right="80" w:firstLine="4"/>
        <w:spacing w:after="0" w:line="277" w:lineRule="auto"/>
        <w:tabs>
          <w:tab w:leader="none" w:pos="7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satisfactory opinions of counsel to the Loan Parties which shall cover the Joinder Agreement (in, each case, which shall cover, among other things, existence and standing, authority, execution, delivery and enforceability of the Loan Documents, perfection of security interests, and a lack of conflicts with the Loan Parties’ organizational documents and material agreements) and of appropriate local counsel.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EFFECTIVENESS</w:t>
      </w:r>
    </w:p>
    <w:p>
      <w:pPr>
        <w:spacing w:after="0" w:line="207"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u w:val="single" w:color="auto"/>
          <w:color w:val="auto"/>
        </w:rPr>
        <w:t>Closing Conditions</w:t>
      </w:r>
      <w:r>
        <w:rPr>
          <w:rFonts w:ascii="Arial" w:cs="Arial" w:eastAsia="Arial" w:hAnsi="Arial"/>
          <w:sz w:val="18"/>
          <w:szCs w:val="18"/>
          <w:b w:val="1"/>
          <w:bCs w:val="1"/>
          <w:color w:val="auto"/>
        </w:rPr>
        <w:t>.</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Articles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this Amendment shall become effective upon satisfaction of the following conditions precedent (the date upon which such satisfaction occurs, the “</w:t>
      </w:r>
      <w:r>
        <w:rPr>
          <w:rFonts w:ascii="Arial" w:cs="Arial" w:eastAsia="Arial" w:hAnsi="Arial"/>
          <w:sz w:val="18"/>
          <w:szCs w:val="18"/>
          <w:u w:val="single" w:color="auto"/>
          <w:color w:val="auto"/>
        </w:rPr>
        <w:t>Fifth Amendment Effective Date</w:t>
      </w:r>
      <w:r>
        <w:rPr>
          <w:rFonts w:ascii="Arial" w:cs="Arial" w:eastAsia="Arial" w:hAnsi="Arial"/>
          <w:sz w:val="18"/>
          <w:szCs w:val="18"/>
          <w:color w:val="auto"/>
        </w:rPr>
        <w:t>”):</w:t>
      </w:r>
    </w:p>
    <w:p>
      <w:pPr>
        <w:spacing w:after="0" w:line="58" w:lineRule="exact"/>
        <w:rPr>
          <w:sz w:val="20"/>
          <w:szCs w:val="20"/>
          <w:color w:val="auto"/>
        </w:rPr>
      </w:pPr>
    </w:p>
    <w:p>
      <w:pPr>
        <w:ind w:left="460" w:right="200" w:firstLine="443"/>
        <w:spacing w:after="0" w:line="277" w:lineRule="auto"/>
        <w:tabs>
          <w:tab w:leader="none" w:pos="114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Executed Amendment</w:t>
      </w:r>
      <w:r>
        <w:rPr>
          <w:rFonts w:ascii="Arial" w:cs="Arial" w:eastAsia="Arial" w:hAnsi="Arial"/>
          <w:sz w:val="18"/>
          <w:szCs w:val="18"/>
          <w:color w:val="auto"/>
        </w:rPr>
        <w:t>. The Administrative Agent shall have received a copy of this Amendment duly executed by each of the Loan Parties, the Lenders constituting the Required Lenders and the Administrative Agent.</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shall have received satisfactory opinions of New York, Cayman and Thai counsel to the Loan Parties which shall cover this Amendment (in, each case, which shall cover, among other things, existence and standing, authority, execution, delivery and enforceability of this Amendment and any Loan Document executed in connection therewith, perfection of security interests, and a lack of conflicts with the applicable Loan Parties’ organizational documents and material agreements).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left="460" w:right="40" w:firstLine="443"/>
        <w:spacing w:after="0" w:line="255" w:lineRule="auto"/>
        <w:tabs>
          <w:tab w:leader="none" w:pos="114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Certificate</w:t>
      </w:r>
      <w:r>
        <w:rPr>
          <w:rFonts w:ascii="Arial" w:cs="Arial" w:eastAsia="Arial" w:hAnsi="Arial"/>
          <w:sz w:val="18"/>
          <w:szCs w:val="18"/>
          <w:color w:val="auto"/>
        </w:rPr>
        <w:t>. The Administrative Agent shall have received an Officer’s Certificate of each Loan Party dated as of the Closing Date, certifying as to the Organization Documents of such Loan Party (which, to the extent filed with a Governmental Authority, shall be certified as of a recent date by such Governmental Authority), the resolutions of the Board of Directors of such Loan Party, the good standing, existence or its equivalent of such Loan Party (together with a certificate of good standing issued by the applicable Governmental Authority in such Loan Party’s jurisdiction of organization, incorporation or formation as of a recent date), if applicable, and of the incumbency (including specimen signatures) of the Responsible Officers of such Loan Party.</w:t>
      </w:r>
    </w:p>
    <w:p>
      <w:pPr>
        <w:spacing w:after="0" w:line="85"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Notice of Payoff</w:t>
      </w:r>
      <w:r>
        <w:rPr>
          <w:rFonts w:ascii="Arial" w:cs="Arial" w:eastAsia="Arial" w:hAnsi="Arial"/>
          <w:sz w:val="18"/>
          <w:szCs w:val="18"/>
          <w:color w:val="auto"/>
        </w:rPr>
        <w:t>. Administrative Agent shall have received a copy of that notice of termination addressed to the Lenders being paid off with the proceeds of the Fifth Amendment Term Loans.</w:t>
      </w:r>
    </w:p>
    <w:p>
      <w:pPr>
        <w:spacing w:after="0" w:line="62" w:lineRule="exact"/>
        <w:rPr>
          <w:rFonts w:ascii="Arial" w:cs="Arial" w:eastAsia="Arial" w:hAnsi="Arial"/>
          <w:sz w:val="18"/>
          <w:szCs w:val="18"/>
          <w:color w:val="auto"/>
        </w:rPr>
      </w:pPr>
    </w:p>
    <w:p>
      <w:pPr>
        <w:ind w:left="460" w:right="360" w:firstLine="443"/>
        <w:spacing w:after="0" w:line="277" w:lineRule="auto"/>
        <w:tabs>
          <w:tab w:leader="none" w:pos="114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Loan Notice</w:t>
      </w:r>
      <w:r>
        <w:rPr>
          <w:rFonts w:ascii="Arial" w:cs="Arial" w:eastAsia="Arial" w:hAnsi="Arial"/>
          <w:sz w:val="18"/>
          <w:szCs w:val="18"/>
          <w:color w:val="auto"/>
        </w:rPr>
        <w:t>. Administrative Agent shall have received a Loan Notice with respect to the Term Loan to be made on the Fifth Amendment Effective Date.</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 Note</w:t>
      </w:r>
      <w:r>
        <w:rPr>
          <w:rFonts w:ascii="Arial" w:cs="Arial" w:eastAsia="Arial" w:hAnsi="Arial"/>
          <w:sz w:val="18"/>
          <w:szCs w:val="18"/>
          <w:color w:val="auto"/>
        </w:rPr>
        <w:t>. Administrative Agent shall have received a duly executed Term Note.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After giving effect to this Amendment, no Default or Event of Default shall exist.</w:t>
      </w:r>
    </w:p>
    <w:p>
      <w:pPr>
        <w:spacing w:after="0" w:line="117" w:lineRule="exact"/>
        <w:rPr>
          <w:rFonts w:ascii="Arial" w:cs="Arial" w:eastAsia="Arial" w:hAnsi="Arial"/>
          <w:sz w:val="18"/>
          <w:szCs w:val="18"/>
          <w:color w:val="auto"/>
        </w:rPr>
      </w:pPr>
    </w:p>
    <w:p>
      <w:pPr>
        <w:ind w:left="460" w:right="740" w:firstLine="443"/>
        <w:spacing w:after="0" w:line="277" w:lineRule="auto"/>
        <w:tabs>
          <w:tab w:leader="none" w:pos="115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All other documents and legal matters in connection with the transactions contemplated by this Amendment shall be reasonably satisfactory in form and substance to the Administrative Agent and its counsel.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u w:val="single" w:color="auto"/>
          <w:color w:val="auto"/>
        </w:rPr>
        <w:t>Amended Terms</w:t>
      </w:r>
      <w:r>
        <w:rPr>
          <w:rFonts w:ascii="Arial" w:cs="Arial" w:eastAsia="Arial" w:hAnsi="Arial"/>
          <w:sz w:val="18"/>
          <w:szCs w:val="18"/>
          <w:b w:val="1"/>
          <w:bCs w:val="1"/>
          <w:color w:val="auto"/>
        </w:rPr>
        <w:t>.</w:t>
      </w:r>
      <w:r>
        <w:rPr>
          <w:rFonts w:ascii="Arial" w:cs="Arial" w:eastAsia="Arial" w:hAnsi="Arial"/>
          <w:sz w:val="18"/>
          <w:szCs w:val="18"/>
          <w:color w:val="auto"/>
        </w:rPr>
        <w:t xml:space="preserve"> On and after the Fifth Amendment Effective Date, all references to the Credit Agreement in each of the Loan Documents shall hereafter mean the Amended Credit Agreement. Except as specifically amended hereby or otherwise agreed, the Credit Agreement is hereby ratified and confirmed and shall remain in full force and effect according to its terms.</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u w:val="single" w:color="auto"/>
          <w:color w:val="auto"/>
        </w:rPr>
        <w:t>Representations and Warranties of Loan Parties</w:t>
      </w:r>
      <w:r>
        <w:rPr>
          <w:rFonts w:ascii="Arial" w:cs="Arial" w:eastAsia="Arial" w:hAnsi="Arial"/>
          <w:sz w:val="18"/>
          <w:szCs w:val="18"/>
          <w:b w:val="1"/>
          <w:bCs w:val="1"/>
          <w:color w:val="auto"/>
        </w:rPr>
        <w:t>.</w:t>
      </w:r>
      <w:r>
        <w:rPr>
          <w:rFonts w:ascii="Arial" w:cs="Arial" w:eastAsia="Arial" w:hAnsi="Arial"/>
          <w:sz w:val="18"/>
          <w:szCs w:val="18"/>
          <w:color w:val="auto"/>
        </w:rPr>
        <w:t xml:space="preserve"> Each of the Loan Parties represents and warrants, as of the Fifth Amendment Effective Date, as follows:</w:t>
      </w:r>
    </w:p>
    <w:p>
      <w:pPr>
        <w:spacing w:after="0" w:line="58" w:lineRule="exact"/>
        <w:rPr>
          <w:sz w:val="20"/>
          <w:szCs w:val="20"/>
          <w:color w:val="auto"/>
        </w:rPr>
      </w:pPr>
    </w:p>
    <w:p>
      <w:pPr>
        <w:ind w:left="1140" w:hanging="237"/>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has taken all necessary action to authorize the execution, delivery and performance of this Amendment.</w:t>
      </w:r>
    </w:p>
    <w:p>
      <w:pPr>
        <w:spacing w:after="0" w:line="117"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such Person and constitutes such Person’s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ind w:left="460" w:right="80" w:firstLine="443"/>
        <w:spacing w:after="0" w:line="277" w:lineRule="auto"/>
        <w:tabs>
          <w:tab w:leader="none" w:pos="1143"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approval, authorization or order of, or filing, registration or qualification with, any court or governmental authority or third party is required in connection with the execution, delivery or performance by such Person of this Amendment.</w:t>
      </w:r>
    </w:p>
    <w:p>
      <w:pPr>
        <w:spacing w:after="0" w:line="62" w:lineRule="exact"/>
        <w:rPr>
          <w:rFonts w:ascii="Arial" w:cs="Arial" w:eastAsia="Arial" w:hAnsi="Arial"/>
          <w:sz w:val="18"/>
          <w:szCs w:val="18"/>
          <w:color w:val="auto"/>
        </w:rPr>
      </w:pPr>
    </w:p>
    <w:p>
      <w:pPr>
        <w:ind w:left="460" w:right="20" w:firstLine="443"/>
        <w:spacing w:after="0" w:line="254"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and each other Loan Party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or any other Loan Document shall (i) with respect to representations and warranties that contain a materiality qualification, be true and correct (except to the extent such representations and warranties relate to an earlier date, in which case such representations and warranties shall be true and correct as of such earlier date) and (ii) with respect to representations and warranties that do not contain a materiality qualification, be true and correct in all material respects (except to the extent such representations and warranties relate to an earlier date, in which case such representations and warranties shall be true and correct in all material respects as of such earlier date), provided that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Credit Agreement shall be deemed to refer to the most recent statements furnished pursuant to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Credit Agreement, respectively.</w:t>
      </w:r>
    </w:p>
    <w:p>
      <w:pPr>
        <w:spacing w:after="0" w:line="84" w:lineRule="exact"/>
        <w:rPr>
          <w:rFonts w:ascii="Arial" w:cs="Arial" w:eastAsia="Arial" w:hAnsi="Arial"/>
          <w:sz w:val="18"/>
          <w:szCs w:val="18"/>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giving effect to this Amendment, no event has occurred and is continuing which constitutes a Default or an Event of Default.</w:t>
      </w:r>
    </w:p>
    <w:p>
      <w:pPr>
        <w:spacing w:after="0" w:line="117" w:lineRule="exact"/>
        <w:rPr>
          <w:rFonts w:ascii="Arial" w:cs="Arial" w:eastAsia="Arial" w:hAnsi="Arial"/>
          <w:sz w:val="18"/>
          <w:szCs w:val="18"/>
          <w:color w:val="auto"/>
        </w:rPr>
      </w:pPr>
    </w:p>
    <w:p>
      <w:pPr>
        <w:ind w:left="460" w:firstLine="443"/>
        <w:spacing w:after="0" w:line="264" w:lineRule="auto"/>
        <w:tabs>
          <w:tab w:leader="none" w:pos="112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Collateral Documents continue to create a valid security interest in, and Lien upon, the Collateral, in favor of the Administrative Agent, for the benefit of the Lenders, which security interests and Liens are perfected in accordance with the terms of the Collateral Documents and prior to all Liens other than Permitted Liens.</w:t>
      </w:r>
    </w:p>
    <w:p>
      <w:pPr>
        <w:spacing w:after="0" w:line="73"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Loans and other amounts payable by the Borrowers pursuant to the Credit Agreement are not reduced or modified by this Amendment and are not subject to any offsets, defenses or counterclaims.</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b w:val="1"/>
          <w:bCs w:val="1"/>
          <w:u w:val="single" w:color="auto"/>
          <w:color w:val="auto"/>
        </w:rPr>
        <w:t>Reaffirmation of Obligations</w:t>
      </w:r>
      <w:r>
        <w:rPr>
          <w:rFonts w:ascii="Arial" w:cs="Arial" w:eastAsia="Arial" w:hAnsi="Arial"/>
          <w:sz w:val="17"/>
          <w:szCs w:val="17"/>
          <w:b w:val="1"/>
          <w:bCs w:val="1"/>
          <w:color w:val="auto"/>
        </w:rPr>
        <w:t>.</w:t>
      </w:r>
      <w:r>
        <w:rPr>
          <w:rFonts w:ascii="Arial" w:cs="Arial" w:eastAsia="Arial" w:hAnsi="Arial"/>
          <w:sz w:val="17"/>
          <w:szCs w:val="17"/>
          <w:color w:val="auto"/>
        </w:rPr>
        <w:t xml:space="preserve"> Each Loan Party, as debtor, grantor, pledgor, shareholder, guarantor, assignor, or in any other similar capacity in which such Loan Party grants liens or security interests in its property or otherwise acts as accommodation party or guarantor, as the case may be under any of the Loan Documents, hereby ratifies and reaffirms (a) all of its payment and performance obligations, contingent or otherwise, under each of the Loan Documents to which it is a party (after giving effect hereto), (b) to the extent such Loan Party granted liens on or security interests in any of its property pursuant to any such Loan Document as security for or otherwise guaranteed the Obligations under or with respect to the Loan Documents, such guarantee and grant of security interests and liens and confirms and agrees that such security interests and liens hereafter secure all of the Obligations as amended hereby and (c) each of the Loan Documents (as amended hereby) to which such Loan Party is a party. Each Loan Party hereby consents, acknowledges and agrees to the terms and conditions contained in this Amendment and further confirms and acknowledges that each of the Loan Documents (as amended hereby) remains in full force and effect. Each Loan Party confirms and agrees that any security interests and guarantee referenced in clause (b) above hereafter secure all of the Obligations as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ind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by this Amendment. The execution of this Amendment shall not operate as a waiver of any right, power or remedy of the Administrative Agent or Lenders, constitute a waiver of any provision of any of the Loan Documents or serve to effect a novation of the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shall constitute a Loan Document under the terms of the Credit Agreement.</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w:t>
      </w:r>
      <w:r>
        <w:rPr>
          <w:rFonts w:ascii="Arial" w:cs="Arial" w:eastAsia="Arial" w:hAnsi="Arial"/>
          <w:sz w:val="18"/>
          <w:szCs w:val="18"/>
          <w:color w:val="auto"/>
        </w:rPr>
        <w:t xml:space="preserve"> The Loan Parties agree to promptly take such action, upon the request of the Administrative Agent, as is necessary to carry out the intent of this Amendment.</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b w:val="1"/>
          <w:bCs w:val="1"/>
          <w:u w:val="single" w:color="auto"/>
          <w:color w:val="auto"/>
        </w:rPr>
        <w:t>Entirety</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and the other Loan Documents embody the entire agreement among the parties hereto and supersede all prior agreements and understandings, oral or written, if any, relating to the subject matter hereof.</w:t>
      </w:r>
    </w:p>
    <w:p>
      <w:pPr>
        <w:spacing w:after="0" w:line="16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b w:val="1"/>
          <w:bCs w:val="1"/>
          <w:u w:val="single" w:color="auto"/>
          <w:color w:val="auto"/>
        </w:rPr>
        <w:t>Counterparts; Telecopy</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may be executed in any number of counterparts, each of which when so executed and delivered shall be an original, but all of which shall constitute one and the same instrument. Delivery of an executed counterpart of a signature page of this Amendment or any other document required to be delivered hereunder, by fax transmission or e-mail transmission (e.g. “pdf” or “tif”) shall be effective as delivery of a manually executed counterpart of this Amendment. Without limiting the foregoing, upon the request of any party, such fax transmission or e-mail transmission shall be promptly followed by such manually executed counterpart.</w:t>
      </w:r>
    </w:p>
    <w:p>
      <w:pPr>
        <w:spacing w:after="0" w:line="184"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b w:val="1"/>
          <w:bCs w:val="1"/>
          <w:u w:val="single" w:color="auto"/>
          <w:color w:val="auto"/>
        </w:rPr>
        <w:t>No Actions, Claims, Etc</w:t>
      </w:r>
      <w:r>
        <w:rPr>
          <w:rFonts w:ascii="Arial" w:cs="Arial" w:eastAsia="Arial" w:hAnsi="Arial"/>
          <w:sz w:val="17"/>
          <w:szCs w:val="17"/>
          <w:b w:val="1"/>
          <w:bCs w:val="1"/>
          <w:color w:val="auto"/>
        </w:rPr>
        <w:t>.</w:t>
      </w:r>
      <w:r>
        <w:rPr>
          <w:rFonts w:ascii="Arial" w:cs="Arial" w:eastAsia="Arial" w:hAnsi="Arial"/>
          <w:sz w:val="17"/>
          <w:szCs w:val="17"/>
          <w:color w:val="auto"/>
        </w:rPr>
        <w:t xml:space="preserve"> As of the date hereof, each of the Loan Parties hereby acknowledges and confirms that it has no knowledge of any actions, causes of action, claims, demands, damages and liabilities of whatever kind or nature, in law or in equity, against the Administrative Agent, the Lenders, or the Administrative Agent’s or the Lenders’ respective officers, employees, representatives, agents, counsel or directors arising from any action by such Persons, or failure of such Persons to act under the Credit Agreement on or prior to the date hereof.</w:t>
      </w:r>
    </w:p>
    <w:p>
      <w:pPr>
        <w:spacing w:after="0" w:line="16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GOVERNED BY, AND SHALL BE CONSTRUED AND ENFORCED IN</w:t>
      </w:r>
      <w:r>
        <w:rPr>
          <w:rFonts w:ascii="Arial" w:cs="Arial" w:eastAsia="Arial" w:hAnsi="Arial"/>
          <w:sz w:val="18"/>
          <w:szCs w:val="18"/>
          <w:color w:val="auto"/>
        </w:rPr>
        <w:t xml:space="preserve"> </w:t>
      </w:r>
      <w:r>
        <w:rPr>
          <w:rFonts w:ascii="Arial" w:cs="Arial" w:eastAsia="Arial" w:hAnsi="Arial"/>
          <w:sz w:val="18"/>
          <w:szCs w:val="18"/>
          <w:b w:val="1"/>
          <w:bCs w:val="1"/>
          <w:color w:val="auto"/>
        </w:rPr>
        <w:t>ACCORDANCE WITH THE LAWS OF THE STATE OF NEW YORK.</w:t>
      </w:r>
    </w:p>
    <w:p>
      <w:pPr>
        <w:spacing w:after="0" w:line="162" w:lineRule="exact"/>
        <w:rPr>
          <w:sz w:val="20"/>
          <w:szCs w:val="20"/>
          <w:color w:val="auto"/>
        </w:rPr>
      </w:pPr>
    </w:p>
    <w:p>
      <w:pPr>
        <w:ind w:right="620" w:firstLine="456"/>
        <w:spacing w:after="0" w:line="282"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shall be binding upon and inure to the benefit of the parties hereto and their respective successors and assigns.</w:t>
      </w:r>
    </w:p>
    <w:p>
      <w:pPr>
        <w:spacing w:after="0" w:line="162" w:lineRule="exact"/>
        <w:rPr>
          <w:sz w:val="20"/>
          <w:szCs w:val="20"/>
          <w:color w:val="auto"/>
        </w:rPr>
      </w:pPr>
    </w:p>
    <w:p>
      <w:pPr>
        <w:ind w:right="720" w:firstLine="456"/>
        <w:spacing w:after="0" w:line="313"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b w:val="1"/>
          <w:bCs w:val="1"/>
          <w:u w:val="single" w:color="auto"/>
          <w:color w:val="auto"/>
        </w:rPr>
        <w:t>Consent to Jurisdiction; Service of Process; Waiver of Jury Trial</w:t>
      </w:r>
      <w:r>
        <w:rPr>
          <w:rFonts w:ascii="Arial" w:cs="Arial" w:eastAsia="Arial" w:hAnsi="Arial"/>
          <w:sz w:val="17"/>
          <w:szCs w:val="17"/>
          <w:b w:val="1"/>
          <w:bCs w:val="1"/>
          <w:color w:val="auto"/>
        </w:rPr>
        <w:t>.</w:t>
      </w:r>
      <w:r>
        <w:rPr>
          <w:rFonts w:ascii="Arial" w:cs="Arial" w:eastAsia="Arial" w:hAnsi="Arial"/>
          <w:sz w:val="17"/>
          <w:szCs w:val="17"/>
          <w:color w:val="auto"/>
        </w:rPr>
        <w:t xml:space="preserve"> The jurisdiction, service of process and waiver of jury trial provisions set forth in </w:t>
      </w:r>
      <w:r>
        <w:rPr>
          <w:rFonts w:ascii="Arial" w:cs="Arial" w:eastAsia="Arial" w:hAnsi="Arial"/>
          <w:sz w:val="17"/>
          <w:szCs w:val="17"/>
          <w:u w:val="single" w:color="auto"/>
          <w:color w:val="auto"/>
        </w:rPr>
        <w:t>Sections 11.14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11.15</w:t>
      </w:r>
      <w:r>
        <w:rPr>
          <w:rFonts w:ascii="Arial" w:cs="Arial" w:eastAsia="Arial" w:hAnsi="Arial"/>
          <w:sz w:val="17"/>
          <w:szCs w:val="17"/>
          <w:color w:val="auto"/>
        </w:rPr>
        <w:t xml:space="preserve"> of the Credit Agreement are hereby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THE FOLLOWING PAGES]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Amendment to be duly executed as of the date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7460" w:type="dxa"/>
            <w:vAlign w:val="bottom"/>
            <w:gridSpan w:val="2"/>
          </w:tcPr>
          <w:p>
            <w:pPr>
              <w:ind w:left="1620"/>
              <w:spacing w:after="0"/>
              <w:rPr>
                <w:sz w:val="20"/>
                <w:szCs w:val="20"/>
                <w:color w:val="auto"/>
              </w:rPr>
            </w:pPr>
            <w:r>
              <w:rPr>
                <w:rFonts w:ascii="Arial" w:cs="Arial" w:eastAsia="Arial" w:hAnsi="Arial"/>
                <w:sz w:val="18"/>
                <w:szCs w:val="18"/>
                <w:color w:val="auto"/>
              </w:rPr>
              <w:t>FABRINET,</w:t>
            </w:r>
          </w:p>
        </w:tc>
      </w:tr>
      <w:tr>
        <w:trPr>
          <w:trHeight w:val="237"/>
        </w:trPr>
        <w:tc>
          <w:tcPr>
            <w:tcW w:w="92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460" w:type="dxa"/>
            <w:vAlign w:val="bottom"/>
            <w:gridSpan w:val="2"/>
          </w:tcPr>
          <w:p>
            <w:pPr>
              <w:ind w:left="1620"/>
              <w:spacing w:after="0"/>
              <w:rPr>
                <w:sz w:val="20"/>
                <w:szCs w:val="20"/>
                <w:color w:val="auto"/>
              </w:rPr>
            </w:pPr>
            <w:r>
              <w:rPr>
                <w:rFonts w:ascii="Arial" w:cs="Arial" w:eastAsia="Arial" w:hAnsi="Arial"/>
                <w:sz w:val="18"/>
                <w:szCs w:val="18"/>
                <w:color w:val="auto"/>
                <w:w w:val="93"/>
              </w:rPr>
              <w:t>an exempted company incorporated with limited liability in the Cayman Islands</w:t>
            </w:r>
          </w:p>
        </w:tc>
      </w:tr>
      <w:tr>
        <w:trPr>
          <w:trHeight w:val="432"/>
        </w:trPr>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40" w:type="dxa"/>
            <w:vAlign w:val="bottom"/>
          </w:tcPr>
          <w:p>
            <w:pPr>
              <w:ind w:left="19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Seamus Grady</w:t>
            </w:r>
          </w:p>
        </w:tc>
      </w:tr>
      <w:tr>
        <w:trPr>
          <w:trHeight w:val="195"/>
        </w:trPr>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340" w:type="dxa"/>
            <w:vAlign w:val="bottom"/>
          </w:tcPr>
          <w:p>
            <w:pPr>
              <w:ind w:left="186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Seamus Grady</w:t>
            </w:r>
          </w:p>
        </w:tc>
      </w:tr>
      <w:tr>
        <w:trPr>
          <w:trHeight w:val="230"/>
        </w:trPr>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40" w:type="dxa"/>
            <w:vAlign w:val="bottom"/>
          </w:tcPr>
          <w:p>
            <w:pPr>
              <w:ind w:left="18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CEO</w:t>
            </w:r>
          </w:p>
        </w:tc>
      </w:tr>
      <w:tr>
        <w:trPr>
          <w:trHeight w:val="635"/>
        </w:trPr>
        <w:tc>
          <w:tcPr>
            <w:tcW w:w="3960" w:type="dxa"/>
            <w:vAlign w:val="bottom"/>
            <w:gridSpan w:val="3"/>
          </w:tcPr>
          <w:p>
            <w:pPr>
              <w:spacing w:after="0"/>
              <w:rPr>
                <w:sz w:val="20"/>
                <w:szCs w:val="20"/>
                <w:color w:val="auto"/>
              </w:rPr>
            </w:pPr>
            <w:r>
              <w:rPr>
                <w:rFonts w:ascii="Arial" w:cs="Arial" w:eastAsia="Arial" w:hAnsi="Arial"/>
                <w:sz w:val="18"/>
                <w:szCs w:val="18"/>
                <w:color w:val="auto"/>
              </w:rPr>
              <w:t>DESIGNATED BORROWERS:</w:t>
            </w:r>
          </w:p>
        </w:tc>
        <w:tc>
          <w:tcPr>
            <w:tcW w:w="7460" w:type="dxa"/>
            <w:vAlign w:val="bottom"/>
            <w:gridSpan w:val="2"/>
          </w:tcPr>
          <w:p>
            <w:pPr>
              <w:ind w:left="1640"/>
              <w:spacing w:after="0"/>
              <w:rPr>
                <w:sz w:val="20"/>
                <w:szCs w:val="20"/>
                <w:color w:val="auto"/>
              </w:rPr>
            </w:pPr>
            <w:r>
              <w:rPr>
                <w:rFonts w:ascii="Arial" w:cs="Arial" w:eastAsia="Arial" w:hAnsi="Arial"/>
                <w:sz w:val="18"/>
                <w:szCs w:val="18"/>
                <w:color w:val="auto"/>
              </w:rPr>
              <w:t>FABRINET WEST, INC.,</w:t>
            </w:r>
          </w:p>
        </w:tc>
      </w:tr>
      <w:tr>
        <w:trPr>
          <w:trHeight w:val="237"/>
        </w:trPr>
        <w:tc>
          <w:tcPr>
            <w:tcW w:w="9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7460" w:type="dxa"/>
            <w:vAlign w:val="bottom"/>
            <w:gridSpan w:val="2"/>
          </w:tcPr>
          <w:p>
            <w:pPr>
              <w:ind w:left="1640"/>
              <w:spacing w:after="0"/>
              <w:rPr>
                <w:sz w:val="20"/>
                <w:szCs w:val="20"/>
                <w:color w:val="auto"/>
              </w:rPr>
            </w:pPr>
            <w:r>
              <w:rPr>
                <w:rFonts w:ascii="Arial" w:cs="Arial" w:eastAsia="Arial" w:hAnsi="Arial"/>
                <w:sz w:val="18"/>
                <w:szCs w:val="18"/>
                <w:color w:val="auto"/>
              </w:rPr>
              <w:t>a California corporation</w:t>
            </w:r>
          </w:p>
        </w:tc>
      </w:tr>
      <w:tr>
        <w:trPr>
          <w:trHeight w:val="432"/>
        </w:trPr>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40" w:type="dxa"/>
            <w:vAlign w:val="bottom"/>
          </w:tcPr>
          <w:p>
            <w:pPr>
              <w:ind w:left="19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Toh-Seng Ng</w:t>
            </w:r>
          </w:p>
        </w:tc>
      </w:tr>
      <w:tr>
        <w:trPr>
          <w:trHeight w:val="195"/>
        </w:trPr>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340" w:type="dxa"/>
            <w:vAlign w:val="bottom"/>
          </w:tcPr>
          <w:p>
            <w:pPr>
              <w:ind w:left="186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Toh-Seng Ng</w:t>
            </w:r>
          </w:p>
        </w:tc>
      </w:tr>
      <w:tr>
        <w:trPr>
          <w:trHeight w:val="230"/>
        </w:trPr>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40" w:type="dxa"/>
            <w:vAlign w:val="bottom"/>
          </w:tcPr>
          <w:p>
            <w:pPr>
              <w:ind w:left="18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CFO</w:t>
            </w:r>
          </w:p>
        </w:tc>
      </w:tr>
    </w:tbl>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FABRITEK, INC.,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California corporation</w:t>
      </w:r>
    </w:p>
    <w:p>
      <w:pPr>
        <w:spacing w:after="0" w:line="211"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tab/>
        <w:t>/s/ Toh-Seng Ng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Toh-Seng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CFO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AMENDMENT TO CREDIT AGREEMENT</w:t>
      </w:r>
    </w:p>
    <w:p>
      <w:pPr>
        <w:sectPr>
          <w:pgSz w:w="11900" w:h="16838" w:orient="portrait"/>
          <w:cols w:equalWidth="0" w:num="1">
            <w:col w:w="11420"/>
          </w:cols>
          <w:pgMar w:left="240" w:top="27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auto"/>
              </w:rPr>
              <w:t>GUARANTORS:</w:t>
            </w:r>
          </w:p>
        </w:tc>
        <w:tc>
          <w:tcPr>
            <w:tcW w:w="7980" w:type="dxa"/>
            <w:vAlign w:val="bottom"/>
            <w:gridSpan w:val="2"/>
          </w:tcPr>
          <w:p>
            <w:pPr>
              <w:ind w:left="2140"/>
              <w:spacing w:after="0"/>
              <w:rPr>
                <w:sz w:val="20"/>
                <w:szCs w:val="20"/>
                <w:color w:val="auto"/>
              </w:rPr>
            </w:pPr>
            <w:r>
              <w:rPr>
                <w:rFonts w:ascii="Arial" w:cs="Arial" w:eastAsia="Arial" w:hAnsi="Arial"/>
                <w:sz w:val="18"/>
                <w:szCs w:val="18"/>
                <w:color w:val="auto"/>
              </w:rPr>
              <w:t>FABRINET CO., LTD.</w:t>
            </w:r>
          </w:p>
        </w:tc>
      </w:tr>
      <w:tr>
        <w:trPr>
          <w:trHeight w:val="237"/>
        </w:trPr>
        <w:tc>
          <w:tcPr>
            <w:tcW w:w="1280" w:type="dxa"/>
            <w:vAlign w:val="bottom"/>
            <w:tcBorders>
              <w:top w:val="single" w:sz="8" w:color="auto"/>
            </w:tcBorders>
          </w:tcPr>
          <w:p>
            <w:pPr>
              <w:spacing w:after="0"/>
              <w:rPr>
                <w:sz w:val="20"/>
                <w:szCs w:val="20"/>
                <w:color w:val="auto"/>
              </w:rPr>
            </w:pPr>
          </w:p>
        </w:tc>
        <w:tc>
          <w:tcPr>
            <w:tcW w:w="2160" w:type="dxa"/>
            <w:vAlign w:val="bottom"/>
          </w:tcPr>
          <w:p>
            <w:pPr>
              <w:spacing w:after="0"/>
              <w:rPr>
                <w:sz w:val="20"/>
                <w:szCs w:val="20"/>
                <w:color w:val="auto"/>
              </w:rPr>
            </w:pPr>
          </w:p>
        </w:tc>
        <w:tc>
          <w:tcPr>
            <w:tcW w:w="7980" w:type="dxa"/>
            <w:vAlign w:val="bottom"/>
            <w:gridSpan w:val="2"/>
          </w:tcPr>
          <w:p>
            <w:pPr>
              <w:ind w:left="2140"/>
              <w:spacing w:after="0"/>
              <w:rPr>
                <w:sz w:val="20"/>
                <w:szCs w:val="20"/>
                <w:color w:val="auto"/>
              </w:rPr>
            </w:pPr>
            <w:r>
              <w:rPr>
                <w:rFonts w:ascii="Arial" w:cs="Arial" w:eastAsia="Arial" w:hAnsi="Arial"/>
                <w:sz w:val="18"/>
                <w:szCs w:val="18"/>
                <w:color w:val="auto"/>
              </w:rPr>
              <w:t>a limited liability company incorporated under the laws of Thailand</w:t>
            </w:r>
          </w:p>
        </w:tc>
      </w:tr>
      <w:tr>
        <w:trPr>
          <w:trHeight w:val="432"/>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60" w:type="dxa"/>
            <w:vAlign w:val="bottom"/>
          </w:tcPr>
          <w:p>
            <w:pPr>
              <w:ind w:left="24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Toh-Seng Ng</w:t>
            </w:r>
          </w:p>
        </w:tc>
      </w:tr>
      <w:tr>
        <w:trPr>
          <w:trHeight w:val="195"/>
        </w:trPr>
        <w:tc>
          <w:tcPr>
            <w:tcW w:w="12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60" w:type="dxa"/>
            <w:vAlign w:val="bottom"/>
          </w:tcPr>
          <w:p>
            <w:pPr>
              <w:ind w:left="238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Toh-Seng Ng</w:t>
            </w:r>
          </w:p>
        </w:tc>
      </w:tr>
      <w:tr>
        <w:trPr>
          <w:trHeight w:val="230"/>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60" w:type="dxa"/>
            <w:vAlign w:val="bottom"/>
          </w:tcPr>
          <w:p>
            <w:pPr>
              <w:ind w:left="23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CFO</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FABRINET CHINA HOLDINGS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limited liability company incorporated under the laws of Mauritius</w:t>
      </w:r>
    </w:p>
    <w:p>
      <w:pPr>
        <w:spacing w:after="0" w:line="211"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tab/>
        <w:t>/s/ Toh-Seng Ng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Toh-Seng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CFO</w:t>
      </w: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FABRINET USA, INC.,</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 California corporation</w:t>
      </w:r>
    </w:p>
    <w:p>
      <w:pPr>
        <w:spacing w:after="0" w:line="224"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tab/>
        <w:t>/s/ Toh-Seng Ng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Toh-Seng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CFO</w:t>
      </w: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FBN NEW JERSEY MANUFACTURING, INC.,</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tab/>
        <w:t>/s/ Toh-Seng Ng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Toh-Seng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CFO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AMENDMENT TO CREDIT AGREEMENT</w:t>
      </w:r>
    </w:p>
    <w:p>
      <w:pPr>
        <w:sectPr>
          <w:pgSz w:w="11900" w:h="16838" w:orient="portrait"/>
          <w:cols w:equalWidth="0" w:num="1">
            <w:col w:w="11420"/>
          </w:cols>
          <w:pgMar w:left="240" w:top="257" w:right="239" w:bottom="1440" w:gutter="0" w:footer="0" w:header="0"/>
        </w:sectPr>
      </w:pPr>
    </w:p>
    <w:bookmarkStart w:id="11" w:name="page12"/>
    <w:bookmarkEnd w:id="1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tab/>
        <w:t>/s/ Ronaldo Naval</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Ronaldo Naval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-130810</wp:posOffset>
            </wp:positionV>
            <wp:extent cx="25812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FIFTH AMENDMENT TO CREDIT AGREEMENT</w:t>
      </w:r>
    </w:p>
    <w:p>
      <w:pPr>
        <w:sectPr>
          <w:pgSz w:w="11900" w:h="16838" w:orient="portrait"/>
          <w:cols w:equalWidth="0" w:num="1">
            <w:col w:w="9019"/>
          </w:cols>
          <w:pgMar w:left="1440" w:top="274" w:right="1440" w:bottom="1440" w:gutter="0" w:footer="0" w:header="0"/>
        </w:sectPr>
      </w:pPr>
    </w:p>
    <w:bookmarkStart w:id="12" w:name="page13"/>
    <w:bookmarkEnd w:id="1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tab/>
        <w:t>/s/ Ronaldo Naval</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Ronaldo Naval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-130810</wp:posOffset>
            </wp:positionV>
            <wp:extent cx="25812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FIFTH AMENDMENT TO CREDIT AGREEMENT</w:t>
      </w:r>
    </w:p>
    <w:p>
      <w:pPr>
        <w:sectPr>
          <w:pgSz w:w="11900" w:h="16838" w:orient="portrait"/>
          <w:cols w:equalWidth="0" w:num="1">
            <w:col w:w="9019"/>
          </w:cols>
          <w:pgMar w:left="1440" w:top="274" w:right="1440"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Amended Credit Agreement</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14" w:name="page15"/>
    <w:bookmarkEnd w:id="14"/>
    <w:p>
      <w:pPr>
        <w:jc w:val="right"/>
        <w:ind w:left="4940"/>
        <w:spacing w:after="0" w:line="402"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CONFORMED THROUGH FOURTH AMENDMENT (JULY 22, 2016) </w:t>
      </w:r>
      <w:r>
        <w:rPr>
          <w:rFonts w:ascii="Arial" w:cs="Arial" w:eastAsia="Arial" w:hAnsi="Arial"/>
          <w:sz w:val="18"/>
          <w:szCs w:val="18"/>
          <w:u w:val="single" w:color="auto"/>
          <w:color w:val="auto"/>
          <w:strike w:val="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G3323MAA6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22, 2014</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FABRINET,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Company,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CERTAIN SUBSIDIARIES OF THE COMPANY,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Designated Borrowers,</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CERTAIN SUBSIDIARIES OF THE COMPANY PARTY HERETO,</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Guarantors,</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strike w:val="1"/>
        </w:rPr>
        <w:t>BANK OF AMERICA MERRILL LYNCH,</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strike w:val="1"/>
        </w:rPr>
        <w:t>as Sole Lead Arranger and Sole Bookrunner</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strike w:val="1"/>
        </w:rPr>
        <w:t>HSBC BANK USA, N.A.</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strike w:val="1"/>
        </w:rPr>
        <w:t>as Syndication Agent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strike w:val="1"/>
        </w:rPr>
        <w:t>SUNTRUST BANK and SILICON VALLEY BANK</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strike w:val="1"/>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10620" w:type="dxa"/>
            <w:vAlign w:val="bottom"/>
          </w:tcPr>
          <w:p>
            <w:pPr>
              <w:ind w:left="4420"/>
              <w:spacing w:after="0"/>
              <w:rPr>
                <w:sz w:val="20"/>
                <w:szCs w:val="20"/>
                <w:color w:val="auto"/>
              </w:rPr>
            </w:pPr>
            <w:r>
              <w:rPr>
                <w:rFonts w:ascii="Arial" w:cs="Arial" w:eastAsia="Arial" w:hAnsi="Arial"/>
                <w:sz w:val="18"/>
                <w:szCs w:val="18"/>
                <w:color w:val="auto"/>
              </w:rPr>
              <w:t>TABLE OF CONTENTS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77"/>
        </w:trPr>
        <w:tc>
          <w:tcPr>
            <w:tcW w:w="380" w:type="dxa"/>
            <w:vAlign w:val="bottom"/>
          </w:tcPr>
          <w:p>
            <w:pPr>
              <w:spacing w:after="0"/>
              <w:rPr>
                <w:sz w:val="24"/>
                <w:szCs w:val="24"/>
                <w:color w:val="auto"/>
              </w:rPr>
            </w:pPr>
          </w:p>
        </w:tc>
        <w:tc>
          <w:tcPr>
            <w:tcW w:w="1062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color w:val="auto"/>
                <w:w w:val="97"/>
              </w:rPr>
              <w:t>Page</w:t>
            </w:r>
          </w:p>
        </w:tc>
      </w:tr>
      <w:tr>
        <w:trPr>
          <w:trHeight w:val="230"/>
        </w:trPr>
        <w:tc>
          <w:tcPr>
            <w:tcW w:w="11000" w:type="dxa"/>
            <w:vAlign w:val="bottom"/>
            <w:gridSpan w:val="2"/>
          </w:tcPr>
          <w:p>
            <w:pPr>
              <w:spacing w:after="0"/>
              <w:rPr>
                <w:sz w:val="20"/>
                <w:szCs w:val="20"/>
                <w:color w:val="auto"/>
              </w:rPr>
            </w:pPr>
            <w:r>
              <w:rPr>
                <w:rFonts w:ascii="Arial" w:cs="Arial" w:eastAsia="Arial" w:hAnsi="Arial"/>
                <w:sz w:val="18"/>
                <w:szCs w:val="18"/>
                <w:color w:val="auto"/>
              </w:rPr>
              <w:t>ARTICLE I DEFINITIONS AND ACCOUNTING TERMS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10620" w:type="dxa"/>
            <w:vAlign w:val="bottom"/>
          </w:tcPr>
          <w:p>
            <w:pPr>
              <w:ind w:left="40"/>
              <w:spacing w:after="0"/>
              <w:rPr>
                <w:sz w:val="20"/>
                <w:szCs w:val="20"/>
                <w:color w:val="auto"/>
              </w:rPr>
            </w:pPr>
            <w:r>
              <w:rPr>
                <w:rFonts w:ascii="Arial" w:cs="Arial" w:eastAsia="Arial" w:hAnsi="Arial"/>
                <w:sz w:val="18"/>
                <w:szCs w:val="18"/>
                <w:color w:val="auto"/>
              </w:rPr>
              <w:t>Defined Terms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1.02</w:t>
            </w:r>
          </w:p>
        </w:tc>
        <w:tc>
          <w:tcPr>
            <w:tcW w:w="10620" w:type="dxa"/>
            <w:vAlign w:val="bottom"/>
          </w:tcPr>
          <w:p>
            <w:pPr>
              <w:ind w:left="40"/>
              <w:spacing w:after="0"/>
              <w:rPr>
                <w:sz w:val="20"/>
                <w:szCs w:val="20"/>
                <w:color w:val="auto"/>
              </w:rPr>
            </w:pPr>
            <w:r>
              <w:rPr>
                <w:rFonts w:ascii="Arial" w:cs="Arial" w:eastAsia="Arial" w:hAnsi="Arial"/>
                <w:sz w:val="18"/>
                <w:szCs w:val="18"/>
                <w:color w:val="auto"/>
              </w:rPr>
              <w:t>Other Interpretive Provisions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32</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1.03</w:t>
            </w:r>
          </w:p>
        </w:tc>
        <w:tc>
          <w:tcPr>
            <w:tcW w:w="10620" w:type="dxa"/>
            <w:vAlign w:val="bottom"/>
          </w:tcPr>
          <w:p>
            <w:pPr>
              <w:ind w:left="40"/>
              <w:spacing w:after="0"/>
              <w:rPr>
                <w:sz w:val="20"/>
                <w:szCs w:val="20"/>
                <w:color w:val="auto"/>
              </w:rPr>
            </w:pPr>
            <w:r>
              <w:rPr>
                <w:rFonts w:ascii="Arial" w:cs="Arial" w:eastAsia="Arial" w:hAnsi="Arial"/>
                <w:sz w:val="18"/>
                <w:szCs w:val="18"/>
                <w:color w:val="auto"/>
              </w:rPr>
              <w:t>Accounting Terms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33</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10620" w:type="dxa"/>
            <w:vAlign w:val="bottom"/>
          </w:tcPr>
          <w:p>
            <w:pPr>
              <w:ind w:left="40"/>
              <w:spacing w:after="0"/>
              <w:rPr>
                <w:sz w:val="20"/>
                <w:szCs w:val="20"/>
                <w:color w:val="auto"/>
              </w:rPr>
            </w:pPr>
            <w:r>
              <w:rPr>
                <w:rFonts w:ascii="Arial" w:cs="Arial" w:eastAsia="Arial" w:hAnsi="Arial"/>
                <w:sz w:val="18"/>
                <w:szCs w:val="18"/>
                <w:color w:val="auto"/>
              </w:rPr>
              <w:t>Rounding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1.05</w:t>
            </w:r>
          </w:p>
        </w:tc>
        <w:tc>
          <w:tcPr>
            <w:tcW w:w="10620" w:type="dxa"/>
            <w:vAlign w:val="bottom"/>
          </w:tcPr>
          <w:p>
            <w:pPr>
              <w:ind w:left="40"/>
              <w:spacing w:after="0"/>
              <w:rPr>
                <w:sz w:val="20"/>
                <w:szCs w:val="20"/>
                <w:color w:val="auto"/>
              </w:rPr>
            </w:pPr>
            <w:r>
              <w:rPr>
                <w:rFonts w:ascii="Arial" w:cs="Arial" w:eastAsia="Arial" w:hAnsi="Arial"/>
                <w:sz w:val="18"/>
                <w:szCs w:val="18"/>
                <w:color w:val="auto"/>
              </w:rPr>
              <w:t>Times of Day</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34</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1.06</w:t>
            </w:r>
          </w:p>
        </w:tc>
        <w:tc>
          <w:tcPr>
            <w:tcW w:w="10620" w:type="dxa"/>
            <w:vAlign w:val="bottom"/>
          </w:tcPr>
          <w:p>
            <w:pPr>
              <w:ind w:left="40"/>
              <w:spacing w:after="0"/>
              <w:rPr>
                <w:sz w:val="20"/>
                <w:szCs w:val="20"/>
                <w:color w:val="auto"/>
              </w:rPr>
            </w:pPr>
            <w:r>
              <w:rPr>
                <w:rFonts w:ascii="Arial" w:cs="Arial" w:eastAsia="Arial" w:hAnsi="Arial"/>
                <w:sz w:val="18"/>
                <w:szCs w:val="18"/>
                <w:color w:val="auto"/>
              </w:rPr>
              <w:t>UCC Terms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34</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1.07</w:t>
            </w:r>
          </w:p>
        </w:tc>
        <w:tc>
          <w:tcPr>
            <w:tcW w:w="10620" w:type="dxa"/>
            <w:vAlign w:val="bottom"/>
          </w:tcPr>
          <w:p>
            <w:pPr>
              <w:ind w:left="40"/>
              <w:spacing w:after="0"/>
              <w:rPr>
                <w:sz w:val="20"/>
                <w:szCs w:val="20"/>
                <w:color w:val="auto"/>
              </w:rPr>
            </w:pPr>
            <w:r>
              <w:rPr>
                <w:rFonts w:ascii="Arial" w:cs="Arial" w:eastAsia="Arial" w:hAnsi="Arial"/>
                <w:sz w:val="18"/>
                <w:szCs w:val="18"/>
                <w:color w:val="auto"/>
              </w:rPr>
              <w:t>Rates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34</w:t>
            </w:r>
          </w:p>
        </w:tc>
      </w:tr>
      <w:tr>
        <w:trPr>
          <w:trHeight w:val="304"/>
        </w:trPr>
        <w:tc>
          <w:tcPr>
            <w:tcW w:w="11000" w:type="dxa"/>
            <w:vAlign w:val="bottom"/>
            <w:gridSpan w:val="2"/>
          </w:tcPr>
          <w:p>
            <w:pPr>
              <w:spacing w:after="0"/>
              <w:rPr>
                <w:sz w:val="20"/>
                <w:szCs w:val="20"/>
                <w:color w:val="auto"/>
              </w:rPr>
            </w:pPr>
            <w:r>
              <w:rPr>
                <w:rFonts w:ascii="Arial" w:cs="Arial" w:eastAsia="Arial" w:hAnsi="Arial"/>
                <w:sz w:val="18"/>
                <w:szCs w:val="18"/>
                <w:color w:val="auto"/>
              </w:rPr>
              <w:t>ARTICLE II COMMITMENTS AND CREDIT EXTENSIONS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34</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2.01</w:t>
            </w:r>
          </w:p>
        </w:tc>
        <w:tc>
          <w:tcPr>
            <w:tcW w:w="10620" w:type="dxa"/>
            <w:vAlign w:val="bottom"/>
          </w:tcPr>
          <w:p>
            <w:pPr>
              <w:ind w:left="40"/>
              <w:spacing w:after="0"/>
              <w:rPr>
                <w:sz w:val="20"/>
                <w:szCs w:val="20"/>
                <w:color w:val="auto"/>
              </w:rPr>
            </w:pPr>
            <w:r>
              <w:rPr>
                <w:rFonts w:ascii="Arial" w:cs="Arial" w:eastAsia="Arial" w:hAnsi="Arial"/>
                <w:sz w:val="18"/>
                <w:szCs w:val="18"/>
                <w:color w:val="auto"/>
              </w:rPr>
              <w:t>Loans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34</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2.02</w:t>
            </w:r>
          </w:p>
        </w:tc>
        <w:tc>
          <w:tcPr>
            <w:tcW w:w="10620" w:type="dxa"/>
            <w:vAlign w:val="bottom"/>
          </w:tcPr>
          <w:p>
            <w:pPr>
              <w:ind w:left="40"/>
              <w:spacing w:after="0"/>
              <w:rPr>
                <w:sz w:val="20"/>
                <w:szCs w:val="20"/>
                <w:color w:val="auto"/>
              </w:rPr>
            </w:pPr>
            <w:r>
              <w:rPr>
                <w:rFonts w:ascii="Arial" w:cs="Arial" w:eastAsia="Arial" w:hAnsi="Arial"/>
                <w:sz w:val="18"/>
                <w:szCs w:val="18"/>
                <w:color w:val="auto"/>
              </w:rPr>
              <w:t>Credit Extensions, Conversions and Continuations of Loans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2.03</w:t>
            </w:r>
          </w:p>
        </w:tc>
        <w:tc>
          <w:tcPr>
            <w:tcW w:w="10620" w:type="dxa"/>
            <w:vAlign w:val="bottom"/>
          </w:tcPr>
          <w:p>
            <w:pPr>
              <w:ind w:left="40"/>
              <w:spacing w:after="0"/>
              <w:rPr>
                <w:sz w:val="20"/>
                <w:szCs w:val="20"/>
                <w:color w:val="auto"/>
              </w:rPr>
            </w:pPr>
            <w:r>
              <w:rPr>
                <w:rFonts w:ascii="Arial" w:cs="Arial" w:eastAsia="Arial" w:hAnsi="Arial"/>
                <w:sz w:val="18"/>
                <w:szCs w:val="18"/>
                <w:color w:val="auto"/>
              </w:rPr>
              <w:t>Prepayments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36</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2.04</w:t>
            </w:r>
          </w:p>
        </w:tc>
        <w:tc>
          <w:tcPr>
            <w:tcW w:w="10620" w:type="dxa"/>
            <w:vAlign w:val="bottom"/>
          </w:tcPr>
          <w:p>
            <w:pPr>
              <w:ind w:left="40"/>
              <w:spacing w:after="0"/>
              <w:rPr>
                <w:sz w:val="20"/>
                <w:szCs w:val="20"/>
                <w:color w:val="auto"/>
              </w:rPr>
            </w:pPr>
            <w:r>
              <w:rPr>
                <w:rFonts w:ascii="Arial" w:cs="Arial" w:eastAsia="Arial" w:hAnsi="Arial"/>
                <w:sz w:val="18"/>
                <w:szCs w:val="18"/>
                <w:color w:val="auto"/>
              </w:rPr>
              <w:t>Termination or Reduction of Commitments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37</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2.05</w:t>
            </w:r>
          </w:p>
        </w:tc>
        <w:tc>
          <w:tcPr>
            <w:tcW w:w="10620" w:type="dxa"/>
            <w:vAlign w:val="bottom"/>
          </w:tcPr>
          <w:p>
            <w:pPr>
              <w:ind w:left="40"/>
              <w:spacing w:after="0"/>
              <w:rPr>
                <w:sz w:val="20"/>
                <w:szCs w:val="20"/>
                <w:color w:val="auto"/>
              </w:rPr>
            </w:pPr>
            <w:r>
              <w:rPr>
                <w:rFonts w:ascii="Arial" w:cs="Arial" w:eastAsia="Arial" w:hAnsi="Arial"/>
                <w:sz w:val="18"/>
                <w:szCs w:val="18"/>
                <w:color w:val="auto"/>
              </w:rPr>
              <w:t>Repayment of Loans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37</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2.06</w:t>
            </w:r>
          </w:p>
        </w:tc>
        <w:tc>
          <w:tcPr>
            <w:tcW w:w="10620" w:type="dxa"/>
            <w:vAlign w:val="bottom"/>
          </w:tcPr>
          <w:p>
            <w:pPr>
              <w:ind w:left="40"/>
              <w:spacing w:after="0"/>
              <w:rPr>
                <w:sz w:val="20"/>
                <w:szCs w:val="20"/>
                <w:color w:val="auto"/>
              </w:rPr>
            </w:pPr>
            <w:r>
              <w:rPr>
                <w:rFonts w:ascii="Arial" w:cs="Arial" w:eastAsia="Arial" w:hAnsi="Arial"/>
                <w:sz w:val="18"/>
                <w:szCs w:val="18"/>
                <w:color w:val="auto"/>
              </w:rPr>
              <w:t>Interest and Default Rate</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38</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2.07</w:t>
            </w:r>
          </w:p>
        </w:tc>
        <w:tc>
          <w:tcPr>
            <w:tcW w:w="10620" w:type="dxa"/>
            <w:vAlign w:val="bottom"/>
          </w:tcPr>
          <w:p>
            <w:pPr>
              <w:ind w:left="40"/>
              <w:spacing w:after="0"/>
              <w:rPr>
                <w:sz w:val="20"/>
                <w:szCs w:val="20"/>
                <w:color w:val="auto"/>
              </w:rPr>
            </w:pPr>
            <w:r>
              <w:rPr>
                <w:rFonts w:ascii="Arial" w:cs="Arial" w:eastAsia="Arial" w:hAnsi="Arial"/>
                <w:sz w:val="18"/>
                <w:szCs w:val="18"/>
                <w:color w:val="auto"/>
              </w:rPr>
              <w:t>Fees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39</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2.08</w:t>
            </w:r>
          </w:p>
        </w:tc>
        <w:tc>
          <w:tcPr>
            <w:tcW w:w="10620" w:type="dxa"/>
            <w:vAlign w:val="bottom"/>
          </w:tcPr>
          <w:p>
            <w:pPr>
              <w:ind w:left="4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2.09</w:t>
            </w:r>
          </w:p>
        </w:tc>
        <w:tc>
          <w:tcPr>
            <w:tcW w:w="10620" w:type="dxa"/>
            <w:vAlign w:val="bottom"/>
          </w:tcPr>
          <w:p>
            <w:pPr>
              <w:ind w:left="40"/>
              <w:spacing w:after="0"/>
              <w:rPr>
                <w:sz w:val="20"/>
                <w:szCs w:val="20"/>
                <w:color w:val="auto"/>
              </w:rPr>
            </w:pPr>
            <w:r>
              <w:rPr>
                <w:rFonts w:ascii="Arial" w:cs="Arial" w:eastAsia="Arial" w:hAnsi="Arial"/>
                <w:sz w:val="18"/>
                <w:szCs w:val="18"/>
                <w:color w:val="auto"/>
              </w:rPr>
              <w:t>Evidence of Debt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2.10</w:t>
            </w:r>
          </w:p>
        </w:tc>
        <w:tc>
          <w:tcPr>
            <w:tcW w:w="10620" w:type="dxa"/>
            <w:vAlign w:val="bottom"/>
          </w:tcPr>
          <w:p>
            <w:pPr>
              <w:ind w:left="40"/>
              <w:spacing w:after="0"/>
              <w:rPr>
                <w:sz w:val="20"/>
                <w:szCs w:val="20"/>
                <w:color w:val="auto"/>
              </w:rPr>
            </w:pPr>
            <w:r>
              <w:rPr>
                <w:rFonts w:ascii="Arial" w:cs="Arial" w:eastAsia="Arial" w:hAnsi="Arial"/>
                <w:sz w:val="18"/>
                <w:szCs w:val="18"/>
                <w:color w:val="auto"/>
              </w:rPr>
              <w:t>Payments Generally; Administrative Agent’s Clawback</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11000" w:type="dxa"/>
            <w:vAlign w:val="bottom"/>
            <w:gridSpan w:val="2"/>
          </w:tcPr>
          <w:p>
            <w:pPr>
              <w:spacing w:after="0"/>
              <w:rPr>
                <w:sz w:val="20"/>
                <w:szCs w:val="20"/>
                <w:color w:val="auto"/>
              </w:rPr>
            </w:pPr>
            <w:r>
              <w:rPr>
                <w:rFonts w:ascii="Arial" w:cs="Arial" w:eastAsia="Arial" w:hAnsi="Arial"/>
                <w:sz w:val="18"/>
                <w:szCs w:val="18"/>
                <w:color w:val="auto"/>
              </w:rPr>
              <w:t>2.11 Sharing of Payments by Lenders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42</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2.12</w:t>
            </w:r>
          </w:p>
        </w:tc>
        <w:tc>
          <w:tcPr>
            <w:tcW w:w="10620" w:type="dxa"/>
            <w:vAlign w:val="bottom"/>
          </w:tcPr>
          <w:p>
            <w:pPr>
              <w:ind w:left="40"/>
              <w:spacing w:after="0"/>
              <w:rPr>
                <w:sz w:val="20"/>
                <w:szCs w:val="20"/>
                <w:color w:val="auto"/>
              </w:rPr>
            </w:pPr>
            <w:r>
              <w:rPr>
                <w:rFonts w:ascii="Arial" w:cs="Arial" w:eastAsia="Arial" w:hAnsi="Arial"/>
                <w:sz w:val="18"/>
                <w:szCs w:val="18"/>
                <w:color w:val="auto"/>
              </w:rPr>
              <w:t>Defaulting Lenders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2.13</w:t>
            </w:r>
          </w:p>
        </w:tc>
        <w:tc>
          <w:tcPr>
            <w:tcW w:w="10620" w:type="dxa"/>
            <w:vAlign w:val="bottom"/>
          </w:tcPr>
          <w:p>
            <w:pPr>
              <w:ind w:left="40"/>
              <w:spacing w:after="0"/>
              <w:rPr>
                <w:sz w:val="20"/>
                <w:szCs w:val="20"/>
                <w:color w:val="auto"/>
              </w:rPr>
            </w:pPr>
            <w:r>
              <w:rPr>
                <w:rFonts w:ascii="Arial" w:cs="Arial" w:eastAsia="Arial" w:hAnsi="Arial"/>
                <w:sz w:val="18"/>
                <w:szCs w:val="18"/>
                <w:color w:val="auto"/>
              </w:rPr>
              <w:t>Designated Lenders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2.14</w:t>
            </w:r>
          </w:p>
        </w:tc>
        <w:tc>
          <w:tcPr>
            <w:tcW w:w="10620" w:type="dxa"/>
            <w:vAlign w:val="bottom"/>
          </w:tcPr>
          <w:p>
            <w:pPr>
              <w:ind w:left="40"/>
              <w:spacing w:after="0"/>
              <w:rPr>
                <w:sz w:val="20"/>
                <w:szCs w:val="20"/>
                <w:color w:val="auto"/>
              </w:rPr>
            </w:pPr>
            <w:r>
              <w:rPr>
                <w:rFonts w:ascii="Arial" w:cs="Arial" w:eastAsia="Arial" w:hAnsi="Arial"/>
                <w:sz w:val="18"/>
                <w:szCs w:val="18"/>
                <w:color w:val="auto"/>
              </w:rPr>
              <w:t>Increase in Revolving Facility</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44</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2.15</w:t>
            </w:r>
          </w:p>
        </w:tc>
        <w:tc>
          <w:tcPr>
            <w:tcW w:w="10620" w:type="dxa"/>
            <w:vAlign w:val="bottom"/>
          </w:tcPr>
          <w:p>
            <w:pPr>
              <w:ind w:left="40"/>
              <w:spacing w:after="0"/>
              <w:rPr>
                <w:sz w:val="20"/>
                <w:szCs w:val="20"/>
                <w:color w:val="auto"/>
              </w:rPr>
            </w:pPr>
            <w:r>
              <w:rPr>
                <w:rFonts w:ascii="Arial" w:cs="Arial" w:eastAsia="Arial" w:hAnsi="Arial"/>
                <w:sz w:val="18"/>
                <w:szCs w:val="18"/>
                <w:color w:val="auto"/>
              </w:rPr>
              <w:t>Designated Borrowers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84"/>
        </w:trPr>
        <w:tc>
          <w:tcPr>
            <w:tcW w:w="11000" w:type="dxa"/>
            <w:vAlign w:val="bottom"/>
            <w:gridSpan w:val="2"/>
          </w:tcPr>
          <w:p>
            <w:pPr>
              <w:spacing w:after="0"/>
              <w:rPr>
                <w:sz w:val="20"/>
                <w:szCs w:val="20"/>
                <w:color w:val="auto"/>
              </w:rPr>
            </w:pPr>
            <w:r>
              <w:rPr>
                <w:rFonts w:ascii="Arial" w:cs="Arial" w:eastAsia="Arial" w:hAnsi="Arial"/>
                <w:sz w:val="18"/>
                <w:szCs w:val="18"/>
                <w:color w:val="auto"/>
              </w:rPr>
              <w:t>ARTICLE III TAXES, YIELD PROTECTION AND ILLEGALITY</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46</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3.01</w:t>
            </w:r>
          </w:p>
        </w:tc>
        <w:tc>
          <w:tcPr>
            <w:tcW w:w="10620" w:type="dxa"/>
            <w:vAlign w:val="bottom"/>
          </w:tcPr>
          <w:p>
            <w:pPr>
              <w:ind w:left="4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46</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3.02</w:t>
            </w:r>
          </w:p>
        </w:tc>
        <w:tc>
          <w:tcPr>
            <w:tcW w:w="10620" w:type="dxa"/>
            <w:vAlign w:val="bottom"/>
          </w:tcPr>
          <w:p>
            <w:pPr>
              <w:ind w:left="40"/>
              <w:spacing w:after="0"/>
              <w:rPr>
                <w:sz w:val="20"/>
                <w:szCs w:val="20"/>
                <w:color w:val="auto"/>
              </w:rPr>
            </w:pPr>
            <w:r>
              <w:rPr>
                <w:rFonts w:ascii="Arial" w:cs="Arial" w:eastAsia="Arial" w:hAnsi="Arial"/>
                <w:sz w:val="18"/>
                <w:szCs w:val="18"/>
                <w:color w:val="auto"/>
              </w:rPr>
              <w:t>Illegality and Designated Lenders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3.03</w:t>
            </w:r>
          </w:p>
        </w:tc>
        <w:tc>
          <w:tcPr>
            <w:tcW w:w="10620" w:type="dxa"/>
            <w:vAlign w:val="bottom"/>
          </w:tcPr>
          <w:p>
            <w:pPr>
              <w:ind w:left="40"/>
              <w:spacing w:after="0"/>
              <w:rPr>
                <w:sz w:val="20"/>
                <w:szCs w:val="20"/>
                <w:color w:val="auto"/>
              </w:rPr>
            </w:pPr>
            <w:r>
              <w:rPr>
                <w:rFonts w:ascii="Arial" w:cs="Arial" w:eastAsia="Arial" w:hAnsi="Arial"/>
                <w:sz w:val="18"/>
                <w:szCs w:val="18"/>
                <w:color w:val="auto"/>
              </w:rPr>
              <w:t>Inability to Determine Rates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50</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3.04</w:t>
            </w:r>
          </w:p>
        </w:tc>
        <w:tc>
          <w:tcPr>
            <w:tcW w:w="10620" w:type="dxa"/>
            <w:vAlign w:val="bottom"/>
          </w:tcPr>
          <w:p>
            <w:pPr>
              <w:ind w:left="40"/>
              <w:spacing w:after="0"/>
              <w:rPr>
                <w:sz w:val="20"/>
                <w:szCs w:val="20"/>
                <w:color w:val="auto"/>
              </w:rPr>
            </w:pPr>
            <w:r>
              <w:rPr>
                <w:rFonts w:ascii="Arial" w:cs="Arial" w:eastAsia="Arial" w:hAnsi="Arial"/>
                <w:sz w:val="18"/>
                <w:szCs w:val="18"/>
                <w:color w:val="auto"/>
              </w:rPr>
              <w:t>Increased Costs; Reserves on Eurodollar Rate Loans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3.05</w:t>
            </w:r>
          </w:p>
        </w:tc>
        <w:tc>
          <w:tcPr>
            <w:tcW w:w="10620" w:type="dxa"/>
            <w:vAlign w:val="bottom"/>
          </w:tcPr>
          <w:p>
            <w:pPr>
              <w:ind w:left="40"/>
              <w:spacing w:after="0"/>
              <w:rPr>
                <w:sz w:val="20"/>
                <w:szCs w:val="20"/>
                <w:color w:val="auto"/>
              </w:rPr>
            </w:pPr>
            <w:r>
              <w:rPr>
                <w:rFonts w:ascii="Arial" w:cs="Arial" w:eastAsia="Arial" w:hAnsi="Arial"/>
                <w:sz w:val="18"/>
                <w:szCs w:val="18"/>
                <w:color w:val="auto"/>
              </w:rPr>
              <w:t>Compensation for Losses</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52</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3.06</w:t>
            </w:r>
          </w:p>
        </w:tc>
        <w:tc>
          <w:tcPr>
            <w:tcW w:w="10620" w:type="dxa"/>
            <w:vAlign w:val="bottom"/>
          </w:tcPr>
          <w:p>
            <w:pPr>
              <w:ind w:left="40"/>
              <w:spacing w:after="0"/>
              <w:rPr>
                <w:sz w:val="20"/>
                <w:szCs w:val="20"/>
                <w:color w:val="auto"/>
              </w:rPr>
            </w:pPr>
            <w:r>
              <w:rPr>
                <w:rFonts w:ascii="Arial" w:cs="Arial" w:eastAsia="Arial" w:hAnsi="Arial"/>
                <w:sz w:val="18"/>
                <w:szCs w:val="18"/>
                <w:color w:val="auto"/>
              </w:rPr>
              <w:t>Mitigation Obligations; Replacement of Lenders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3.07</w:t>
            </w:r>
          </w:p>
        </w:tc>
        <w:tc>
          <w:tcPr>
            <w:tcW w:w="10620" w:type="dxa"/>
            <w:vAlign w:val="bottom"/>
          </w:tcPr>
          <w:p>
            <w:pPr>
              <w:ind w:left="40"/>
              <w:spacing w:after="0"/>
              <w:rPr>
                <w:sz w:val="20"/>
                <w:szCs w:val="20"/>
                <w:color w:val="auto"/>
              </w:rPr>
            </w:pPr>
            <w:r>
              <w:rPr>
                <w:rFonts w:ascii="Arial" w:cs="Arial" w:eastAsia="Arial" w:hAnsi="Arial"/>
                <w:sz w:val="18"/>
                <w:szCs w:val="18"/>
                <w:color w:val="auto"/>
              </w:rPr>
              <w:t>Survival</w:t>
            </w:r>
          </w:p>
        </w:tc>
        <w:tc>
          <w:tcPr>
            <w:tcW w:w="180" w:type="dxa"/>
            <w:vAlign w:val="bottom"/>
          </w:tcPr>
          <w:p>
            <w:pPr>
              <w:spacing w:after="0"/>
              <w:rPr>
                <w:sz w:val="20"/>
                <w:szCs w:val="20"/>
                <w:color w:val="auto"/>
              </w:rPr>
            </w:pPr>
            <w:r>
              <w:rPr>
                <w:rFonts w:ascii="Arial" w:cs="Arial" w:eastAsia="Arial" w:hAnsi="Arial"/>
                <w:sz w:val="18"/>
                <w:szCs w:val="18"/>
                <w:color w:val="auto"/>
                <w:strike w:val="1"/>
                <w:w w:val="79"/>
              </w:rPr>
              <w:t>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53</w:t>
            </w:r>
          </w:p>
        </w:tc>
      </w:tr>
      <w:tr>
        <w:trPr>
          <w:trHeight w:val="345"/>
        </w:trPr>
        <w:tc>
          <w:tcPr>
            <w:tcW w:w="11000" w:type="dxa"/>
            <w:vAlign w:val="bottom"/>
            <w:gridSpan w:val="2"/>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4.01</w:t>
            </w:r>
          </w:p>
        </w:tc>
        <w:tc>
          <w:tcPr>
            <w:tcW w:w="10620" w:type="dxa"/>
            <w:vAlign w:val="bottom"/>
          </w:tcPr>
          <w:p>
            <w:pPr>
              <w:ind w:left="40"/>
              <w:spacing w:after="0"/>
              <w:rPr>
                <w:sz w:val="20"/>
                <w:szCs w:val="20"/>
                <w:color w:val="auto"/>
              </w:rPr>
            </w:pPr>
            <w:r>
              <w:rPr>
                <w:rFonts w:ascii="Arial" w:cs="Arial" w:eastAsia="Arial" w:hAnsi="Arial"/>
                <w:sz w:val="18"/>
                <w:szCs w:val="18"/>
                <w:color w:val="auto"/>
              </w:rPr>
              <w:t>Conditions of Initial Credit Extension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4.02</w:t>
            </w:r>
          </w:p>
        </w:tc>
        <w:tc>
          <w:tcPr>
            <w:tcW w:w="10620" w:type="dxa"/>
            <w:vAlign w:val="bottom"/>
          </w:tcPr>
          <w:p>
            <w:pPr>
              <w:ind w:left="40"/>
              <w:spacing w:after="0"/>
              <w:rPr>
                <w:sz w:val="20"/>
                <w:szCs w:val="20"/>
                <w:color w:val="auto"/>
              </w:rPr>
            </w:pPr>
            <w:r>
              <w:rPr>
                <w:rFonts w:ascii="Arial" w:cs="Arial" w:eastAsia="Arial" w:hAnsi="Arial"/>
                <w:sz w:val="18"/>
                <w:szCs w:val="18"/>
                <w:color w:val="auto"/>
              </w:rPr>
              <w:t>Conditions to all Credit Extensions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100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5.01</w:t>
            </w:r>
          </w:p>
        </w:tc>
        <w:tc>
          <w:tcPr>
            <w:tcW w:w="10620" w:type="dxa"/>
            <w:vAlign w:val="bottom"/>
          </w:tcPr>
          <w:p>
            <w:pPr>
              <w:ind w:left="40"/>
              <w:spacing w:after="0"/>
              <w:rPr>
                <w:sz w:val="20"/>
                <w:szCs w:val="20"/>
                <w:color w:val="auto"/>
              </w:rPr>
            </w:pPr>
            <w:r>
              <w:rPr>
                <w:rFonts w:ascii="Arial" w:cs="Arial" w:eastAsia="Arial" w:hAnsi="Arial"/>
                <w:sz w:val="18"/>
                <w:szCs w:val="18"/>
                <w:color w:val="auto"/>
              </w:rPr>
              <w:t>Existence, Qualification and Power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56</w:t>
            </w:r>
          </w:p>
        </w:tc>
      </w:tr>
    </w:tbl>
    <w:p>
      <w:pPr>
        <w:jc w:val="right"/>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 w:name="page17"/>
    <w:bookmarkEnd w:id="16"/>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5.02</w:t>
            </w:r>
          </w:p>
        </w:tc>
        <w:tc>
          <w:tcPr>
            <w:tcW w:w="4460" w:type="dxa"/>
            <w:vAlign w:val="bottom"/>
          </w:tcPr>
          <w:p>
            <w:pPr>
              <w:ind w:left="40"/>
              <w:spacing w:after="0"/>
              <w:rPr>
                <w:sz w:val="20"/>
                <w:szCs w:val="20"/>
                <w:color w:val="auto"/>
              </w:rPr>
            </w:pPr>
            <w:r>
              <w:rPr>
                <w:rFonts w:ascii="Arial" w:cs="Arial" w:eastAsia="Arial" w:hAnsi="Arial"/>
                <w:sz w:val="18"/>
                <w:szCs w:val="18"/>
                <w:color w:val="auto"/>
              </w:rPr>
              <w:t>Authorization; No Contravention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5.03</w:t>
            </w:r>
          </w:p>
        </w:tc>
        <w:tc>
          <w:tcPr>
            <w:tcW w:w="4460" w:type="dxa"/>
            <w:vAlign w:val="bottom"/>
          </w:tcPr>
          <w:p>
            <w:pPr>
              <w:ind w:left="40"/>
              <w:spacing w:after="0"/>
              <w:rPr>
                <w:sz w:val="20"/>
                <w:szCs w:val="20"/>
                <w:color w:val="auto"/>
              </w:rPr>
            </w:pPr>
            <w:r>
              <w:rPr>
                <w:rFonts w:ascii="Arial" w:cs="Arial" w:eastAsia="Arial" w:hAnsi="Arial"/>
                <w:sz w:val="18"/>
                <w:szCs w:val="18"/>
                <w:color w:val="auto"/>
              </w:rPr>
              <w:t>Governmental Authorization; Other Consents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5.04</w:t>
            </w:r>
          </w:p>
        </w:tc>
        <w:tc>
          <w:tcPr>
            <w:tcW w:w="4460" w:type="dxa"/>
            <w:vAlign w:val="bottom"/>
          </w:tcPr>
          <w:p>
            <w:pPr>
              <w:ind w:left="40"/>
              <w:spacing w:after="0"/>
              <w:rPr>
                <w:sz w:val="20"/>
                <w:szCs w:val="20"/>
                <w:color w:val="auto"/>
              </w:rPr>
            </w:pPr>
            <w:r>
              <w:rPr>
                <w:rFonts w:ascii="Arial" w:cs="Arial" w:eastAsia="Arial" w:hAnsi="Arial"/>
                <w:sz w:val="18"/>
                <w:szCs w:val="18"/>
                <w:color w:val="auto"/>
              </w:rPr>
              <w:t>Binding Effect</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5.05</w:t>
            </w:r>
          </w:p>
        </w:tc>
        <w:tc>
          <w:tcPr>
            <w:tcW w:w="4460" w:type="dxa"/>
            <w:vAlign w:val="bottom"/>
          </w:tcPr>
          <w:p>
            <w:pPr>
              <w:ind w:left="40"/>
              <w:spacing w:after="0"/>
              <w:rPr>
                <w:sz w:val="20"/>
                <w:szCs w:val="20"/>
                <w:color w:val="auto"/>
              </w:rPr>
            </w:pPr>
            <w:r>
              <w:rPr>
                <w:rFonts w:ascii="Arial" w:cs="Arial" w:eastAsia="Arial" w:hAnsi="Arial"/>
                <w:sz w:val="18"/>
                <w:szCs w:val="18"/>
                <w:color w:val="auto"/>
              </w:rPr>
              <w:t>Financial Statements; No Material Adverse Effect</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5.06</w:t>
            </w:r>
          </w:p>
        </w:tc>
        <w:tc>
          <w:tcPr>
            <w:tcW w:w="446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6340" w:type="dxa"/>
            <w:vAlign w:val="bottom"/>
          </w:tcPr>
          <w:p>
            <w:pPr>
              <w:jc w:val="right"/>
              <w:spacing w:after="0"/>
              <w:rPr>
                <w:sz w:val="20"/>
                <w:szCs w:val="20"/>
                <w:color w:val="auto"/>
              </w:rPr>
            </w:pPr>
            <w:r>
              <w:rPr>
                <w:rFonts w:ascii="Arial" w:cs="Arial" w:eastAsia="Arial" w:hAnsi="Arial"/>
                <w:sz w:val="18"/>
                <w:szCs w:val="18"/>
                <w:color w:val="auto"/>
                <w:strike w:val="1"/>
              </w:rPr>
              <w:t>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58</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5.07</w:t>
            </w:r>
          </w:p>
        </w:tc>
        <w:tc>
          <w:tcPr>
            <w:tcW w:w="4460" w:type="dxa"/>
            <w:vAlign w:val="bottom"/>
          </w:tcPr>
          <w:p>
            <w:pPr>
              <w:ind w:left="40"/>
              <w:spacing w:after="0"/>
              <w:rPr>
                <w:sz w:val="20"/>
                <w:szCs w:val="20"/>
                <w:color w:val="auto"/>
              </w:rPr>
            </w:pPr>
            <w:r>
              <w:rPr>
                <w:rFonts w:ascii="Arial" w:cs="Arial" w:eastAsia="Arial" w:hAnsi="Arial"/>
                <w:sz w:val="18"/>
                <w:szCs w:val="18"/>
                <w:color w:val="auto"/>
              </w:rPr>
              <w:t>No Default</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5.08</w:t>
            </w:r>
          </w:p>
        </w:tc>
        <w:tc>
          <w:tcPr>
            <w:tcW w:w="4460" w:type="dxa"/>
            <w:vAlign w:val="bottom"/>
          </w:tcPr>
          <w:p>
            <w:pPr>
              <w:ind w:left="40"/>
              <w:spacing w:after="0"/>
              <w:rPr>
                <w:sz w:val="20"/>
                <w:szCs w:val="20"/>
                <w:color w:val="auto"/>
              </w:rPr>
            </w:pPr>
            <w:r>
              <w:rPr>
                <w:rFonts w:ascii="Arial" w:cs="Arial" w:eastAsia="Arial" w:hAnsi="Arial"/>
                <w:sz w:val="18"/>
                <w:szCs w:val="18"/>
                <w:color w:val="auto"/>
              </w:rPr>
              <w:t>Ownership of Property</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5.09</w:t>
            </w:r>
          </w:p>
        </w:tc>
        <w:tc>
          <w:tcPr>
            <w:tcW w:w="4460" w:type="dxa"/>
            <w:vAlign w:val="bottom"/>
          </w:tcPr>
          <w:p>
            <w:pPr>
              <w:ind w:left="40"/>
              <w:spacing w:after="0"/>
              <w:rPr>
                <w:sz w:val="20"/>
                <w:szCs w:val="20"/>
                <w:color w:val="auto"/>
              </w:rPr>
            </w:pPr>
            <w:r>
              <w:rPr>
                <w:rFonts w:ascii="Arial" w:cs="Arial" w:eastAsia="Arial" w:hAnsi="Arial"/>
                <w:sz w:val="18"/>
                <w:szCs w:val="18"/>
                <w:color w:val="auto"/>
              </w:rPr>
              <w:t>Insurance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5.10</w:t>
            </w:r>
          </w:p>
        </w:tc>
        <w:tc>
          <w:tcPr>
            <w:tcW w:w="4460" w:type="dxa"/>
            <w:vAlign w:val="bottom"/>
          </w:tcPr>
          <w:p>
            <w:pPr>
              <w:ind w:left="40"/>
              <w:spacing w:after="0"/>
              <w:rPr>
                <w:sz w:val="20"/>
                <w:szCs w:val="20"/>
                <w:color w:val="auto"/>
              </w:rPr>
            </w:pPr>
            <w:r>
              <w:rPr>
                <w:rFonts w:ascii="Arial" w:cs="Arial" w:eastAsia="Arial" w:hAnsi="Arial"/>
                <w:sz w:val="18"/>
                <w:szCs w:val="18"/>
                <w:color w:val="auto"/>
              </w:rPr>
              <w:t>Taxes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5.11</w:t>
            </w:r>
          </w:p>
        </w:tc>
        <w:tc>
          <w:tcPr>
            <w:tcW w:w="4460" w:type="dxa"/>
            <w:vAlign w:val="bottom"/>
          </w:tcPr>
          <w:p>
            <w:pPr>
              <w:ind w:left="40"/>
              <w:spacing w:after="0"/>
              <w:rPr>
                <w:sz w:val="20"/>
                <w:szCs w:val="20"/>
                <w:color w:val="auto"/>
              </w:rPr>
            </w:pPr>
            <w:r>
              <w:rPr>
                <w:rFonts w:ascii="Arial" w:cs="Arial" w:eastAsia="Arial" w:hAnsi="Arial"/>
                <w:sz w:val="18"/>
                <w:szCs w:val="18"/>
                <w:color w:val="auto"/>
              </w:rPr>
              <w:t>ERISA Compliance</w:t>
            </w:r>
          </w:p>
        </w:tc>
        <w:tc>
          <w:tcPr>
            <w:tcW w:w="6340" w:type="dxa"/>
            <w:vAlign w:val="bottom"/>
          </w:tcPr>
          <w:p>
            <w:pPr>
              <w:jc w:val="right"/>
              <w:spacing w:after="0"/>
              <w:rPr>
                <w:sz w:val="20"/>
                <w:szCs w:val="20"/>
                <w:color w:val="auto"/>
              </w:rPr>
            </w:pPr>
            <w:r>
              <w:rPr>
                <w:rFonts w:ascii="Arial" w:cs="Arial" w:eastAsia="Arial" w:hAnsi="Arial"/>
                <w:sz w:val="18"/>
                <w:szCs w:val="18"/>
                <w:color w:val="auto"/>
                <w:strike w:val="1"/>
              </w:rPr>
              <w:t>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59</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5.12</w:t>
            </w:r>
          </w:p>
        </w:tc>
        <w:tc>
          <w:tcPr>
            <w:tcW w:w="4460" w:type="dxa"/>
            <w:vAlign w:val="bottom"/>
          </w:tcPr>
          <w:p>
            <w:pPr>
              <w:ind w:left="40"/>
              <w:spacing w:after="0"/>
              <w:rPr>
                <w:sz w:val="20"/>
                <w:szCs w:val="20"/>
                <w:color w:val="auto"/>
              </w:rPr>
            </w:pPr>
            <w:r>
              <w:rPr>
                <w:rFonts w:ascii="Arial" w:cs="Arial" w:eastAsia="Arial" w:hAnsi="Arial"/>
                <w:sz w:val="18"/>
                <w:szCs w:val="18"/>
                <w:color w:val="auto"/>
              </w:rPr>
              <w:t>Margin Regulations; Investment Company Act</w:t>
            </w:r>
          </w:p>
        </w:tc>
        <w:tc>
          <w:tcPr>
            <w:tcW w:w="6340" w:type="dxa"/>
            <w:vAlign w:val="bottom"/>
          </w:tcPr>
          <w:p>
            <w:pPr>
              <w:jc w:val="right"/>
              <w:spacing w:after="0"/>
              <w:rPr>
                <w:sz w:val="20"/>
                <w:szCs w:val="20"/>
                <w:color w:val="auto"/>
              </w:rPr>
            </w:pPr>
            <w:r>
              <w:rPr>
                <w:rFonts w:ascii="Arial" w:cs="Arial" w:eastAsia="Arial" w:hAnsi="Arial"/>
                <w:sz w:val="18"/>
                <w:szCs w:val="18"/>
                <w:color w:val="auto"/>
                <w:strike w:val="1"/>
              </w:rPr>
              <w:t>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60</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5.13</w:t>
            </w:r>
          </w:p>
        </w:tc>
        <w:tc>
          <w:tcPr>
            <w:tcW w:w="4460" w:type="dxa"/>
            <w:vAlign w:val="bottom"/>
          </w:tcPr>
          <w:p>
            <w:pPr>
              <w:ind w:left="40"/>
              <w:spacing w:after="0"/>
              <w:rPr>
                <w:sz w:val="20"/>
                <w:szCs w:val="20"/>
                <w:color w:val="auto"/>
              </w:rPr>
            </w:pPr>
            <w:r>
              <w:rPr>
                <w:rFonts w:ascii="Arial" w:cs="Arial" w:eastAsia="Arial" w:hAnsi="Arial"/>
                <w:sz w:val="18"/>
                <w:szCs w:val="18"/>
                <w:color w:val="auto"/>
              </w:rPr>
              <w:t>Disclosure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5.14</w:t>
            </w:r>
          </w:p>
        </w:tc>
        <w:tc>
          <w:tcPr>
            <w:tcW w:w="446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5.15</w:t>
            </w:r>
          </w:p>
        </w:tc>
        <w:tc>
          <w:tcPr>
            <w:tcW w:w="4460" w:type="dxa"/>
            <w:vAlign w:val="bottom"/>
          </w:tcPr>
          <w:p>
            <w:pPr>
              <w:ind w:left="40"/>
              <w:spacing w:after="0"/>
              <w:rPr>
                <w:sz w:val="20"/>
                <w:szCs w:val="20"/>
                <w:color w:val="auto"/>
              </w:rPr>
            </w:pPr>
            <w:r>
              <w:rPr>
                <w:rFonts w:ascii="Arial" w:cs="Arial" w:eastAsia="Arial" w:hAnsi="Arial"/>
                <w:sz w:val="18"/>
                <w:szCs w:val="18"/>
                <w:color w:val="auto"/>
              </w:rPr>
              <w:t>Solvency</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5.16</w:t>
            </w:r>
          </w:p>
        </w:tc>
        <w:tc>
          <w:tcPr>
            <w:tcW w:w="4460" w:type="dxa"/>
            <w:vAlign w:val="bottom"/>
          </w:tcPr>
          <w:p>
            <w:pPr>
              <w:ind w:left="40"/>
              <w:spacing w:after="0"/>
              <w:rPr>
                <w:sz w:val="20"/>
                <w:szCs w:val="20"/>
                <w:color w:val="auto"/>
              </w:rPr>
            </w:pPr>
            <w:r>
              <w:rPr>
                <w:rFonts w:ascii="Arial" w:cs="Arial" w:eastAsia="Arial" w:hAnsi="Arial"/>
                <w:sz w:val="18"/>
                <w:szCs w:val="18"/>
                <w:color w:val="auto"/>
              </w:rPr>
              <w:t>Casualty, Etc.</w:t>
            </w:r>
          </w:p>
        </w:tc>
        <w:tc>
          <w:tcPr>
            <w:tcW w:w="6340" w:type="dxa"/>
            <w:vAlign w:val="bottom"/>
          </w:tcPr>
          <w:p>
            <w:pPr>
              <w:jc w:val="right"/>
              <w:spacing w:after="0"/>
              <w:rPr>
                <w:sz w:val="20"/>
                <w:szCs w:val="20"/>
                <w:color w:val="auto"/>
              </w:rPr>
            </w:pPr>
            <w:r>
              <w:rPr>
                <w:rFonts w:ascii="Arial" w:cs="Arial" w:eastAsia="Arial" w:hAnsi="Arial"/>
                <w:sz w:val="18"/>
                <w:szCs w:val="18"/>
                <w:color w:val="auto"/>
                <w:strike w:val="1"/>
              </w:rPr>
              <w:t>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61</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5.17</w:t>
            </w:r>
          </w:p>
        </w:tc>
        <w:tc>
          <w:tcPr>
            <w:tcW w:w="4460" w:type="dxa"/>
            <w:vAlign w:val="bottom"/>
          </w:tcPr>
          <w:p>
            <w:pPr>
              <w:ind w:left="40"/>
              <w:spacing w:after="0"/>
              <w:rPr>
                <w:sz w:val="20"/>
                <w:szCs w:val="20"/>
                <w:color w:val="auto"/>
              </w:rPr>
            </w:pPr>
            <w:r>
              <w:rPr>
                <w:rFonts w:ascii="Arial" w:cs="Arial" w:eastAsia="Arial" w:hAnsi="Arial"/>
                <w:sz w:val="18"/>
                <w:szCs w:val="18"/>
                <w:color w:val="auto"/>
              </w:rPr>
              <w:t>Sanctions Concerns and Anti-Corruption Laws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5.18</w:t>
            </w:r>
          </w:p>
        </w:tc>
        <w:tc>
          <w:tcPr>
            <w:tcW w:w="4460" w:type="dxa"/>
            <w:vAlign w:val="bottom"/>
          </w:tcPr>
          <w:p>
            <w:pPr>
              <w:ind w:left="40"/>
              <w:spacing w:after="0"/>
              <w:rPr>
                <w:sz w:val="20"/>
                <w:szCs w:val="20"/>
                <w:color w:val="auto"/>
              </w:rPr>
            </w:pPr>
            <w:r>
              <w:rPr>
                <w:rFonts w:ascii="Arial" w:cs="Arial" w:eastAsia="Arial" w:hAnsi="Arial"/>
                <w:sz w:val="18"/>
                <w:szCs w:val="18"/>
                <w:color w:val="auto"/>
              </w:rPr>
              <w:t>Responsible Officers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5.19</w:t>
            </w:r>
          </w:p>
        </w:tc>
        <w:tc>
          <w:tcPr>
            <w:tcW w:w="4460" w:type="dxa"/>
            <w:vAlign w:val="bottom"/>
          </w:tcPr>
          <w:p>
            <w:pPr>
              <w:ind w:left="40"/>
              <w:spacing w:after="0"/>
              <w:rPr>
                <w:sz w:val="20"/>
                <w:szCs w:val="20"/>
                <w:color w:val="auto"/>
              </w:rPr>
            </w:pPr>
            <w:r>
              <w:rPr>
                <w:rFonts w:ascii="Arial" w:cs="Arial" w:eastAsia="Arial" w:hAnsi="Arial"/>
                <w:sz w:val="18"/>
                <w:szCs w:val="18"/>
                <w:color w:val="auto"/>
              </w:rPr>
              <w:t>Subsidiaries; Equity Interests; Loan Parties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5.20</w:t>
            </w:r>
          </w:p>
        </w:tc>
        <w:tc>
          <w:tcPr>
            <w:tcW w:w="4460" w:type="dxa"/>
            <w:vAlign w:val="bottom"/>
          </w:tcPr>
          <w:p>
            <w:pPr>
              <w:ind w:left="40"/>
              <w:spacing w:after="0"/>
              <w:rPr>
                <w:sz w:val="20"/>
                <w:szCs w:val="20"/>
                <w:color w:val="auto"/>
              </w:rPr>
            </w:pPr>
            <w:r>
              <w:rPr>
                <w:rFonts w:ascii="Arial" w:cs="Arial" w:eastAsia="Arial" w:hAnsi="Arial"/>
                <w:sz w:val="18"/>
                <w:szCs w:val="18"/>
                <w:color w:val="auto"/>
              </w:rPr>
              <w:t>Collateral Representations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5.21</w:t>
            </w:r>
          </w:p>
        </w:tc>
        <w:tc>
          <w:tcPr>
            <w:tcW w:w="4460" w:type="dxa"/>
            <w:vAlign w:val="bottom"/>
          </w:tcPr>
          <w:p>
            <w:pPr>
              <w:ind w:left="40"/>
              <w:spacing w:after="0"/>
              <w:rPr>
                <w:sz w:val="20"/>
                <w:szCs w:val="20"/>
                <w:color w:val="auto"/>
              </w:rPr>
            </w:pPr>
            <w:r>
              <w:rPr>
                <w:rFonts w:ascii="Arial" w:cs="Arial" w:eastAsia="Arial" w:hAnsi="Arial"/>
                <w:sz w:val="18"/>
                <w:szCs w:val="18"/>
                <w:color w:val="auto"/>
              </w:rPr>
              <w:t>Designation as Senior Indebtedness</w:t>
            </w:r>
          </w:p>
        </w:tc>
        <w:tc>
          <w:tcPr>
            <w:tcW w:w="6340" w:type="dxa"/>
            <w:vAlign w:val="bottom"/>
          </w:tcPr>
          <w:p>
            <w:pPr>
              <w:jc w:val="right"/>
              <w:spacing w:after="0"/>
              <w:rPr>
                <w:sz w:val="20"/>
                <w:szCs w:val="20"/>
                <w:color w:val="auto"/>
              </w:rPr>
            </w:pPr>
            <w:r>
              <w:rPr>
                <w:rFonts w:ascii="Arial" w:cs="Arial" w:eastAsia="Arial" w:hAnsi="Arial"/>
                <w:sz w:val="18"/>
                <w:szCs w:val="18"/>
                <w:color w:val="auto"/>
                <w:strike w:val="1"/>
              </w:rPr>
              <w:t>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63</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5.22</w:t>
            </w:r>
          </w:p>
        </w:tc>
        <w:tc>
          <w:tcPr>
            <w:tcW w:w="4460" w:type="dxa"/>
            <w:vAlign w:val="bottom"/>
          </w:tcPr>
          <w:p>
            <w:pPr>
              <w:ind w:left="40"/>
              <w:spacing w:after="0"/>
              <w:rPr>
                <w:sz w:val="20"/>
                <w:szCs w:val="20"/>
                <w:color w:val="auto"/>
              </w:rPr>
            </w:pPr>
            <w:r>
              <w:rPr>
                <w:rFonts w:ascii="Arial" w:cs="Arial" w:eastAsia="Arial" w:hAnsi="Arial"/>
                <w:sz w:val="18"/>
                <w:szCs w:val="18"/>
                <w:color w:val="auto"/>
              </w:rPr>
              <w:t>Intellectual Property; Licenses, Etc.</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5.23</w:t>
            </w:r>
          </w:p>
        </w:tc>
        <w:tc>
          <w:tcPr>
            <w:tcW w:w="4460" w:type="dxa"/>
            <w:vAlign w:val="bottom"/>
          </w:tcPr>
          <w:p>
            <w:pPr>
              <w:ind w:left="40"/>
              <w:spacing w:after="0"/>
              <w:rPr>
                <w:sz w:val="20"/>
                <w:szCs w:val="20"/>
                <w:color w:val="auto"/>
              </w:rPr>
            </w:pPr>
            <w:r>
              <w:rPr>
                <w:rFonts w:ascii="Arial" w:cs="Arial" w:eastAsia="Arial" w:hAnsi="Arial"/>
                <w:sz w:val="18"/>
                <w:szCs w:val="18"/>
                <w:color w:val="auto"/>
              </w:rPr>
              <w:t>Labor Matters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5.24</w:t>
            </w:r>
          </w:p>
        </w:tc>
        <w:tc>
          <w:tcPr>
            <w:tcW w:w="4460" w:type="dxa"/>
            <w:vAlign w:val="bottom"/>
          </w:tcPr>
          <w:p>
            <w:pPr>
              <w:ind w:left="40"/>
              <w:spacing w:after="0"/>
              <w:rPr>
                <w:sz w:val="20"/>
                <w:szCs w:val="20"/>
                <w:color w:val="auto"/>
              </w:rPr>
            </w:pPr>
            <w:r>
              <w:rPr>
                <w:rFonts w:ascii="Arial" w:cs="Arial" w:eastAsia="Arial" w:hAnsi="Arial"/>
                <w:sz w:val="18"/>
                <w:szCs w:val="18"/>
                <w:color w:val="auto"/>
              </w:rPr>
              <w:t>Representations as to Foreign Obligors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6.01</w:t>
            </w:r>
          </w:p>
        </w:tc>
        <w:tc>
          <w:tcPr>
            <w:tcW w:w="4460" w:type="dxa"/>
            <w:vAlign w:val="bottom"/>
          </w:tcPr>
          <w:p>
            <w:pPr>
              <w:ind w:left="40"/>
              <w:spacing w:after="0"/>
              <w:rPr>
                <w:sz w:val="20"/>
                <w:szCs w:val="20"/>
                <w:color w:val="auto"/>
              </w:rPr>
            </w:pPr>
            <w:r>
              <w:rPr>
                <w:rFonts w:ascii="Arial" w:cs="Arial" w:eastAsia="Arial" w:hAnsi="Arial"/>
                <w:sz w:val="18"/>
                <w:szCs w:val="18"/>
                <w:color w:val="auto"/>
              </w:rPr>
              <w:t>Financial Statements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6.02</w:t>
            </w:r>
          </w:p>
        </w:tc>
        <w:tc>
          <w:tcPr>
            <w:tcW w:w="4460" w:type="dxa"/>
            <w:vAlign w:val="bottom"/>
          </w:tcPr>
          <w:p>
            <w:pPr>
              <w:ind w:left="40"/>
              <w:spacing w:after="0"/>
              <w:rPr>
                <w:sz w:val="20"/>
                <w:szCs w:val="20"/>
                <w:color w:val="auto"/>
              </w:rPr>
            </w:pPr>
            <w:r>
              <w:rPr>
                <w:rFonts w:ascii="Arial" w:cs="Arial" w:eastAsia="Arial" w:hAnsi="Arial"/>
                <w:sz w:val="18"/>
                <w:szCs w:val="18"/>
                <w:color w:val="auto"/>
              </w:rPr>
              <w:t>Certificates; Other Information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6.03</w:t>
            </w:r>
          </w:p>
        </w:tc>
        <w:tc>
          <w:tcPr>
            <w:tcW w:w="4460" w:type="dxa"/>
            <w:vAlign w:val="bottom"/>
          </w:tcPr>
          <w:p>
            <w:pPr>
              <w:ind w:left="40"/>
              <w:spacing w:after="0"/>
              <w:rPr>
                <w:sz w:val="20"/>
                <w:szCs w:val="20"/>
                <w:color w:val="auto"/>
              </w:rPr>
            </w:pPr>
            <w:r>
              <w:rPr>
                <w:rFonts w:ascii="Arial" w:cs="Arial" w:eastAsia="Arial" w:hAnsi="Arial"/>
                <w:sz w:val="18"/>
                <w:szCs w:val="18"/>
                <w:color w:val="auto"/>
              </w:rPr>
              <w:t>Notices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6.04</w:t>
            </w:r>
          </w:p>
        </w:tc>
        <w:tc>
          <w:tcPr>
            <w:tcW w:w="4460" w:type="dxa"/>
            <w:vAlign w:val="bottom"/>
          </w:tcPr>
          <w:p>
            <w:pPr>
              <w:ind w:left="40"/>
              <w:spacing w:after="0"/>
              <w:rPr>
                <w:sz w:val="20"/>
                <w:szCs w:val="20"/>
                <w:color w:val="auto"/>
              </w:rPr>
            </w:pPr>
            <w:r>
              <w:rPr>
                <w:rFonts w:ascii="Arial" w:cs="Arial" w:eastAsia="Arial" w:hAnsi="Arial"/>
                <w:sz w:val="18"/>
                <w:szCs w:val="18"/>
                <w:color w:val="auto"/>
              </w:rPr>
              <w:t>Payment of Obligations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6.05</w:t>
            </w:r>
          </w:p>
        </w:tc>
        <w:tc>
          <w:tcPr>
            <w:tcW w:w="4460" w:type="dxa"/>
            <w:vAlign w:val="bottom"/>
          </w:tcPr>
          <w:p>
            <w:pPr>
              <w:ind w:left="40"/>
              <w:spacing w:after="0"/>
              <w:rPr>
                <w:sz w:val="20"/>
                <w:szCs w:val="20"/>
                <w:color w:val="auto"/>
              </w:rPr>
            </w:pPr>
            <w:r>
              <w:rPr>
                <w:rFonts w:ascii="Arial" w:cs="Arial" w:eastAsia="Arial" w:hAnsi="Arial"/>
                <w:sz w:val="18"/>
                <w:szCs w:val="18"/>
                <w:color w:val="auto"/>
              </w:rPr>
              <w:t>Preservation of Existence, Etc.</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6.06</w:t>
            </w:r>
          </w:p>
        </w:tc>
        <w:tc>
          <w:tcPr>
            <w:tcW w:w="4460" w:type="dxa"/>
            <w:vAlign w:val="bottom"/>
          </w:tcPr>
          <w:p>
            <w:pPr>
              <w:ind w:left="40"/>
              <w:spacing w:after="0"/>
              <w:rPr>
                <w:sz w:val="20"/>
                <w:szCs w:val="20"/>
                <w:color w:val="auto"/>
              </w:rPr>
            </w:pPr>
            <w:r>
              <w:rPr>
                <w:rFonts w:ascii="Arial" w:cs="Arial" w:eastAsia="Arial" w:hAnsi="Arial"/>
                <w:sz w:val="18"/>
                <w:szCs w:val="18"/>
                <w:color w:val="auto"/>
              </w:rPr>
              <w:t>Maintenance of Properties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6.07</w:t>
            </w:r>
          </w:p>
        </w:tc>
        <w:tc>
          <w:tcPr>
            <w:tcW w:w="4460" w:type="dxa"/>
            <w:vAlign w:val="bottom"/>
          </w:tcPr>
          <w:p>
            <w:pPr>
              <w:ind w:left="40"/>
              <w:spacing w:after="0"/>
              <w:rPr>
                <w:sz w:val="20"/>
                <w:szCs w:val="20"/>
                <w:color w:val="auto"/>
              </w:rPr>
            </w:pPr>
            <w:r>
              <w:rPr>
                <w:rFonts w:ascii="Arial" w:cs="Arial" w:eastAsia="Arial" w:hAnsi="Arial"/>
                <w:sz w:val="18"/>
                <w:szCs w:val="18"/>
                <w:color w:val="auto"/>
              </w:rPr>
              <w:t>Maintenance of Insurance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6.08</w:t>
            </w:r>
          </w:p>
        </w:tc>
        <w:tc>
          <w:tcPr>
            <w:tcW w:w="446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6.09</w:t>
            </w:r>
          </w:p>
        </w:tc>
        <w:tc>
          <w:tcPr>
            <w:tcW w:w="4460" w:type="dxa"/>
            <w:vAlign w:val="bottom"/>
          </w:tcPr>
          <w:p>
            <w:pPr>
              <w:ind w:left="40"/>
              <w:spacing w:after="0"/>
              <w:rPr>
                <w:sz w:val="20"/>
                <w:szCs w:val="20"/>
                <w:color w:val="auto"/>
              </w:rPr>
            </w:pPr>
            <w:r>
              <w:rPr>
                <w:rFonts w:ascii="Arial" w:cs="Arial" w:eastAsia="Arial" w:hAnsi="Arial"/>
                <w:sz w:val="18"/>
                <w:szCs w:val="18"/>
                <w:color w:val="auto"/>
              </w:rPr>
              <w:t>Books and Records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6.10</w:t>
            </w:r>
          </w:p>
        </w:tc>
        <w:tc>
          <w:tcPr>
            <w:tcW w:w="4460" w:type="dxa"/>
            <w:vAlign w:val="bottom"/>
          </w:tcPr>
          <w:p>
            <w:pPr>
              <w:ind w:left="40"/>
              <w:spacing w:after="0"/>
              <w:rPr>
                <w:sz w:val="20"/>
                <w:szCs w:val="20"/>
                <w:color w:val="auto"/>
              </w:rPr>
            </w:pPr>
            <w:r>
              <w:rPr>
                <w:rFonts w:ascii="Arial" w:cs="Arial" w:eastAsia="Arial" w:hAnsi="Arial"/>
                <w:sz w:val="18"/>
                <w:szCs w:val="18"/>
                <w:color w:val="auto"/>
              </w:rPr>
              <w:t>Inspection Rights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6.11</w:t>
            </w:r>
          </w:p>
        </w:tc>
        <w:tc>
          <w:tcPr>
            <w:tcW w:w="446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6340" w:type="dxa"/>
            <w:vAlign w:val="bottom"/>
          </w:tcPr>
          <w:p>
            <w:pPr>
              <w:jc w:val="right"/>
              <w:spacing w:after="0"/>
              <w:rPr>
                <w:sz w:val="20"/>
                <w:szCs w:val="20"/>
                <w:color w:val="auto"/>
              </w:rPr>
            </w:pPr>
            <w:r>
              <w:rPr>
                <w:rFonts w:ascii="Arial" w:cs="Arial" w:eastAsia="Arial" w:hAnsi="Arial"/>
                <w:sz w:val="18"/>
                <w:szCs w:val="18"/>
                <w:color w:val="auto"/>
                <w:strike w:val="1"/>
              </w:rPr>
              <w:t>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70</w:t>
            </w:r>
          </w:p>
        </w:tc>
      </w:tr>
      <w:tr>
        <w:trPr>
          <w:trHeight w:val="345"/>
        </w:trPr>
        <w:tc>
          <w:tcPr>
            <w:tcW w:w="380" w:type="dxa"/>
            <w:vAlign w:val="bottom"/>
          </w:tcPr>
          <w:p>
            <w:pPr>
              <w:spacing w:after="0"/>
              <w:rPr>
                <w:sz w:val="20"/>
                <w:szCs w:val="20"/>
                <w:color w:val="auto"/>
              </w:rPr>
            </w:pPr>
            <w:r>
              <w:rPr>
                <w:rFonts w:ascii="Arial" w:cs="Arial" w:eastAsia="Arial" w:hAnsi="Arial"/>
                <w:sz w:val="18"/>
                <w:szCs w:val="18"/>
                <w:color w:val="auto"/>
              </w:rPr>
              <w:t>6.12</w:t>
            </w:r>
          </w:p>
        </w:tc>
        <w:tc>
          <w:tcPr>
            <w:tcW w:w="4460" w:type="dxa"/>
            <w:vAlign w:val="bottom"/>
          </w:tcPr>
          <w:p>
            <w:pPr>
              <w:ind w:left="40"/>
              <w:spacing w:after="0"/>
              <w:rPr>
                <w:sz w:val="20"/>
                <w:szCs w:val="20"/>
                <w:color w:val="auto"/>
              </w:rPr>
            </w:pPr>
            <w:r>
              <w:rPr>
                <w:rFonts w:ascii="Arial" w:cs="Arial" w:eastAsia="Arial" w:hAnsi="Arial"/>
                <w:sz w:val="18"/>
                <w:szCs w:val="18"/>
                <w:color w:val="auto"/>
              </w:rPr>
              <w:t>Material Contracts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6.13</w:t>
            </w:r>
          </w:p>
        </w:tc>
        <w:tc>
          <w:tcPr>
            <w:tcW w:w="4460" w:type="dxa"/>
            <w:vAlign w:val="bottom"/>
          </w:tcPr>
          <w:p>
            <w:pPr>
              <w:ind w:left="40"/>
              <w:spacing w:after="0"/>
              <w:rPr>
                <w:sz w:val="20"/>
                <w:szCs w:val="20"/>
                <w:color w:val="auto"/>
              </w:rPr>
            </w:pPr>
            <w:r>
              <w:rPr>
                <w:rFonts w:ascii="Arial" w:cs="Arial" w:eastAsia="Arial" w:hAnsi="Arial"/>
                <w:sz w:val="18"/>
                <w:szCs w:val="18"/>
                <w:color w:val="auto"/>
              </w:rPr>
              <w:t>Covenant to Guarantee Obligations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6.14</w:t>
            </w:r>
          </w:p>
        </w:tc>
        <w:tc>
          <w:tcPr>
            <w:tcW w:w="4460" w:type="dxa"/>
            <w:vAlign w:val="bottom"/>
          </w:tcPr>
          <w:p>
            <w:pPr>
              <w:ind w:left="40"/>
              <w:spacing w:after="0"/>
              <w:rPr>
                <w:sz w:val="20"/>
                <w:szCs w:val="20"/>
                <w:color w:val="auto"/>
              </w:rPr>
            </w:pPr>
            <w:r>
              <w:rPr>
                <w:rFonts w:ascii="Arial" w:cs="Arial" w:eastAsia="Arial" w:hAnsi="Arial"/>
                <w:sz w:val="18"/>
                <w:szCs w:val="18"/>
                <w:color w:val="auto"/>
              </w:rPr>
              <w:t>Covenant to Give Security</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6.15</w:t>
            </w:r>
          </w:p>
        </w:tc>
        <w:tc>
          <w:tcPr>
            <w:tcW w:w="446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6.16</w:t>
            </w:r>
          </w:p>
        </w:tc>
        <w:tc>
          <w:tcPr>
            <w:tcW w:w="4460" w:type="dxa"/>
            <w:vAlign w:val="bottom"/>
          </w:tcPr>
          <w:p>
            <w:pPr>
              <w:ind w:left="40"/>
              <w:spacing w:after="0"/>
              <w:rPr>
                <w:sz w:val="20"/>
                <w:szCs w:val="20"/>
                <w:color w:val="auto"/>
              </w:rPr>
            </w:pPr>
            <w:r>
              <w:rPr>
                <w:rFonts w:ascii="Arial" w:cs="Arial" w:eastAsia="Arial" w:hAnsi="Arial"/>
                <w:sz w:val="18"/>
                <w:szCs w:val="18"/>
                <w:color w:val="auto"/>
              </w:rPr>
              <w:t>Compliance with Environmental Laws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6.17</w:t>
            </w:r>
          </w:p>
        </w:tc>
        <w:tc>
          <w:tcPr>
            <w:tcW w:w="4460" w:type="dxa"/>
            <w:vAlign w:val="bottom"/>
          </w:tcPr>
          <w:p>
            <w:pPr>
              <w:ind w:left="40"/>
              <w:spacing w:after="0"/>
              <w:rPr>
                <w:sz w:val="20"/>
                <w:szCs w:val="20"/>
                <w:color w:val="auto"/>
              </w:rPr>
            </w:pPr>
            <w:r>
              <w:rPr>
                <w:rFonts w:ascii="Arial" w:cs="Arial" w:eastAsia="Arial" w:hAnsi="Arial"/>
                <w:sz w:val="18"/>
                <w:szCs w:val="18"/>
                <w:color w:val="auto"/>
              </w:rPr>
              <w:t>Approvals and Authorizations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365"/>
        </w:trPr>
        <w:tc>
          <w:tcPr>
            <w:tcW w:w="3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520" w:type="dxa"/>
            <w:vAlign w:val="bottom"/>
            <w:gridSpan w:val="2"/>
          </w:tcPr>
          <w:p>
            <w:pPr>
              <w:jc w:val="right"/>
              <w:ind w:right="5510"/>
              <w:spacing w:after="0"/>
              <w:rPr>
                <w:sz w:val="20"/>
                <w:szCs w:val="20"/>
                <w:color w:val="auto"/>
              </w:rPr>
            </w:pPr>
            <w:r>
              <w:rPr>
                <w:rFonts w:ascii="Arial" w:cs="Arial" w:eastAsia="Arial" w:hAnsi="Arial"/>
                <w:sz w:val="18"/>
                <w:szCs w:val="18"/>
                <w:color w:val="auto"/>
              </w:rPr>
              <w:t>ii</w:t>
            </w:r>
          </w:p>
        </w:tc>
      </w:tr>
    </w:tbl>
    <w:p>
      <w:pPr>
        <w:jc w:val="right"/>
        <w:ind w:right="5510"/>
        <w:spacing w:after="0"/>
        <w:rPr>
          <w:sz w:val="20"/>
          <w:szCs w:val="20"/>
          <w:color w:val="auto"/>
        </w:rPr>
        <w:sectPr>
          <w:pgSz w:w="11900" w:h="16838" w:orient="portrait"/>
          <w:cols w:equalWidth="0" w:num="1">
            <w:col w:w="11360"/>
          </w:cols>
          <w:pgMar w:left="240" w:top="382"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7" w:name="page18"/>
    <w:bookmarkEnd w:id="17"/>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6.18</w:t>
            </w:r>
          </w:p>
        </w:tc>
        <w:tc>
          <w:tcPr>
            <w:tcW w:w="1820" w:type="dxa"/>
            <w:vAlign w:val="bottom"/>
          </w:tcPr>
          <w:p>
            <w:pPr>
              <w:spacing w:after="0"/>
              <w:rPr>
                <w:sz w:val="20"/>
                <w:szCs w:val="20"/>
                <w:color w:val="auto"/>
              </w:rPr>
            </w:pPr>
            <w:r>
              <w:rPr>
                <w:rFonts w:ascii="Arial" w:cs="Arial" w:eastAsia="Arial" w:hAnsi="Arial"/>
                <w:sz w:val="18"/>
                <w:szCs w:val="18"/>
                <w:color w:val="auto"/>
                <w:strike w:val="1"/>
                <w:w w:val="91"/>
              </w:rPr>
              <w:t>Post-Closing Obligations</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[Reserved]</w:t>
            </w:r>
          </w:p>
        </w:tc>
        <w:tc>
          <w:tcPr>
            <w:tcW w:w="788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6.19</w:t>
            </w:r>
          </w:p>
        </w:tc>
        <w:tc>
          <w:tcPr>
            <w:tcW w:w="10500" w:type="dxa"/>
            <w:vAlign w:val="bottom"/>
            <w:gridSpan w:val="3"/>
          </w:tcPr>
          <w:p>
            <w:pPr>
              <w:spacing w:after="0"/>
              <w:rPr>
                <w:sz w:val="20"/>
                <w:szCs w:val="20"/>
                <w:color w:val="auto"/>
              </w:rPr>
            </w:pPr>
            <w:r>
              <w:rPr>
                <w:rFonts w:ascii="Arial" w:cs="Arial" w:eastAsia="Arial" w:hAnsi="Arial"/>
                <w:sz w:val="18"/>
                <w:szCs w:val="18"/>
                <w:color w:val="auto"/>
              </w:rPr>
              <w:t>Anti-Corruption Laws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1000" w:type="dxa"/>
            <w:vAlign w:val="bottom"/>
            <w:gridSpan w:val="4"/>
          </w:tcPr>
          <w:p>
            <w:pPr>
              <w:spacing w:after="0"/>
              <w:rPr>
                <w:sz w:val="20"/>
                <w:szCs w:val="20"/>
                <w:color w:val="auto"/>
              </w:rPr>
            </w:pPr>
            <w:r>
              <w:rPr>
                <w:rFonts w:ascii="Arial" w:cs="Arial" w:eastAsia="Arial" w:hAnsi="Arial"/>
                <w:sz w:val="18"/>
                <w:szCs w:val="18"/>
                <w:color w:val="auto"/>
              </w:rPr>
              <w:t>ARTICLE VII NEGATIVE COVENANTS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7.01</w:t>
            </w:r>
          </w:p>
        </w:tc>
        <w:tc>
          <w:tcPr>
            <w:tcW w:w="10500" w:type="dxa"/>
            <w:vAlign w:val="bottom"/>
            <w:gridSpan w:val="3"/>
          </w:tcPr>
          <w:p>
            <w:pPr>
              <w:spacing w:after="0"/>
              <w:rPr>
                <w:sz w:val="20"/>
                <w:szCs w:val="20"/>
                <w:color w:val="auto"/>
              </w:rPr>
            </w:pPr>
            <w:r>
              <w:rPr>
                <w:rFonts w:ascii="Arial" w:cs="Arial" w:eastAsia="Arial" w:hAnsi="Arial"/>
                <w:sz w:val="18"/>
                <w:szCs w:val="18"/>
                <w:color w:val="auto"/>
              </w:rPr>
              <w:t>Liens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7.02</w:t>
            </w:r>
          </w:p>
        </w:tc>
        <w:tc>
          <w:tcPr>
            <w:tcW w:w="10500" w:type="dxa"/>
            <w:vAlign w:val="bottom"/>
            <w:gridSpan w:val="3"/>
          </w:tcPr>
          <w:p>
            <w:pPr>
              <w:spacing w:after="0"/>
              <w:rPr>
                <w:sz w:val="20"/>
                <w:szCs w:val="20"/>
                <w:color w:val="auto"/>
              </w:rPr>
            </w:pPr>
            <w:r>
              <w:rPr>
                <w:rFonts w:ascii="Arial" w:cs="Arial" w:eastAsia="Arial" w:hAnsi="Arial"/>
                <w:sz w:val="18"/>
                <w:szCs w:val="18"/>
                <w:color w:val="auto"/>
              </w:rPr>
              <w:t>Indebtedness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7.03</w:t>
            </w:r>
          </w:p>
        </w:tc>
        <w:tc>
          <w:tcPr>
            <w:tcW w:w="1050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7.04</w:t>
            </w:r>
          </w:p>
        </w:tc>
        <w:tc>
          <w:tcPr>
            <w:tcW w:w="10500" w:type="dxa"/>
            <w:vAlign w:val="bottom"/>
            <w:gridSpan w:val="3"/>
          </w:tcPr>
          <w:p>
            <w:pPr>
              <w:spacing w:after="0"/>
              <w:rPr>
                <w:sz w:val="20"/>
                <w:szCs w:val="20"/>
                <w:color w:val="auto"/>
              </w:rPr>
            </w:pPr>
            <w:r>
              <w:rPr>
                <w:rFonts w:ascii="Arial" w:cs="Arial" w:eastAsia="Arial" w:hAnsi="Arial"/>
                <w:sz w:val="18"/>
                <w:szCs w:val="18"/>
                <w:color w:val="auto"/>
              </w:rPr>
              <w:t>Fundamental Changes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7.05</w:t>
            </w:r>
          </w:p>
        </w:tc>
        <w:tc>
          <w:tcPr>
            <w:tcW w:w="10500" w:type="dxa"/>
            <w:vAlign w:val="bottom"/>
            <w:gridSpan w:val="3"/>
          </w:tcPr>
          <w:p>
            <w:pPr>
              <w:spacing w:after="0"/>
              <w:rPr>
                <w:sz w:val="20"/>
                <w:szCs w:val="20"/>
                <w:color w:val="auto"/>
              </w:rPr>
            </w:pPr>
            <w:r>
              <w:rPr>
                <w:rFonts w:ascii="Arial" w:cs="Arial" w:eastAsia="Arial" w:hAnsi="Arial"/>
                <w:sz w:val="18"/>
                <w:szCs w:val="18"/>
                <w:color w:val="auto"/>
              </w:rPr>
              <w:t>Dispositions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7.06</w:t>
            </w:r>
          </w:p>
        </w:tc>
        <w:tc>
          <w:tcPr>
            <w:tcW w:w="10500" w:type="dxa"/>
            <w:vAlign w:val="bottom"/>
            <w:gridSpan w:val="3"/>
          </w:tcPr>
          <w:p>
            <w:pPr>
              <w:spacing w:after="0"/>
              <w:rPr>
                <w:sz w:val="20"/>
                <w:szCs w:val="20"/>
                <w:color w:val="auto"/>
              </w:rPr>
            </w:pPr>
            <w:r>
              <w:rPr>
                <w:rFonts w:ascii="Arial" w:cs="Arial" w:eastAsia="Arial" w:hAnsi="Arial"/>
                <w:sz w:val="18"/>
                <w:szCs w:val="18"/>
                <w:color w:val="auto"/>
              </w:rPr>
              <w:t>Restricted Payments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7.07</w:t>
            </w:r>
          </w:p>
        </w:tc>
        <w:tc>
          <w:tcPr>
            <w:tcW w:w="10500" w:type="dxa"/>
            <w:vAlign w:val="bottom"/>
            <w:gridSpan w:val="3"/>
          </w:tcPr>
          <w:p>
            <w:pPr>
              <w:spacing w:after="0"/>
              <w:rPr>
                <w:sz w:val="20"/>
                <w:szCs w:val="20"/>
                <w:color w:val="auto"/>
              </w:rPr>
            </w:pPr>
            <w:r>
              <w:rPr>
                <w:rFonts w:ascii="Arial" w:cs="Arial" w:eastAsia="Arial" w:hAnsi="Arial"/>
                <w:sz w:val="18"/>
                <w:szCs w:val="18"/>
                <w:color w:val="auto"/>
              </w:rPr>
              <w:t>Change in Nature of Business</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79</w:t>
            </w: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7.08</w:t>
            </w:r>
          </w:p>
        </w:tc>
        <w:tc>
          <w:tcPr>
            <w:tcW w:w="10500" w:type="dxa"/>
            <w:vAlign w:val="bottom"/>
            <w:gridSpan w:val="3"/>
          </w:tcPr>
          <w:p>
            <w:pPr>
              <w:spacing w:after="0"/>
              <w:rPr>
                <w:sz w:val="20"/>
                <w:szCs w:val="20"/>
                <w:color w:val="auto"/>
              </w:rPr>
            </w:pPr>
            <w:r>
              <w:rPr>
                <w:rFonts w:ascii="Arial" w:cs="Arial" w:eastAsia="Arial" w:hAnsi="Arial"/>
                <w:sz w:val="18"/>
                <w:szCs w:val="18"/>
                <w:color w:val="auto"/>
              </w:rPr>
              <w:t>Transactions with Affiliates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7.09</w:t>
            </w:r>
          </w:p>
        </w:tc>
        <w:tc>
          <w:tcPr>
            <w:tcW w:w="10500" w:type="dxa"/>
            <w:vAlign w:val="bottom"/>
            <w:gridSpan w:val="3"/>
          </w:tcPr>
          <w:p>
            <w:pPr>
              <w:spacing w:after="0"/>
              <w:rPr>
                <w:sz w:val="20"/>
                <w:szCs w:val="20"/>
                <w:color w:val="auto"/>
              </w:rPr>
            </w:pPr>
            <w:r>
              <w:rPr>
                <w:rFonts w:ascii="Arial" w:cs="Arial" w:eastAsia="Arial" w:hAnsi="Arial"/>
                <w:sz w:val="18"/>
                <w:szCs w:val="18"/>
                <w:color w:val="auto"/>
              </w:rPr>
              <w:t>Burdensome Agreements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7.10</w:t>
            </w:r>
          </w:p>
        </w:tc>
        <w:tc>
          <w:tcPr>
            <w:tcW w:w="10500" w:type="dxa"/>
            <w:vAlign w:val="bottom"/>
            <w:gridSpan w:val="3"/>
          </w:tcPr>
          <w:p>
            <w:pPr>
              <w:spacing w:after="0"/>
              <w:rPr>
                <w:sz w:val="20"/>
                <w:szCs w:val="20"/>
                <w:color w:val="auto"/>
              </w:rPr>
            </w:pPr>
            <w:r>
              <w:rPr>
                <w:rFonts w:ascii="Arial" w:cs="Arial" w:eastAsia="Arial" w:hAnsi="Arial"/>
                <w:sz w:val="18"/>
                <w:szCs w:val="18"/>
                <w:color w:val="auto"/>
              </w:rPr>
              <w:t>Use of Proceeds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7.11</w:t>
            </w:r>
          </w:p>
        </w:tc>
        <w:tc>
          <w:tcPr>
            <w:tcW w:w="10500" w:type="dxa"/>
            <w:vAlign w:val="bottom"/>
            <w:gridSpan w:val="3"/>
          </w:tcPr>
          <w:p>
            <w:pPr>
              <w:spacing w:after="0"/>
              <w:rPr>
                <w:sz w:val="20"/>
                <w:szCs w:val="20"/>
                <w:color w:val="auto"/>
              </w:rPr>
            </w:pPr>
            <w:r>
              <w:rPr>
                <w:rFonts w:ascii="Arial" w:cs="Arial" w:eastAsia="Arial" w:hAnsi="Arial"/>
                <w:sz w:val="18"/>
                <w:szCs w:val="18"/>
                <w:color w:val="auto"/>
              </w:rPr>
              <w:t>Financial Covenants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7.12</w:t>
            </w:r>
          </w:p>
        </w:tc>
        <w:tc>
          <w:tcPr>
            <w:tcW w:w="105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7.13</w:t>
            </w:r>
          </w:p>
        </w:tc>
        <w:tc>
          <w:tcPr>
            <w:tcW w:w="10500" w:type="dxa"/>
            <w:vAlign w:val="bottom"/>
            <w:gridSpan w:val="3"/>
          </w:tcPr>
          <w:p>
            <w:pPr>
              <w:spacing w:after="0"/>
              <w:rPr>
                <w:sz w:val="20"/>
                <w:szCs w:val="20"/>
                <w:color w:val="auto"/>
              </w:rPr>
            </w:pPr>
            <w:r>
              <w:rPr>
                <w:rFonts w:ascii="Arial" w:cs="Arial" w:eastAsia="Arial" w:hAnsi="Arial"/>
                <w:sz w:val="18"/>
                <w:szCs w:val="18"/>
                <w:color w:val="auto"/>
                <w:w w:val="97"/>
              </w:rPr>
              <w:t>Amendments of Organization Documents; Fiscal Year; Legal Name, Jurisdiction of Formation; Form of Entity and Accounting Changes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7.14</w:t>
            </w:r>
          </w:p>
        </w:tc>
        <w:tc>
          <w:tcPr>
            <w:tcW w:w="10500" w:type="dxa"/>
            <w:vAlign w:val="bottom"/>
            <w:gridSpan w:val="3"/>
          </w:tcPr>
          <w:p>
            <w:pPr>
              <w:spacing w:after="0"/>
              <w:rPr>
                <w:sz w:val="20"/>
                <w:szCs w:val="20"/>
                <w:color w:val="auto"/>
              </w:rPr>
            </w:pPr>
            <w:r>
              <w:rPr>
                <w:rFonts w:ascii="Arial" w:cs="Arial" w:eastAsia="Arial" w:hAnsi="Arial"/>
                <w:sz w:val="18"/>
                <w:szCs w:val="18"/>
                <w:color w:val="auto"/>
              </w:rPr>
              <w:t>Sale and Leaseback Transactions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7.15</w:t>
            </w:r>
          </w:p>
        </w:tc>
        <w:tc>
          <w:tcPr>
            <w:tcW w:w="10500" w:type="dxa"/>
            <w:vAlign w:val="bottom"/>
            <w:gridSpan w:val="3"/>
          </w:tcPr>
          <w:p>
            <w:pPr>
              <w:spacing w:after="0"/>
              <w:rPr>
                <w:sz w:val="20"/>
                <w:szCs w:val="20"/>
                <w:color w:val="auto"/>
              </w:rPr>
            </w:pPr>
            <w:r>
              <w:rPr>
                <w:rFonts w:ascii="Arial" w:cs="Arial" w:eastAsia="Arial" w:hAnsi="Arial"/>
                <w:sz w:val="18"/>
                <w:szCs w:val="18"/>
                <w:color w:val="auto"/>
              </w:rPr>
              <w:t>Prepayments, Etc. of Indebtedness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7.16</w:t>
            </w:r>
          </w:p>
        </w:tc>
        <w:tc>
          <w:tcPr>
            <w:tcW w:w="10500" w:type="dxa"/>
            <w:vAlign w:val="bottom"/>
            <w:gridSpan w:val="3"/>
          </w:tcPr>
          <w:p>
            <w:pPr>
              <w:spacing w:after="0"/>
              <w:rPr>
                <w:sz w:val="20"/>
                <w:szCs w:val="20"/>
                <w:color w:val="auto"/>
              </w:rPr>
            </w:pPr>
            <w:r>
              <w:rPr>
                <w:rFonts w:ascii="Arial" w:cs="Arial" w:eastAsia="Arial" w:hAnsi="Arial"/>
                <w:sz w:val="18"/>
                <w:szCs w:val="18"/>
                <w:color w:val="auto"/>
              </w:rPr>
              <w:t>Amendment, Etc. of Indebtedness</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82</w:t>
            </w: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7.17</w:t>
            </w:r>
          </w:p>
        </w:tc>
        <w:tc>
          <w:tcPr>
            <w:tcW w:w="10500" w:type="dxa"/>
            <w:vAlign w:val="bottom"/>
            <w:gridSpan w:val="3"/>
          </w:tcPr>
          <w:p>
            <w:pPr>
              <w:spacing w:after="0"/>
              <w:rPr>
                <w:sz w:val="20"/>
                <w:szCs w:val="20"/>
                <w:color w:val="auto"/>
              </w:rPr>
            </w:pPr>
            <w:r>
              <w:rPr>
                <w:rFonts w:ascii="Arial" w:cs="Arial" w:eastAsia="Arial" w:hAnsi="Arial"/>
                <w:sz w:val="18"/>
                <w:szCs w:val="18"/>
                <w:color w:val="auto"/>
              </w:rPr>
              <w:t>Sanctions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1000" w:type="dxa"/>
            <w:vAlign w:val="bottom"/>
            <w:gridSpan w:val="4"/>
          </w:tcPr>
          <w:p>
            <w:pPr>
              <w:spacing w:after="0"/>
              <w:rPr>
                <w:sz w:val="20"/>
                <w:szCs w:val="20"/>
                <w:color w:val="auto"/>
              </w:rPr>
            </w:pPr>
            <w:r>
              <w:rPr>
                <w:rFonts w:ascii="Arial" w:cs="Arial" w:eastAsia="Arial" w:hAnsi="Arial"/>
                <w:sz w:val="18"/>
                <w:szCs w:val="18"/>
                <w:color w:val="auto"/>
              </w:rPr>
              <w:t>ARTICLE VIII EVENTS OF DEFAULT AND REMEDIES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8.01</w:t>
            </w:r>
          </w:p>
        </w:tc>
        <w:tc>
          <w:tcPr>
            <w:tcW w:w="10500" w:type="dxa"/>
            <w:vAlign w:val="bottom"/>
            <w:gridSpan w:val="3"/>
          </w:tcPr>
          <w:p>
            <w:pPr>
              <w:spacing w:after="0"/>
              <w:rPr>
                <w:sz w:val="20"/>
                <w:szCs w:val="20"/>
                <w:color w:val="auto"/>
              </w:rPr>
            </w:pPr>
            <w:r>
              <w:rPr>
                <w:rFonts w:ascii="Arial" w:cs="Arial" w:eastAsia="Arial" w:hAnsi="Arial"/>
                <w:sz w:val="18"/>
                <w:szCs w:val="18"/>
                <w:color w:val="auto"/>
              </w:rPr>
              <w:t>Events of Default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8.02</w:t>
            </w:r>
          </w:p>
        </w:tc>
        <w:tc>
          <w:tcPr>
            <w:tcW w:w="10500" w:type="dxa"/>
            <w:vAlign w:val="bottom"/>
            <w:gridSpan w:val="3"/>
          </w:tcPr>
          <w:p>
            <w:pPr>
              <w:spacing w:after="0"/>
              <w:rPr>
                <w:sz w:val="20"/>
                <w:szCs w:val="20"/>
                <w:color w:val="auto"/>
              </w:rPr>
            </w:pPr>
            <w:r>
              <w:rPr>
                <w:rFonts w:ascii="Arial" w:cs="Arial" w:eastAsia="Arial" w:hAnsi="Arial"/>
                <w:sz w:val="18"/>
                <w:szCs w:val="18"/>
                <w:color w:val="auto"/>
              </w:rPr>
              <w:t>Remedies upon Event of Default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8.03</w:t>
            </w:r>
          </w:p>
        </w:tc>
        <w:tc>
          <w:tcPr>
            <w:tcW w:w="10500" w:type="dxa"/>
            <w:vAlign w:val="bottom"/>
            <w:gridSpan w:val="3"/>
          </w:tcPr>
          <w:p>
            <w:pPr>
              <w:spacing w:after="0"/>
              <w:rPr>
                <w:sz w:val="20"/>
                <w:szCs w:val="20"/>
                <w:color w:val="auto"/>
              </w:rPr>
            </w:pPr>
            <w:r>
              <w:rPr>
                <w:rFonts w:ascii="Arial" w:cs="Arial" w:eastAsia="Arial" w:hAnsi="Arial"/>
                <w:sz w:val="18"/>
                <w:szCs w:val="18"/>
                <w:color w:val="auto"/>
              </w:rPr>
              <w:t>Application of Funds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1000" w:type="dxa"/>
            <w:vAlign w:val="bottom"/>
            <w:gridSpan w:val="4"/>
          </w:tcPr>
          <w:p>
            <w:pPr>
              <w:spacing w:after="0"/>
              <w:rPr>
                <w:sz w:val="20"/>
                <w:szCs w:val="20"/>
                <w:color w:val="auto"/>
              </w:rPr>
            </w:pPr>
            <w:r>
              <w:rPr>
                <w:rFonts w:ascii="Arial" w:cs="Arial" w:eastAsia="Arial" w:hAnsi="Arial"/>
                <w:sz w:val="18"/>
                <w:szCs w:val="18"/>
                <w:color w:val="auto"/>
              </w:rPr>
              <w:t>ARTICLE IX ADMINISTRATIVE AGENT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9.01</w:t>
            </w:r>
          </w:p>
        </w:tc>
        <w:tc>
          <w:tcPr>
            <w:tcW w:w="10500" w:type="dxa"/>
            <w:vAlign w:val="bottom"/>
            <w:gridSpan w:val="3"/>
          </w:tcPr>
          <w:p>
            <w:pPr>
              <w:spacing w:after="0"/>
              <w:rPr>
                <w:sz w:val="20"/>
                <w:szCs w:val="20"/>
                <w:color w:val="auto"/>
              </w:rPr>
            </w:pPr>
            <w:r>
              <w:rPr>
                <w:rFonts w:ascii="Arial" w:cs="Arial" w:eastAsia="Arial" w:hAnsi="Arial"/>
                <w:sz w:val="18"/>
                <w:szCs w:val="18"/>
                <w:color w:val="auto"/>
              </w:rPr>
              <w:t>Appointment and Authority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9.02</w:t>
            </w:r>
          </w:p>
        </w:tc>
        <w:tc>
          <w:tcPr>
            <w:tcW w:w="10500" w:type="dxa"/>
            <w:vAlign w:val="bottom"/>
            <w:gridSpan w:val="3"/>
          </w:tcPr>
          <w:p>
            <w:pPr>
              <w:spacing w:after="0"/>
              <w:rPr>
                <w:sz w:val="20"/>
                <w:szCs w:val="20"/>
                <w:color w:val="auto"/>
              </w:rPr>
            </w:pPr>
            <w:r>
              <w:rPr>
                <w:rFonts w:ascii="Arial" w:cs="Arial" w:eastAsia="Arial" w:hAnsi="Arial"/>
                <w:sz w:val="18"/>
                <w:szCs w:val="18"/>
                <w:color w:val="auto"/>
              </w:rPr>
              <w:t>Rights as a Lender</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88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87</w:t>
            </w: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9.03</w:t>
            </w:r>
          </w:p>
        </w:tc>
        <w:tc>
          <w:tcPr>
            <w:tcW w:w="10500" w:type="dxa"/>
            <w:vAlign w:val="bottom"/>
            <w:gridSpan w:val="3"/>
          </w:tcPr>
          <w:p>
            <w:pPr>
              <w:spacing w:after="0"/>
              <w:rPr>
                <w:sz w:val="20"/>
                <w:szCs w:val="20"/>
                <w:color w:val="auto"/>
              </w:rPr>
            </w:pPr>
            <w:r>
              <w:rPr>
                <w:rFonts w:ascii="Arial" w:cs="Arial" w:eastAsia="Arial" w:hAnsi="Arial"/>
                <w:sz w:val="18"/>
                <w:szCs w:val="18"/>
                <w:color w:val="auto"/>
              </w:rPr>
              <w:t>Exculpatory Provisions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9.04</w:t>
            </w:r>
          </w:p>
        </w:tc>
        <w:tc>
          <w:tcPr>
            <w:tcW w:w="10500" w:type="dxa"/>
            <w:vAlign w:val="bottom"/>
            <w:gridSpan w:val="3"/>
          </w:tcPr>
          <w:p>
            <w:pPr>
              <w:spacing w:after="0"/>
              <w:rPr>
                <w:sz w:val="20"/>
                <w:szCs w:val="20"/>
                <w:color w:val="auto"/>
              </w:rPr>
            </w:pPr>
            <w:r>
              <w:rPr>
                <w:rFonts w:ascii="Arial" w:cs="Arial" w:eastAsia="Arial" w:hAnsi="Arial"/>
                <w:sz w:val="18"/>
                <w:szCs w:val="18"/>
                <w:color w:val="auto"/>
              </w:rPr>
              <w:t>Reliance by Administrative Agent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9.05</w:t>
            </w:r>
          </w:p>
        </w:tc>
        <w:tc>
          <w:tcPr>
            <w:tcW w:w="10500" w:type="dxa"/>
            <w:vAlign w:val="bottom"/>
            <w:gridSpan w:val="3"/>
          </w:tcPr>
          <w:p>
            <w:pPr>
              <w:spacing w:after="0"/>
              <w:rPr>
                <w:sz w:val="20"/>
                <w:szCs w:val="20"/>
                <w:color w:val="auto"/>
              </w:rPr>
            </w:pPr>
            <w:r>
              <w:rPr>
                <w:rFonts w:ascii="Arial" w:cs="Arial" w:eastAsia="Arial" w:hAnsi="Arial"/>
                <w:sz w:val="18"/>
                <w:szCs w:val="18"/>
                <w:color w:val="auto"/>
              </w:rPr>
              <w:t>Delegation of Duties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9.06</w:t>
            </w:r>
          </w:p>
        </w:tc>
        <w:tc>
          <w:tcPr>
            <w:tcW w:w="10500" w:type="dxa"/>
            <w:vAlign w:val="bottom"/>
            <w:gridSpan w:val="3"/>
          </w:tcPr>
          <w:p>
            <w:pPr>
              <w:spacing w:after="0"/>
              <w:rPr>
                <w:sz w:val="20"/>
                <w:szCs w:val="20"/>
                <w:color w:val="auto"/>
              </w:rPr>
            </w:pPr>
            <w:r>
              <w:rPr>
                <w:rFonts w:ascii="Arial" w:cs="Arial" w:eastAsia="Arial" w:hAnsi="Arial"/>
                <w:sz w:val="18"/>
                <w:szCs w:val="18"/>
                <w:color w:val="auto"/>
              </w:rPr>
              <w:t>Resignation of Administrative Agent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9.07</w:t>
            </w:r>
          </w:p>
        </w:tc>
        <w:tc>
          <w:tcPr>
            <w:tcW w:w="10500" w:type="dxa"/>
            <w:vAlign w:val="bottom"/>
            <w:gridSpan w:val="3"/>
          </w:tcPr>
          <w:p>
            <w:pPr>
              <w:spacing w:after="0"/>
              <w:rPr>
                <w:sz w:val="20"/>
                <w:szCs w:val="20"/>
                <w:color w:val="auto"/>
              </w:rPr>
            </w:pPr>
            <w:r>
              <w:rPr>
                <w:rFonts w:ascii="Arial" w:cs="Arial" w:eastAsia="Arial" w:hAnsi="Arial"/>
                <w:sz w:val="18"/>
                <w:szCs w:val="18"/>
                <w:color w:val="auto"/>
              </w:rPr>
              <w:t>Non-Reliance on Administrative Agent and Other Lenders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9.08</w:t>
            </w:r>
          </w:p>
        </w:tc>
        <w:tc>
          <w:tcPr>
            <w:tcW w:w="10500" w:type="dxa"/>
            <w:vAlign w:val="bottom"/>
            <w:gridSpan w:val="3"/>
          </w:tcPr>
          <w:p>
            <w:pPr>
              <w:spacing w:after="0"/>
              <w:rPr>
                <w:sz w:val="20"/>
                <w:szCs w:val="20"/>
                <w:color w:val="auto"/>
              </w:rPr>
            </w:pPr>
            <w:r>
              <w:rPr>
                <w:rFonts w:ascii="Arial" w:cs="Arial" w:eastAsia="Arial" w:hAnsi="Arial"/>
                <w:sz w:val="18"/>
                <w:szCs w:val="18"/>
                <w:color w:val="auto"/>
              </w:rPr>
              <w:t>No Other Duties, Etc.</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90</w:t>
            </w: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9.09</w:t>
            </w:r>
          </w:p>
        </w:tc>
        <w:tc>
          <w:tcPr>
            <w:tcW w:w="10500" w:type="dxa"/>
            <w:vAlign w:val="bottom"/>
            <w:gridSpan w:val="3"/>
          </w:tcPr>
          <w:p>
            <w:pPr>
              <w:spacing w:after="0"/>
              <w:rPr>
                <w:sz w:val="20"/>
                <w:szCs w:val="20"/>
                <w:color w:val="auto"/>
              </w:rPr>
            </w:pPr>
            <w:r>
              <w:rPr>
                <w:rFonts w:ascii="Arial" w:cs="Arial" w:eastAsia="Arial" w:hAnsi="Arial"/>
                <w:sz w:val="18"/>
                <w:szCs w:val="18"/>
                <w:color w:val="auto"/>
              </w:rPr>
              <w:t>Administrative Agent May File Proofs of Claim; Credit Bidding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9.10</w:t>
            </w:r>
          </w:p>
        </w:tc>
        <w:tc>
          <w:tcPr>
            <w:tcW w:w="10500" w:type="dxa"/>
            <w:vAlign w:val="bottom"/>
            <w:gridSpan w:val="3"/>
          </w:tcPr>
          <w:p>
            <w:pPr>
              <w:spacing w:after="0"/>
              <w:rPr>
                <w:sz w:val="20"/>
                <w:szCs w:val="20"/>
                <w:color w:val="auto"/>
              </w:rPr>
            </w:pPr>
            <w:r>
              <w:rPr>
                <w:rFonts w:ascii="Arial" w:cs="Arial" w:eastAsia="Arial" w:hAnsi="Arial"/>
                <w:sz w:val="18"/>
                <w:szCs w:val="18"/>
                <w:color w:val="auto"/>
              </w:rPr>
              <w:t>Collateral and Guaranty Matters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9.11</w:t>
            </w:r>
          </w:p>
        </w:tc>
        <w:tc>
          <w:tcPr>
            <w:tcW w:w="10500" w:type="dxa"/>
            <w:vAlign w:val="bottom"/>
            <w:gridSpan w:val="3"/>
          </w:tcPr>
          <w:p>
            <w:pPr>
              <w:spacing w:after="0"/>
              <w:rPr>
                <w:sz w:val="20"/>
                <w:szCs w:val="20"/>
                <w:color w:val="auto"/>
              </w:rPr>
            </w:pPr>
            <w:r>
              <w:rPr>
                <w:rFonts w:ascii="Arial" w:cs="Arial" w:eastAsia="Arial" w:hAnsi="Arial"/>
                <w:sz w:val="18"/>
                <w:szCs w:val="18"/>
                <w:color w:val="auto"/>
              </w:rPr>
              <w:t>Secured Cash Management Agreements and Secured Hedge Agreements</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92</w:t>
            </w:r>
          </w:p>
        </w:tc>
      </w:tr>
      <w:tr>
        <w:trPr>
          <w:trHeight w:val="345"/>
        </w:trPr>
        <w:tc>
          <w:tcPr>
            <w:tcW w:w="11000" w:type="dxa"/>
            <w:vAlign w:val="bottom"/>
            <w:gridSpan w:val="4"/>
          </w:tcPr>
          <w:p>
            <w:pPr>
              <w:spacing w:after="0"/>
              <w:rPr>
                <w:sz w:val="20"/>
                <w:szCs w:val="20"/>
                <w:color w:val="auto"/>
              </w:rPr>
            </w:pPr>
            <w:r>
              <w:rPr>
                <w:rFonts w:ascii="Arial" w:cs="Arial" w:eastAsia="Arial" w:hAnsi="Arial"/>
                <w:sz w:val="18"/>
                <w:szCs w:val="18"/>
                <w:color w:val="auto"/>
              </w:rPr>
              <w:t>ARTICLE X CONTINUING GUARANTY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10.01</w:t>
            </w:r>
          </w:p>
        </w:tc>
        <w:tc>
          <w:tcPr>
            <w:tcW w:w="10500" w:type="dxa"/>
            <w:vAlign w:val="bottom"/>
            <w:gridSpan w:val="3"/>
          </w:tcPr>
          <w:p>
            <w:pPr>
              <w:spacing w:after="0"/>
              <w:rPr>
                <w:sz w:val="20"/>
                <w:szCs w:val="20"/>
                <w:color w:val="auto"/>
              </w:rPr>
            </w:pPr>
            <w:r>
              <w:rPr>
                <w:rFonts w:ascii="Arial" w:cs="Arial" w:eastAsia="Arial" w:hAnsi="Arial"/>
                <w:sz w:val="18"/>
                <w:szCs w:val="18"/>
                <w:color w:val="auto"/>
              </w:rPr>
              <w:t>Guaranty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10.02</w:t>
            </w:r>
          </w:p>
        </w:tc>
        <w:tc>
          <w:tcPr>
            <w:tcW w:w="10500" w:type="dxa"/>
            <w:vAlign w:val="bottom"/>
            <w:gridSpan w:val="3"/>
          </w:tcPr>
          <w:p>
            <w:pPr>
              <w:spacing w:after="0"/>
              <w:rPr>
                <w:sz w:val="20"/>
                <w:szCs w:val="20"/>
                <w:color w:val="auto"/>
              </w:rPr>
            </w:pPr>
            <w:r>
              <w:rPr>
                <w:rFonts w:ascii="Arial" w:cs="Arial" w:eastAsia="Arial" w:hAnsi="Arial"/>
                <w:sz w:val="18"/>
                <w:szCs w:val="18"/>
                <w:color w:val="auto"/>
              </w:rPr>
              <w:t>Rights of Lenders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365"/>
        </w:trPr>
        <w:tc>
          <w:tcPr>
            <w:tcW w:w="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80" w:type="dxa"/>
            <w:vAlign w:val="bottom"/>
          </w:tcPr>
          <w:p>
            <w:pPr>
              <w:ind w:left="2520"/>
              <w:spacing w:after="0"/>
              <w:rPr>
                <w:sz w:val="20"/>
                <w:szCs w:val="20"/>
                <w:color w:val="auto"/>
              </w:rPr>
            </w:pPr>
            <w:r>
              <w:rPr>
                <w:rFonts w:ascii="Arial" w:cs="Arial" w:eastAsia="Arial" w:hAnsi="Arial"/>
                <w:sz w:val="18"/>
                <w:szCs w:val="18"/>
                <w:color w:val="auto"/>
              </w:rPr>
              <w:t>iii</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365"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 w:name="page19"/>
    <w:bookmarkEnd w:id="18"/>
    <w:tbl>
      <w:tblPr>
        <w:tblLayout w:type="fixed"/>
        <w:tblInd w:w="0" w:type="dxa"/>
        <w:tblCellMar>
          <w:top w:w="0" w:type="dxa"/>
          <w:left w:w="0" w:type="dxa"/>
          <w:bottom w:w="0" w:type="dxa"/>
          <w:right w:w="0" w:type="dxa"/>
        </w:tblCellMar>
      </w:tblPr>
      <w:tr>
        <w:trPr>
          <w:trHeight w:val="230"/>
        </w:trPr>
        <w:tc>
          <w:tcPr>
            <w:tcW w:w="500" w:type="dxa"/>
            <w:vAlign w:val="bottom"/>
            <w:gridSpan w:val="2"/>
          </w:tcPr>
          <w:p>
            <w:pPr>
              <w:spacing w:after="0"/>
              <w:rPr>
                <w:sz w:val="20"/>
                <w:szCs w:val="20"/>
                <w:color w:val="auto"/>
              </w:rPr>
            </w:pPr>
            <w:r>
              <w:rPr>
                <w:rFonts w:ascii="Arial" w:cs="Arial" w:eastAsia="Arial" w:hAnsi="Arial"/>
                <w:sz w:val="18"/>
                <w:szCs w:val="18"/>
                <w:color w:val="auto"/>
              </w:rPr>
              <w:t>10.03</w:t>
            </w:r>
          </w:p>
        </w:tc>
        <w:tc>
          <w:tcPr>
            <w:tcW w:w="10320" w:type="dxa"/>
            <w:vAlign w:val="bottom"/>
            <w:gridSpan w:val="2"/>
          </w:tcPr>
          <w:p>
            <w:pPr>
              <w:spacing w:after="0"/>
              <w:rPr>
                <w:sz w:val="20"/>
                <w:szCs w:val="20"/>
                <w:color w:val="auto"/>
              </w:rPr>
            </w:pPr>
            <w:r>
              <w:rPr>
                <w:rFonts w:ascii="Arial" w:cs="Arial" w:eastAsia="Arial" w:hAnsi="Arial"/>
                <w:sz w:val="18"/>
                <w:szCs w:val="18"/>
                <w:color w:val="auto"/>
              </w:rPr>
              <w:t>Certain Waivers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10.04</w:t>
            </w:r>
          </w:p>
        </w:tc>
        <w:tc>
          <w:tcPr>
            <w:tcW w:w="10320" w:type="dxa"/>
            <w:vAlign w:val="bottom"/>
            <w:gridSpan w:val="2"/>
          </w:tcPr>
          <w:p>
            <w:pPr>
              <w:spacing w:after="0"/>
              <w:rPr>
                <w:sz w:val="20"/>
                <w:szCs w:val="20"/>
                <w:color w:val="auto"/>
              </w:rPr>
            </w:pPr>
            <w:r>
              <w:rPr>
                <w:rFonts w:ascii="Arial" w:cs="Arial" w:eastAsia="Arial" w:hAnsi="Arial"/>
                <w:sz w:val="18"/>
                <w:szCs w:val="18"/>
                <w:color w:val="auto"/>
              </w:rPr>
              <w:t>Obligations Independent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84"/>
        </w:trPr>
        <w:tc>
          <w:tcPr>
            <w:tcW w:w="500" w:type="dxa"/>
            <w:vAlign w:val="bottom"/>
            <w:gridSpan w:val="2"/>
          </w:tcPr>
          <w:p>
            <w:pPr>
              <w:spacing w:after="0"/>
              <w:rPr>
                <w:sz w:val="20"/>
                <w:szCs w:val="20"/>
                <w:color w:val="auto"/>
              </w:rPr>
            </w:pPr>
            <w:r>
              <w:rPr>
                <w:rFonts w:ascii="Arial" w:cs="Arial" w:eastAsia="Arial" w:hAnsi="Arial"/>
                <w:sz w:val="18"/>
                <w:szCs w:val="18"/>
                <w:color w:val="auto"/>
              </w:rPr>
              <w:t>10.05</w:t>
            </w:r>
          </w:p>
        </w:tc>
        <w:tc>
          <w:tcPr>
            <w:tcW w:w="10320" w:type="dxa"/>
            <w:vAlign w:val="bottom"/>
            <w:gridSpan w:val="2"/>
          </w:tcPr>
          <w:p>
            <w:pPr>
              <w:spacing w:after="0"/>
              <w:rPr>
                <w:sz w:val="20"/>
                <w:szCs w:val="20"/>
                <w:color w:val="auto"/>
              </w:rPr>
            </w:pPr>
            <w:r>
              <w:rPr>
                <w:rFonts w:ascii="Arial" w:cs="Arial" w:eastAsia="Arial" w:hAnsi="Arial"/>
                <w:sz w:val="18"/>
                <w:szCs w:val="18"/>
                <w:color w:val="auto"/>
              </w:rPr>
              <w:t>Subrogation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strike w:val="1"/>
              </w:rPr>
              <w:t>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94</w:t>
            </w:r>
          </w:p>
        </w:tc>
      </w:tr>
      <w:tr>
        <w:trPr>
          <w:trHeight w:val="345"/>
        </w:trPr>
        <w:tc>
          <w:tcPr>
            <w:tcW w:w="500" w:type="dxa"/>
            <w:vAlign w:val="bottom"/>
            <w:gridSpan w:val="2"/>
          </w:tcPr>
          <w:p>
            <w:pPr>
              <w:spacing w:after="0"/>
              <w:rPr>
                <w:sz w:val="20"/>
                <w:szCs w:val="20"/>
                <w:color w:val="auto"/>
              </w:rPr>
            </w:pPr>
            <w:r>
              <w:rPr>
                <w:rFonts w:ascii="Arial" w:cs="Arial" w:eastAsia="Arial" w:hAnsi="Arial"/>
                <w:sz w:val="18"/>
                <w:szCs w:val="18"/>
                <w:color w:val="auto"/>
              </w:rPr>
              <w:t>10.06</w:t>
            </w:r>
          </w:p>
        </w:tc>
        <w:tc>
          <w:tcPr>
            <w:tcW w:w="10320" w:type="dxa"/>
            <w:vAlign w:val="bottom"/>
            <w:gridSpan w:val="2"/>
          </w:tcPr>
          <w:p>
            <w:pPr>
              <w:spacing w:after="0"/>
              <w:rPr>
                <w:sz w:val="20"/>
                <w:szCs w:val="20"/>
                <w:color w:val="auto"/>
              </w:rPr>
            </w:pPr>
            <w:r>
              <w:rPr>
                <w:rFonts w:ascii="Arial" w:cs="Arial" w:eastAsia="Arial" w:hAnsi="Arial"/>
                <w:sz w:val="18"/>
                <w:szCs w:val="18"/>
                <w:color w:val="auto"/>
              </w:rPr>
              <w:t>Termination; Reinstatement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10.07</w:t>
            </w:r>
          </w:p>
        </w:tc>
        <w:tc>
          <w:tcPr>
            <w:tcW w:w="10320" w:type="dxa"/>
            <w:vAlign w:val="bottom"/>
            <w:gridSpan w:val="2"/>
          </w:tcPr>
          <w:p>
            <w:pPr>
              <w:spacing w:after="0"/>
              <w:rPr>
                <w:sz w:val="20"/>
                <w:szCs w:val="20"/>
                <w:color w:val="auto"/>
              </w:rPr>
            </w:pPr>
            <w:r>
              <w:rPr>
                <w:rFonts w:ascii="Arial" w:cs="Arial" w:eastAsia="Arial" w:hAnsi="Arial"/>
                <w:sz w:val="18"/>
                <w:szCs w:val="18"/>
                <w:color w:val="auto"/>
              </w:rPr>
              <w:t>Stay of Acceleration</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10.08</w:t>
            </w:r>
          </w:p>
        </w:tc>
        <w:tc>
          <w:tcPr>
            <w:tcW w:w="10320" w:type="dxa"/>
            <w:vAlign w:val="bottom"/>
            <w:gridSpan w:val="2"/>
          </w:tcPr>
          <w:p>
            <w:pPr>
              <w:spacing w:after="0"/>
              <w:rPr>
                <w:sz w:val="20"/>
                <w:szCs w:val="20"/>
                <w:color w:val="auto"/>
              </w:rPr>
            </w:pPr>
            <w:r>
              <w:rPr>
                <w:rFonts w:ascii="Arial" w:cs="Arial" w:eastAsia="Arial" w:hAnsi="Arial"/>
                <w:sz w:val="18"/>
                <w:szCs w:val="18"/>
                <w:color w:val="auto"/>
              </w:rPr>
              <w:t>Condition of Borrower</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10.09</w:t>
            </w:r>
          </w:p>
        </w:tc>
        <w:tc>
          <w:tcPr>
            <w:tcW w:w="10320" w:type="dxa"/>
            <w:vAlign w:val="bottom"/>
            <w:gridSpan w:val="2"/>
          </w:tcPr>
          <w:p>
            <w:pPr>
              <w:spacing w:after="0"/>
              <w:rPr>
                <w:sz w:val="20"/>
                <w:szCs w:val="20"/>
                <w:color w:val="auto"/>
              </w:rPr>
            </w:pPr>
            <w:r>
              <w:rPr>
                <w:rFonts w:ascii="Arial" w:cs="Arial" w:eastAsia="Arial" w:hAnsi="Arial"/>
                <w:sz w:val="18"/>
                <w:szCs w:val="18"/>
                <w:color w:val="auto"/>
              </w:rPr>
              <w:t>Appointment of Company</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10.10</w:t>
            </w:r>
          </w:p>
        </w:tc>
        <w:tc>
          <w:tcPr>
            <w:tcW w:w="10320" w:type="dxa"/>
            <w:vAlign w:val="bottom"/>
            <w:gridSpan w:val="2"/>
          </w:tcPr>
          <w:p>
            <w:pPr>
              <w:spacing w:after="0"/>
              <w:rPr>
                <w:sz w:val="20"/>
                <w:szCs w:val="20"/>
                <w:color w:val="auto"/>
              </w:rPr>
            </w:pPr>
            <w:r>
              <w:rPr>
                <w:rFonts w:ascii="Arial" w:cs="Arial" w:eastAsia="Arial" w:hAnsi="Arial"/>
                <w:sz w:val="18"/>
                <w:szCs w:val="18"/>
                <w:color w:val="auto"/>
              </w:rPr>
              <w:t>Right of Contribution</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84"/>
              </w:rPr>
              <w:t>10.11</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Keepwell</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0820" w:type="dxa"/>
            <w:vAlign w:val="bottom"/>
            <w:gridSpan w:val="4"/>
          </w:tcPr>
          <w:p>
            <w:pPr>
              <w:spacing w:after="0"/>
              <w:rPr>
                <w:sz w:val="20"/>
                <w:szCs w:val="20"/>
                <w:color w:val="auto"/>
              </w:rPr>
            </w:pPr>
            <w:r>
              <w:rPr>
                <w:rFonts w:ascii="Arial" w:cs="Arial" w:eastAsia="Arial" w:hAnsi="Arial"/>
                <w:sz w:val="18"/>
                <w:szCs w:val="18"/>
                <w:color w:val="auto"/>
              </w:rPr>
              <w:t>ARTICLE XI MISCELLANEOUS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84"/>
              </w:rPr>
              <w:t>11.01</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Amendments, Etc.</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84"/>
              </w:rPr>
              <w:t>11.02</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Notices; Effectiveness; Electronic Communications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84"/>
              </w:rPr>
              <w:t>11.03</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No Waiver; Cumulative Remedies; Enforcement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84"/>
              </w:rPr>
              <w:t>11.04</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Expenses; Indemnity; Damage Waiver</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84"/>
              </w:rPr>
              <w:t>11.05</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Payments Set Aside</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84"/>
              </w:rPr>
              <w:t>11.06</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Successors and Assigns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84"/>
              </w:rPr>
              <w:t>11.07</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Treatment of Certain Information; Confidentiality</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84"/>
              </w:rPr>
              <w:t>11.08</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Right of Setoff</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107</w:t>
            </w:r>
          </w:p>
        </w:tc>
      </w:tr>
      <w:tr>
        <w:trPr>
          <w:trHeight w:val="284"/>
        </w:trPr>
        <w:tc>
          <w:tcPr>
            <w:tcW w:w="400" w:type="dxa"/>
            <w:vAlign w:val="bottom"/>
          </w:tcPr>
          <w:p>
            <w:pPr>
              <w:spacing w:after="0"/>
              <w:rPr>
                <w:sz w:val="20"/>
                <w:szCs w:val="20"/>
                <w:color w:val="auto"/>
              </w:rPr>
            </w:pPr>
            <w:r>
              <w:rPr>
                <w:rFonts w:ascii="Arial" w:cs="Arial" w:eastAsia="Arial" w:hAnsi="Arial"/>
                <w:sz w:val="18"/>
                <w:szCs w:val="18"/>
                <w:color w:val="auto"/>
                <w:w w:val="84"/>
              </w:rPr>
              <w:t>11.09</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Interest Rate Limitation</w:t>
            </w:r>
          </w:p>
        </w:tc>
        <w:tc>
          <w:tcPr>
            <w:tcW w:w="280" w:type="dxa"/>
            <w:vAlign w:val="bottom"/>
          </w:tcPr>
          <w:p>
            <w:pPr>
              <w:jc w:val="right"/>
              <w:spacing w:after="0"/>
              <w:rPr>
                <w:sz w:val="20"/>
                <w:szCs w:val="20"/>
                <w:color w:val="auto"/>
              </w:rPr>
            </w:pPr>
            <w:r>
              <w:rPr>
                <w:rFonts w:ascii="Arial" w:cs="Arial" w:eastAsia="Arial" w:hAnsi="Arial"/>
                <w:sz w:val="18"/>
                <w:szCs w:val="18"/>
                <w:color w:val="auto"/>
                <w:strike w:val="1"/>
                <w:w w:val="86"/>
              </w:rPr>
              <w:t>108</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107</w:t>
            </w:r>
          </w:p>
        </w:tc>
      </w:tr>
      <w:tr>
        <w:trPr>
          <w:trHeight w:val="345"/>
        </w:trPr>
        <w:tc>
          <w:tcPr>
            <w:tcW w:w="400" w:type="dxa"/>
            <w:vAlign w:val="bottom"/>
          </w:tcPr>
          <w:p>
            <w:pPr>
              <w:spacing w:after="0"/>
              <w:rPr>
                <w:sz w:val="20"/>
                <w:szCs w:val="20"/>
                <w:color w:val="auto"/>
              </w:rPr>
            </w:pPr>
            <w:r>
              <w:rPr>
                <w:rFonts w:ascii="Arial" w:cs="Arial" w:eastAsia="Arial" w:hAnsi="Arial"/>
                <w:sz w:val="18"/>
                <w:szCs w:val="18"/>
                <w:color w:val="auto"/>
                <w:w w:val="84"/>
              </w:rPr>
              <w:t>11.10</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Counterparts; Integration; Effectiveness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84"/>
              </w:rPr>
              <w:t>11.11</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Survival of Representations and Warranties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108</w:t>
            </w:r>
          </w:p>
        </w:tc>
      </w:tr>
      <w:tr>
        <w:trPr>
          <w:trHeight w:val="284"/>
        </w:trPr>
        <w:tc>
          <w:tcPr>
            <w:tcW w:w="400" w:type="dxa"/>
            <w:vAlign w:val="bottom"/>
          </w:tcPr>
          <w:p>
            <w:pPr>
              <w:spacing w:after="0"/>
              <w:rPr>
                <w:sz w:val="20"/>
                <w:szCs w:val="20"/>
                <w:color w:val="auto"/>
              </w:rPr>
            </w:pPr>
            <w:r>
              <w:rPr>
                <w:rFonts w:ascii="Arial" w:cs="Arial" w:eastAsia="Arial" w:hAnsi="Arial"/>
                <w:sz w:val="18"/>
                <w:szCs w:val="18"/>
                <w:color w:val="auto"/>
                <w:w w:val="84"/>
              </w:rPr>
              <w:t>11.12</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strike w:val="1"/>
                <w:w w:val="86"/>
              </w:rPr>
              <w:t>109</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108</w:t>
            </w:r>
          </w:p>
        </w:tc>
      </w:tr>
      <w:tr>
        <w:trPr>
          <w:trHeight w:val="304"/>
        </w:trPr>
        <w:tc>
          <w:tcPr>
            <w:tcW w:w="400" w:type="dxa"/>
            <w:vAlign w:val="bottom"/>
          </w:tcPr>
          <w:p>
            <w:pPr>
              <w:spacing w:after="0"/>
              <w:rPr>
                <w:sz w:val="20"/>
                <w:szCs w:val="20"/>
                <w:color w:val="auto"/>
              </w:rPr>
            </w:pPr>
            <w:r>
              <w:rPr>
                <w:rFonts w:ascii="Arial" w:cs="Arial" w:eastAsia="Arial" w:hAnsi="Arial"/>
                <w:sz w:val="18"/>
                <w:szCs w:val="18"/>
                <w:color w:val="auto"/>
                <w:w w:val="84"/>
              </w:rPr>
              <w:t>11.13</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Replacement of Lenders</w:t>
            </w:r>
          </w:p>
        </w:tc>
        <w:tc>
          <w:tcPr>
            <w:tcW w:w="280" w:type="dxa"/>
            <w:vAlign w:val="bottom"/>
          </w:tcPr>
          <w:p>
            <w:pPr>
              <w:jc w:val="right"/>
              <w:spacing w:after="0"/>
              <w:rPr>
                <w:sz w:val="20"/>
                <w:szCs w:val="20"/>
                <w:color w:val="auto"/>
              </w:rPr>
            </w:pPr>
            <w:r>
              <w:rPr>
                <w:rFonts w:ascii="Arial" w:cs="Arial" w:eastAsia="Arial" w:hAnsi="Arial"/>
                <w:sz w:val="18"/>
                <w:szCs w:val="18"/>
                <w:color w:val="auto"/>
                <w:strike w:val="1"/>
                <w:w w:val="86"/>
              </w:rPr>
              <w:t>109</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108</w:t>
            </w:r>
          </w:p>
        </w:tc>
      </w:tr>
      <w:tr>
        <w:trPr>
          <w:trHeight w:val="304"/>
        </w:trPr>
        <w:tc>
          <w:tcPr>
            <w:tcW w:w="400" w:type="dxa"/>
            <w:vAlign w:val="bottom"/>
          </w:tcPr>
          <w:p>
            <w:pPr>
              <w:spacing w:after="0"/>
              <w:rPr>
                <w:sz w:val="20"/>
                <w:szCs w:val="20"/>
                <w:color w:val="auto"/>
              </w:rPr>
            </w:pPr>
            <w:r>
              <w:rPr>
                <w:rFonts w:ascii="Arial" w:cs="Arial" w:eastAsia="Arial" w:hAnsi="Arial"/>
                <w:sz w:val="18"/>
                <w:szCs w:val="18"/>
                <w:color w:val="auto"/>
                <w:w w:val="84"/>
              </w:rPr>
              <w:t>11.14</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Governing Law; Jurisdiction; Etc.</w:t>
            </w:r>
          </w:p>
        </w:tc>
        <w:tc>
          <w:tcPr>
            <w:tcW w:w="280" w:type="dxa"/>
            <w:vAlign w:val="bottom"/>
          </w:tcPr>
          <w:p>
            <w:pPr>
              <w:jc w:val="right"/>
              <w:spacing w:after="0"/>
              <w:rPr>
                <w:sz w:val="20"/>
                <w:szCs w:val="20"/>
                <w:color w:val="auto"/>
              </w:rPr>
            </w:pPr>
            <w:r>
              <w:rPr>
                <w:rFonts w:ascii="Arial" w:cs="Arial" w:eastAsia="Arial" w:hAnsi="Arial"/>
                <w:sz w:val="18"/>
                <w:szCs w:val="18"/>
                <w:color w:val="auto"/>
                <w:strike w:val="1"/>
                <w:w w:val="86"/>
              </w:rPr>
              <w:t>110</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109</w:t>
            </w:r>
          </w:p>
        </w:tc>
      </w:tr>
      <w:tr>
        <w:trPr>
          <w:trHeight w:val="345"/>
        </w:trPr>
        <w:tc>
          <w:tcPr>
            <w:tcW w:w="400" w:type="dxa"/>
            <w:vAlign w:val="bottom"/>
          </w:tcPr>
          <w:p>
            <w:pPr>
              <w:spacing w:after="0"/>
              <w:rPr>
                <w:sz w:val="20"/>
                <w:szCs w:val="20"/>
                <w:color w:val="auto"/>
              </w:rPr>
            </w:pPr>
            <w:r>
              <w:rPr>
                <w:rFonts w:ascii="Arial" w:cs="Arial" w:eastAsia="Arial" w:hAnsi="Arial"/>
                <w:sz w:val="18"/>
                <w:szCs w:val="18"/>
                <w:color w:val="auto"/>
                <w:w w:val="84"/>
              </w:rPr>
              <w:t>11.15</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Waiver of Jury Trial</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110</w:t>
            </w:r>
          </w:p>
        </w:tc>
      </w:tr>
      <w:tr>
        <w:trPr>
          <w:trHeight w:val="284"/>
        </w:trPr>
        <w:tc>
          <w:tcPr>
            <w:tcW w:w="400" w:type="dxa"/>
            <w:vAlign w:val="bottom"/>
          </w:tcPr>
          <w:p>
            <w:pPr>
              <w:spacing w:after="0"/>
              <w:rPr>
                <w:sz w:val="20"/>
                <w:szCs w:val="20"/>
                <w:color w:val="auto"/>
              </w:rPr>
            </w:pPr>
            <w:r>
              <w:rPr>
                <w:rFonts w:ascii="Arial" w:cs="Arial" w:eastAsia="Arial" w:hAnsi="Arial"/>
                <w:sz w:val="18"/>
                <w:szCs w:val="18"/>
                <w:color w:val="auto"/>
                <w:w w:val="84"/>
              </w:rPr>
              <w:t>11.16</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Subordination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strike w:val="1"/>
                <w:w w:val="86"/>
              </w:rPr>
              <w:t>111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73"/>
              </w:rPr>
              <w:t>110</w:t>
            </w:r>
          </w:p>
        </w:tc>
      </w:tr>
      <w:tr>
        <w:trPr>
          <w:trHeight w:val="345"/>
        </w:trPr>
        <w:tc>
          <w:tcPr>
            <w:tcW w:w="400" w:type="dxa"/>
            <w:vAlign w:val="bottom"/>
          </w:tcPr>
          <w:p>
            <w:pPr>
              <w:spacing w:after="0"/>
              <w:rPr>
                <w:sz w:val="20"/>
                <w:szCs w:val="20"/>
                <w:color w:val="auto"/>
              </w:rPr>
            </w:pPr>
            <w:r>
              <w:rPr>
                <w:rFonts w:ascii="Arial" w:cs="Arial" w:eastAsia="Arial" w:hAnsi="Arial"/>
                <w:sz w:val="18"/>
                <w:szCs w:val="18"/>
                <w:color w:val="auto"/>
                <w:w w:val="84"/>
              </w:rPr>
              <w:t>11.17</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No Advisory or Fiduciary Responsibility</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111</w:t>
            </w:r>
          </w:p>
        </w:tc>
      </w:tr>
      <w:tr>
        <w:trPr>
          <w:trHeight w:val="284"/>
        </w:trPr>
        <w:tc>
          <w:tcPr>
            <w:tcW w:w="400" w:type="dxa"/>
            <w:vAlign w:val="bottom"/>
          </w:tcPr>
          <w:p>
            <w:pPr>
              <w:spacing w:after="0"/>
              <w:rPr>
                <w:sz w:val="20"/>
                <w:szCs w:val="20"/>
                <w:color w:val="auto"/>
              </w:rPr>
            </w:pPr>
            <w:r>
              <w:rPr>
                <w:rFonts w:ascii="Arial" w:cs="Arial" w:eastAsia="Arial" w:hAnsi="Arial"/>
                <w:sz w:val="18"/>
                <w:szCs w:val="18"/>
                <w:color w:val="auto"/>
                <w:w w:val="84"/>
              </w:rPr>
              <w:t>11.18</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Electronic Execution of Assignments and Certain Other Documents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strike w:val="1"/>
                <w:w w:val="86"/>
              </w:rPr>
              <w:t>112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73"/>
              </w:rPr>
              <w:t>111</w:t>
            </w:r>
          </w:p>
        </w:tc>
      </w:tr>
      <w:tr>
        <w:trPr>
          <w:trHeight w:val="345"/>
        </w:trPr>
        <w:tc>
          <w:tcPr>
            <w:tcW w:w="400" w:type="dxa"/>
            <w:vAlign w:val="bottom"/>
          </w:tcPr>
          <w:p>
            <w:pPr>
              <w:spacing w:after="0"/>
              <w:rPr>
                <w:sz w:val="20"/>
                <w:szCs w:val="20"/>
                <w:color w:val="auto"/>
              </w:rPr>
            </w:pPr>
            <w:r>
              <w:rPr>
                <w:rFonts w:ascii="Arial" w:cs="Arial" w:eastAsia="Arial" w:hAnsi="Arial"/>
                <w:sz w:val="18"/>
                <w:szCs w:val="18"/>
                <w:color w:val="auto"/>
                <w:w w:val="84"/>
              </w:rPr>
              <w:t>11.19</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USA PATRIOT Act Notice</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112</w:t>
            </w:r>
          </w:p>
        </w:tc>
      </w:tr>
      <w:tr>
        <w:trPr>
          <w:trHeight w:val="284"/>
        </w:trPr>
        <w:tc>
          <w:tcPr>
            <w:tcW w:w="400" w:type="dxa"/>
            <w:vAlign w:val="bottom"/>
          </w:tcPr>
          <w:p>
            <w:pPr>
              <w:spacing w:after="0"/>
              <w:rPr>
                <w:sz w:val="20"/>
                <w:szCs w:val="20"/>
                <w:color w:val="auto"/>
              </w:rPr>
            </w:pPr>
            <w:r>
              <w:rPr>
                <w:rFonts w:ascii="Arial" w:cs="Arial" w:eastAsia="Arial" w:hAnsi="Arial"/>
                <w:sz w:val="18"/>
                <w:szCs w:val="18"/>
                <w:color w:val="auto"/>
                <w:w w:val="84"/>
              </w:rPr>
              <w:t>11.</w:t>
            </w:r>
            <w:r>
              <w:rPr>
                <w:rFonts w:ascii="Arial" w:cs="Arial" w:eastAsia="Arial" w:hAnsi="Arial"/>
                <w:sz w:val="18"/>
                <w:szCs w:val="18"/>
                <w:u w:val="single" w:color="auto"/>
                <w:color w:val="auto"/>
                <w:w w:val="84"/>
              </w:rPr>
              <w:t>20</w:t>
            </w:r>
          </w:p>
        </w:tc>
        <w:tc>
          <w:tcPr>
            <w:tcW w:w="10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USA PATRIOT Act Notice</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382" w:right="299" w:bottom="1440" w:gutter="0" w:footer="0" w:header="0"/>
        </w:sectPr>
      </w:pPr>
    </w:p>
    <w:bookmarkStart w:id="19" w:name="page20"/>
    <w:bookmarkEnd w:id="19"/>
    <w:p>
      <w:pPr>
        <w:ind w:left="4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 TO DISCLOSURE LETTER</w:t>
      </w:r>
    </w:p>
    <w:p>
      <w:pPr>
        <w:sectPr>
          <w:pgSz w:w="11900" w:h="16838" w:orient="portrait"/>
          <w:cols w:equalWidth="0" w:num="1">
            <w:col w:w="10219"/>
          </w:cols>
          <w:pgMar w:left="240" w:top="274" w:right="1440" w:bottom="1440" w:gutter="0" w:footer="0" w:header="0"/>
        </w:sectPr>
      </w:pPr>
    </w:p>
    <w:p>
      <w:pPr>
        <w:spacing w:after="0" w:line="26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Schedule 1.01(c) Schedule 5.09 Schedule 5.19(a) Schedule 5.19(b) Schedule 5.20(b)(i) Schedule 5.20(b)(ii) Schedule 5.20(c) Schedule 6.14 Schedule 7.01 Schedule 7.02 Schedule 7.03 Schedule 7.08 Schedule 7.09</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 Accounts &amp; Securities Accounts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Electronic Chattel Paper &amp; Letter-of-Credit Rights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Pledged Equity Interests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Burdensome Agreements</w:t>
      </w:r>
    </w:p>
    <w:p>
      <w:pPr>
        <w:spacing w:after="0" w:line="235" w:lineRule="exact"/>
        <w:rPr>
          <w:sz w:val="20"/>
          <w:szCs w:val="20"/>
          <w:color w:val="auto"/>
        </w:rPr>
      </w:pPr>
    </w:p>
    <w:p>
      <w:pPr>
        <w:sectPr>
          <w:pgSz w:w="11900" w:h="16838" w:orient="portrait"/>
          <w:cols w:equalWidth="0" w:num="2">
            <w:col w:w="2020" w:space="720"/>
            <w:col w:w="7479"/>
          </w:cols>
          <w:pgMar w:left="240" w:top="274" w:right="1440" w:bottom="1440" w:gutter="0" w:footer="0" w:header="0"/>
          <w:type w:val="continuous"/>
        </w:sectPr>
      </w:pPr>
    </w:p>
    <w:p>
      <w:pPr>
        <w:spacing w:after="0" w:line="19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ADMINISTRATIVE AGENT PREPARED SCHEDULES</w:t>
      </w:r>
    </w:p>
    <w:p>
      <w:pPr>
        <w:sectPr>
          <w:pgSz w:w="11900" w:h="16838" w:orient="portrait"/>
          <w:cols w:equalWidth="0" w:num="1">
            <w:col w:w="10219"/>
          </w:cols>
          <w:pgMar w:left="240" w:top="274" w:right="1440"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Schedule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Schedule 1.01(a)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1.01(b)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Schedule 11.01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Addresses for Notices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Initial Commitments and Applicable Percentages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and Conditions of Incremental Tranche</w:t>
      </w:r>
    </w:p>
    <w:p>
      <w:pPr>
        <w:spacing w:after="0" w:line="200" w:lineRule="exact"/>
        <w:rPr>
          <w:sz w:val="20"/>
          <w:szCs w:val="20"/>
          <w:color w:val="auto"/>
        </w:rPr>
      </w:pPr>
    </w:p>
    <w:p>
      <w:pPr>
        <w:sectPr>
          <w:pgSz w:w="11900" w:h="16838" w:orient="portrait"/>
          <w:cols w:equalWidth="0" w:num="2">
            <w:col w:w="2020" w:space="720"/>
            <w:col w:w="7479"/>
          </w:cols>
          <w:pgMar w:left="240" w:top="274" w:right="1440" w:bottom="1440" w:gutter="0" w:footer="0" w:header="0"/>
          <w:type w:val="continuous"/>
        </w:sectPr>
      </w:pPr>
    </w:p>
    <w:p>
      <w:pPr>
        <w:spacing w:after="0" w:line="238"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EXHIBITS</w:t>
      </w:r>
    </w:p>
    <w:p>
      <w:pPr>
        <w:sectPr>
          <w:pgSz w:w="11900" w:h="16838" w:orient="portrait"/>
          <w:cols w:equalWidth="0" w:num="1">
            <w:col w:w="10219"/>
          </w:cols>
          <w:pgMar w:left="240" w:top="274" w:right="1440"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Q</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Form of Administrative Questionnaire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Joinder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Loan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Permitted Acquisition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Revolving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Secured Party Designation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Solvency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Term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Officer’s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Financial Condition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Authorization to Share Insurance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Loan Prepayment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Designated Borrower Request and Assumption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Designated Borrower Notice</w:t>
      </w:r>
    </w:p>
    <w:p>
      <w:pPr>
        <w:spacing w:after="0" w:line="143" w:lineRule="exact"/>
        <w:rPr>
          <w:sz w:val="20"/>
          <w:szCs w:val="20"/>
          <w:color w:val="auto"/>
        </w:rPr>
      </w:pPr>
    </w:p>
    <w:p>
      <w:pPr>
        <w:sectPr>
          <w:pgSz w:w="11900" w:h="16838" w:orient="portrait"/>
          <w:cols w:equalWidth="0" w:num="2">
            <w:col w:w="2020" w:space="720"/>
            <w:col w:w="7479"/>
          </w:cols>
          <w:pgMar w:left="240" w:top="274" w:right="1440" w:bottom="1440" w:gutter="0" w:footer="0" w:header="0"/>
          <w:type w:val="continuous"/>
        </w:sectPr>
      </w:pPr>
    </w:p>
    <w:p>
      <w:pPr>
        <w:ind w:left="566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274" w:right="1440" w:bottom="1440" w:gutter="0" w:footer="0" w:header="0"/>
          <w:type w:val="continuous"/>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CREDIT AGREEMENT</w:t>
      </w:r>
      <w:r>
        <w:rPr>
          <w:rFonts w:ascii="Arial" w:cs="Arial" w:eastAsia="Arial" w:hAnsi="Arial"/>
          <w:sz w:val="16"/>
          <w:szCs w:val="16"/>
          <w:color w:val="auto"/>
        </w:rPr>
        <w:t xml:space="preserve"> is entered into as of May 22, 2014, among FABRINET, an exempted company incorporated with limited liability in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Cayman Islands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the Guarantors (defined herein), certain Subsidiaries of the Company party hereto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(each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Borrower</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(defined herein), and BANK OF AMERICA,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 as Administrative Agent.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PRELIMINARY STATEMENTS:</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(as hereinafter defined) have requested that the Lenders make loans and other financial accommodations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in an aggregate amount of up to $</w:t>
      </w:r>
      <w:r>
        <w:rPr>
          <w:rFonts w:ascii="Arial" w:cs="Arial" w:eastAsia="Arial" w:hAnsi="Arial"/>
          <w:sz w:val="18"/>
          <w:szCs w:val="18"/>
          <w:color w:val="auto"/>
          <w:strike w:val="1"/>
        </w:rPr>
        <w:t>200,000,000</w:t>
      </w:r>
      <w:r>
        <w:rPr>
          <w:rFonts w:ascii="Arial" w:cs="Arial" w:eastAsia="Arial" w:hAnsi="Arial"/>
          <w:sz w:val="18"/>
          <w:szCs w:val="18"/>
          <w:u w:val="single" w:color="auto"/>
          <w:color w:val="auto"/>
        </w:rPr>
        <w:t>90,000,000</w:t>
      </w:r>
      <w:r>
        <w:rPr>
          <w:rFonts w:ascii="Arial" w:cs="Arial" w:eastAsia="Arial" w:hAnsi="Arial"/>
          <w:sz w:val="18"/>
          <w:szCs w:val="18"/>
          <w:color w:val="auto"/>
        </w:rPr>
        <w:t>.</w:t>
      </w:r>
    </w:p>
    <w:p>
      <w:pPr>
        <w:spacing w:after="0" w:line="162"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Lenders have agreed to make such loans and other financial accommodations to the Loan Parties on the terms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herein.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and agreements herein contained, the parties hereto covenant and agree as follows: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ACCOUNTING TERMS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Defined Terms</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the acquisition, whether through a single transaction or a series of related transactions, of (a) a majority of the Voting Stock or other controlling ownership interest in another Person (including the exercise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Secured Obligations</w:t>
      </w:r>
      <w:r>
        <w:rPr>
          <w:rFonts w:ascii="Arial" w:cs="Arial" w:eastAsia="Arial" w:hAnsi="Arial"/>
          <w:sz w:val="16"/>
          <w:szCs w:val="16"/>
          <w:color w:val="auto"/>
        </w:rPr>
        <w:t>” means (a) all obligations arising under Secured Cash Management Agreements and Secured Hedge Agreements and</w:t>
      </w:r>
    </w:p>
    <w:p>
      <w:pPr>
        <w:spacing w:after="0" w:line="46" w:lineRule="exact"/>
        <w:rPr>
          <w:sz w:val="20"/>
          <w:szCs w:val="20"/>
          <w:color w:val="auto"/>
        </w:rPr>
      </w:pPr>
    </w:p>
    <w:p>
      <w:pPr>
        <w:ind w:right="100" w:firstLine="8"/>
        <w:spacing w:after="0" w:line="290"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all costs and reasonable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Additional Secured Obligations of a Guarantor shall exclude any Excluded Swap Obligations with respect to such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“Additional Secured Obligations” shall exclude obligations arising from Permitted Call Spread Swap Agreements.</w:t>
      </w:r>
    </w:p>
    <w:p>
      <w:pPr>
        <w:spacing w:after="0" w:line="16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(or any of its designated branch offices or affiliates) in its capacity as administrative agent under any of the Loan Documents, or any successor administrative agent.</w:t>
      </w:r>
    </w:p>
    <w:p>
      <w:pPr>
        <w:sectPr>
          <w:pgSz w:w="11900" w:h="16838" w:orient="portrait"/>
          <w:cols w:equalWidth="0" w:num="1">
            <w:col w:w="11380"/>
          </w:cols>
          <w:pgMar w:left="240" w:top="270" w:right="279" w:bottom="1440" w:gutter="0" w:footer="0" w:header="0"/>
        </w:sectPr>
      </w:pPr>
    </w:p>
    <w:bookmarkStart w:id="21" w:name="page22"/>
    <w:bookmarkEnd w:id="21"/>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such other address or account as the Administrative Agent may from time to time notify the Borrower and the Lenders.</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Foreign Obligor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5.24(a)</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 in respect of the Term Facility, with respect to any Term Lender at any time, the percentage (carried out to the ninth decimal place) of the Term Facility represented by (i) at any time during the Availability Period in respect of such Facility, such Term Lender’s Term Commitment at such time and (ii) thereafter, the outstanding principal amount of such Term Lender’s Term Loans at such time, and (b)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If the Commitments of all of the Lenders to make Loans have been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if the Commitments have expired, then the Applicable Percentage of each Lender in respect of the applicable Facility shall be determined based on the Applicable Percentage of such Lender in respect of such Facility most recently in effect, giving effect to any subsequent assignments. The Applicable Percentage of each Lender in respect of each Facility is set forth opposite the name of such Lender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or in the Assignment and Assumption pursuant to which such Lender becomes a party hereto or in any documentation executed by such Lender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as applicable.</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the rate per annum set forth below opposite the applicable Level then in effect (based on the Consolidated Total Leverage Ratio):</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40" w:type="dxa"/>
            <w:vAlign w:val="bottom"/>
            <w:gridSpan w:val="7"/>
          </w:tcPr>
          <w:p>
            <w:pPr>
              <w:jc w:val="right"/>
              <w:ind w:right="810"/>
              <w:spacing w:after="0"/>
              <w:rPr>
                <w:sz w:val="20"/>
                <w:szCs w:val="20"/>
                <w:color w:val="auto"/>
              </w:rPr>
            </w:pPr>
            <w:r>
              <w:rPr>
                <w:rFonts w:ascii="Arial" w:cs="Arial" w:eastAsia="Arial" w:hAnsi="Arial"/>
                <w:sz w:val="14"/>
                <w:szCs w:val="14"/>
                <w:color w:val="auto"/>
              </w:rPr>
              <w:t>Applicable Rate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4"/>
            <w:vMerge w:val="restart"/>
          </w:tcPr>
          <w:p>
            <w:pPr>
              <w:jc w:val="center"/>
              <w:spacing w:after="0"/>
              <w:rPr>
                <w:sz w:val="20"/>
                <w:szCs w:val="20"/>
                <w:color w:val="auto"/>
              </w:rPr>
            </w:pPr>
            <w:r>
              <w:rPr>
                <w:rFonts w:ascii="Arial" w:cs="Arial" w:eastAsia="Arial" w:hAnsi="Arial"/>
                <w:sz w:val="14"/>
                <w:szCs w:val="14"/>
                <w:color w:val="auto"/>
                <w:strike w:val="1"/>
                <w:w w:val="94"/>
              </w:rPr>
              <w:t>Commitment Fee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gridSpan w:val="5"/>
          </w:tcPr>
          <w:p>
            <w:pPr>
              <w:jc w:val="center"/>
              <w:ind w:right="530"/>
              <w:spacing w:after="0" w:line="149" w:lineRule="exact"/>
              <w:rPr>
                <w:sz w:val="20"/>
                <w:szCs w:val="20"/>
                <w:color w:val="auto"/>
              </w:rPr>
            </w:pPr>
            <w:r>
              <w:rPr>
                <w:rFonts w:ascii="Arial" w:cs="Arial" w:eastAsia="Arial" w:hAnsi="Arial"/>
                <w:sz w:val="14"/>
                <w:szCs w:val="14"/>
                <w:color w:val="auto"/>
                <w:w w:val="93"/>
              </w:rPr>
              <w:t>Commitment Fee</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color w:val="auto"/>
                <w:strike w:val="1"/>
                <w:w w:val="91"/>
              </w:rPr>
              <w:t>(if the average</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color w:val="auto"/>
                <w:strike w:val="1"/>
                <w:w w:val="93"/>
              </w:rPr>
              <w:t>(if the average</w:t>
            </w:r>
          </w:p>
        </w:tc>
        <w:tc>
          <w:tcPr>
            <w:tcW w:w="6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color w:val="auto"/>
                <w:strike w:val="1"/>
                <w:w w:val="94"/>
              </w:rPr>
              <w:t>daily unused</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color w:val="auto"/>
                <w:strike w:val="1"/>
                <w:w w:val="91"/>
              </w:rPr>
              <w:t>daily unused</w:t>
            </w:r>
          </w:p>
        </w:tc>
        <w:tc>
          <w:tcPr>
            <w:tcW w:w="6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color w:val="auto"/>
                <w:strike w:val="1"/>
                <w:w w:val="95"/>
              </w:rPr>
              <w:t>portion of the</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Eurodollar</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strike w:val="1"/>
                <w:w w:val="95"/>
              </w:rPr>
              <w:t>portion of the</w:t>
            </w:r>
          </w:p>
        </w:tc>
        <w:tc>
          <w:tcPr>
            <w:tcW w:w="6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color w:val="auto"/>
                <w:strike w:val="1"/>
                <w:w w:val="94"/>
              </w:rPr>
              <w:t>Commitments</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20" w:type="dxa"/>
            <w:vAlign w:val="bottom"/>
            <w:gridSpan w:val="3"/>
          </w:tcPr>
          <w:p>
            <w:pPr>
              <w:jc w:val="center"/>
              <w:ind w:right="420"/>
              <w:spacing w:after="0" w:line="154" w:lineRule="exact"/>
              <w:rPr>
                <w:sz w:val="20"/>
                <w:szCs w:val="20"/>
                <w:color w:val="auto"/>
              </w:rPr>
            </w:pPr>
            <w:r>
              <w:rPr>
                <w:rFonts w:ascii="Arial" w:cs="Arial" w:eastAsia="Arial" w:hAnsi="Arial"/>
                <w:sz w:val="14"/>
                <w:szCs w:val="14"/>
                <w:color w:val="auto"/>
                <w:w w:val="94"/>
              </w:rPr>
              <w:t>Consolidated Total</w:t>
            </w:r>
          </w:p>
        </w:tc>
        <w:tc>
          <w:tcPr>
            <w:tcW w:w="1320" w:type="dxa"/>
            <w:vAlign w:val="bottom"/>
            <w:gridSpan w:val="4"/>
          </w:tcPr>
          <w:p>
            <w:pPr>
              <w:jc w:val="center"/>
              <w:ind w:right="530"/>
              <w:spacing w:after="0" w:line="154" w:lineRule="exact"/>
              <w:rPr>
                <w:sz w:val="20"/>
                <w:szCs w:val="20"/>
                <w:color w:val="auto"/>
              </w:rPr>
            </w:pPr>
            <w:r>
              <w:rPr>
                <w:rFonts w:ascii="Arial" w:cs="Arial" w:eastAsia="Arial" w:hAnsi="Arial"/>
                <w:sz w:val="14"/>
                <w:szCs w:val="14"/>
                <w:color w:val="auto"/>
                <w:w w:val="87"/>
              </w:rPr>
              <w:t>Rate</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4"/>
          </w:tcPr>
          <w:p>
            <w:pPr>
              <w:jc w:val="center"/>
              <w:ind w:right="20"/>
              <w:spacing w:after="0" w:line="154" w:lineRule="exact"/>
              <w:rPr>
                <w:sz w:val="20"/>
                <w:szCs w:val="20"/>
                <w:color w:val="auto"/>
              </w:rPr>
            </w:pPr>
            <w:r>
              <w:rPr>
                <w:rFonts w:ascii="Arial" w:cs="Arial" w:eastAsia="Arial" w:hAnsi="Arial"/>
                <w:sz w:val="14"/>
                <w:szCs w:val="14"/>
                <w:color w:val="auto"/>
                <w:strike w:val="1"/>
                <w:w w:val="94"/>
              </w:rPr>
              <w:t>Commitments</w:t>
            </w:r>
          </w:p>
        </w:tc>
        <w:tc>
          <w:tcPr>
            <w:tcW w:w="62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strike w:val="1"/>
              </w:rPr>
              <w:t>³ 50%)</w:t>
            </w:r>
          </w:p>
        </w:tc>
        <w:tc>
          <w:tcPr>
            <w:tcW w:w="500" w:type="dxa"/>
            <w:vAlign w:val="bottom"/>
            <w:tcBorders>
              <w:bottom w:val="single" w:sz="8" w:color="auto"/>
            </w:tcBorders>
            <w:gridSpan w:val="2"/>
          </w:tcPr>
          <w:p>
            <w:pPr>
              <w:spacing w:after="0" w:line="154" w:lineRule="exact"/>
              <w:rPr>
                <w:sz w:val="20"/>
                <w:szCs w:val="20"/>
                <w:color w:val="auto"/>
              </w:rPr>
            </w:pPr>
            <w:r>
              <w:rPr>
                <w:rFonts w:ascii="Arial" w:cs="Arial" w:eastAsia="Arial" w:hAnsi="Arial"/>
                <w:sz w:val="14"/>
                <w:szCs w:val="14"/>
                <w:color w:val="auto"/>
                <w:w w:val="93"/>
              </w:rPr>
              <w:t>Letter of</w:t>
            </w: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140" w:type="dxa"/>
            <w:vAlign w:val="bottom"/>
            <w:gridSpan w:val="3"/>
          </w:tcPr>
          <w:p>
            <w:pPr>
              <w:spacing w:after="0" w:line="129" w:lineRule="exact"/>
              <w:rPr>
                <w:sz w:val="20"/>
                <w:szCs w:val="20"/>
                <w:color w:val="auto"/>
              </w:rPr>
            </w:pPr>
            <w:r>
              <w:rPr>
                <w:rFonts w:ascii="Arial" w:cs="Arial" w:eastAsia="Arial" w:hAnsi="Arial"/>
                <w:sz w:val="14"/>
                <w:szCs w:val="14"/>
                <w:color w:val="auto"/>
              </w:rPr>
              <w:t>Level</w:t>
            </w:r>
          </w:p>
        </w:tc>
        <w:tc>
          <w:tcPr>
            <w:tcW w:w="1520" w:type="dxa"/>
            <w:vAlign w:val="bottom"/>
            <w:gridSpan w:val="3"/>
          </w:tcPr>
          <w:p>
            <w:pPr>
              <w:jc w:val="center"/>
              <w:ind w:right="440"/>
              <w:spacing w:after="0" w:line="129" w:lineRule="exact"/>
              <w:rPr>
                <w:sz w:val="20"/>
                <w:szCs w:val="20"/>
                <w:color w:val="auto"/>
              </w:rPr>
            </w:pPr>
            <w:r>
              <w:rPr>
                <w:rFonts w:ascii="Arial" w:cs="Arial" w:eastAsia="Arial" w:hAnsi="Arial"/>
                <w:sz w:val="14"/>
                <w:szCs w:val="14"/>
                <w:color w:val="auto"/>
                <w:w w:val="92"/>
              </w:rPr>
              <w:t>Leverage Ratio</w:t>
            </w:r>
          </w:p>
        </w:tc>
        <w:tc>
          <w:tcPr>
            <w:tcW w:w="1320" w:type="dxa"/>
            <w:vAlign w:val="bottom"/>
            <w:gridSpan w:val="4"/>
          </w:tcPr>
          <w:p>
            <w:pPr>
              <w:jc w:val="center"/>
              <w:ind w:right="530"/>
              <w:spacing w:after="0" w:line="129" w:lineRule="exact"/>
              <w:rPr>
                <w:sz w:val="20"/>
                <w:szCs w:val="20"/>
                <w:color w:val="auto"/>
              </w:rPr>
            </w:pPr>
            <w:r>
              <w:rPr>
                <w:rFonts w:ascii="Arial" w:cs="Arial" w:eastAsia="Arial" w:hAnsi="Arial"/>
                <w:sz w:val="14"/>
                <w:szCs w:val="14"/>
                <w:color w:val="auto"/>
                <w:w w:val="89"/>
              </w:rPr>
              <w:t>Loans</w:t>
            </w:r>
          </w:p>
        </w:tc>
        <w:tc>
          <w:tcPr>
            <w:tcW w:w="1600" w:type="dxa"/>
            <w:vAlign w:val="bottom"/>
            <w:gridSpan w:val="3"/>
          </w:tcPr>
          <w:p>
            <w:pPr>
              <w:jc w:val="center"/>
              <w:ind w:right="550"/>
              <w:spacing w:after="0" w:line="129" w:lineRule="exact"/>
              <w:rPr>
                <w:sz w:val="20"/>
                <w:szCs w:val="20"/>
                <w:color w:val="auto"/>
              </w:rPr>
            </w:pPr>
            <w:r>
              <w:rPr>
                <w:rFonts w:ascii="Arial" w:cs="Arial" w:eastAsia="Arial" w:hAnsi="Arial"/>
                <w:sz w:val="14"/>
                <w:szCs w:val="14"/>
                <w:color w:val="auto"/>
                <w:w w:val="89"/>
              </w:rPr>
              <w:t>Base Rate Loans</w:t>
            </w:r>
          </w:p>
        </w:tc>
        <w:tc>
          <w:tcPr>
            <w:tcW w:w="280" w:type="dxa"/>
            <w:vAlign w:val="bottom"/>
          </w:tcPr>
          <w:p>
            <w:pPr>
              <w:spacing w:after="0"/>
              <w:rPr>
                <w:sz w:val="11"/>
                <w:szCs w:val="11"/>
                <w:color w:val="auto"/>
              </w:rPr>
            </w:pPr>
          </w:p>
        </w:tc>
        <w:tc>
          <w:tcPr>
            <w:tcW w:w="440" w:type="dxa"/>
            <w:vAlign w:val="bottom"/>
            <w:gridSpan w:val="2"/>
          </w:tcPr>
          <w:p>
            <w:pPr>
              <w:jc w:val="center"/>
              <w:spacing w:after="0" w:line="129" w:lineRule="exact"/>
              <w:rPr>
                <w:sz w:val="20"/>
                <w:szCs w:val="20"/>
                <w:color w:val="auto"/>
              </w:rPr>
            </w:pPr>
            <w:r>
              <w:rPr>
                <w:rFonts w:ascii="Arial" w:cs="Arial" w:eastAsia="Arial" w:hAnsi="Arial"/>
                <w:sz w:val="14"/>
                <w:szCs w:val="14"/>
                <w:color w:val="auto"/>
                <w:strike w:val="1"/>
                <w:w w:val="98"/>
              </w:rPr>
              <w:t>&lt; 50%)</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3"/>
          </w:tcPr>
          <w:p>
            <w:pPr>
              <w:jc w:val="center"/>
              <w:ind w:left="1"/>
              <w:spacing w:after="0" w:line="129" w:lineRule="exact"/>
              <w:rPr>
                <w:sz w:val="20"/>
                <w:szCs w:val="20"/>
                <w:color w:val="auto"/>
              </w:rPr>
            </w:pPr>
            <w:r>
              <w:rPr>
                <w:rFonts w:ascii="Arial" w:cs="Arial" w:eastAsia="Arial" w:hAnsi="Arial"/>
                <w:sz w:val="14"/>
                <w:szCs w:val="14"/>
                <w:color w:val="auto"/>
                <w:w w:val="96"/>
              </w:rPr>
              <w:t>Credit</w:t>
            </w:r>
          </w:p>
        </w:tc>
        <w:tc>
          <w:tcPr>
            <w:tcW w:w="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38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&lt; 1.0:1.0</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ind w:left="60"/>
              <w:spacing w:after="0" w:line="176" w:lineRule="exact"/>
              <w:rPr>
                <w:sz w:val="20"/>
                <w:szCs w:val="20"/>
                <w:color w:val="auto"/>
              </w:rPr>
            </w:pPr>
            <w:r>
              <w:rPr>
                <w:rFonts w:ascii="Arial" w:cs="Arial" w:eastAsia="Arial" w:hAnsi="Arial"/>
                <w:sz w:val="18"/>
                <w:szCs w:val="18"/>
                <w:color w:val="auto"/>
                <w:strike w:val="1"/>
                <w:w w:val="85"/>
              </w:rPr>
              <w:t>1.75</w:t>
            </w:r>
          </w:p>
        </w:tc>
        <w:tc>
          <w:tcPr>
            <w:tcW w:w="320" w:type="dxa"/>
            <w:vAlign w:val="bottom"/>
            <w:tcBorders>
              <w:top w:val="single" w:sz="8" w:color="auto"/>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85"/>
              </w:rPr>
              <w:t>1.50</w:t>
            </w:r>
          </w:p>
        </w:tc>
        <w:tc>
          <w:tcPr>
            <w:tcW w:w="620" w:type="dxa"/>
            <w:vAlign w:val="bottom"/>
            <w:tcBorders>
              <w:top w:val="single" w:sz="8" w:color="CCEEFF"/>
              <w:bottom w:val="single" w:sz="8" w:color="CCEEFF"/>
            </w:tcBorders>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bottom w:val="single" w:sz="8" w:color="CCEEFF"/>
            </w:tcBorders>
            <w:shd w:val="clear" w:color="auto" w:fill="CCEEFF"/>
          </w:tcPr>
          <w:p>
            <w:pPr>
              <w:jc w:val="center"/>
              <w:ind w:left="254"/>
              <w:spacing w:after="0" w:line="176" w:lineRule="exact"/>
              <w:rPr>
                <w:sz w:val="20"/>
                <w:szCs w:val="20"/>
                <w:color w:val="auto"/>
              </w:rPr>
            </w:pPr>
            <w:r>
              <w:rPr>
                <w:rFonts w:ascii="Arial" w:cs="Arial" w:eastAsia="Arial" w:hAnsi="Arial"/>
                <w:sz w:val="18"/>
                <w:szCs w:val="18"/>
                <w:color w:val="auto"/>
                <w:strike w:val="1"/>
                <w:w w:val="91"/>
              </w:rPr>
              <w:t>0.75</w:t>
            </w:r>
          </w:p>
        </w:tc>
        <w:tc>
          <w:tcPr>
            <w:tcW w:w="3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0.50</w:t>
            </w:r>
          </w:p>
        </w:tc>
        <w:tc>
          <w:tcPr>
            <w:tcW w:w="640" w:type="dxa"/>
            <w:vAlign w:val="bottom"/>
            <w:tcBorders>
              <w:top w:val="single" w:sz="8" w:color="CCEEFF"/>
              <w:bottom w:val="single" w:sz="8" w:color="CCEEFF"/>
            </w:tcBorders>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strike w:val="1"/>
              </w:rPr>
              <w:t>0.25</w:t>
            </w:r>
          </w:p>
        </w:tc>
        <w:tc>
          <w:tcPr>
            <w:tcW w:w="320" w:type="dxa"/>
            <w:vAlign w:val="bottom"/>
            <w:tcBorders>
              <w:top w:val="single" w:sz="8" w:color="auto"/>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85"/>
              </w:rPr>
              <w:t>0.15</w:t>
            </w:r>
          </w:p>
        </w:tc>
        <w:tc>
          <w:tcPr>
            <w:tcW w:w="620" w:type="dxa"/>
            <w:vAlign w:val="bottom"/>
            <w:tcBorders>
              <w:top w:val="single" w:sz="8" w:color="CCEEFF"/>
              <w:bottom w:val="single" w:sz="8" w:color="CCEEFF"/>
            </w:tcBorders>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strike w:val="1"/>
              </w:rPr>
              <w:t>0.35</w:t>
            </w:r>
          </w:p>
        </w:tc>
        <w:tc>
          <w:tcPr>
            <w:tcW w:w="320" w:type="dxa"/>
            <w:vAlign w:val="bottom"/>
            <w:tcBorders>
              <w:top w:val="single" w:sz="8" w:color="auto"/>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85"/>
              </w:rPr>
              <w:t>1.50</w:t>
            </w:r>
          </w:p>
        </w:tc>
        <w:tc>
          <w:tcPr>
            <w:tcW w:w="200" w:type="dxa"/>
            <w:vAlign w:val="bottom"/>
            <w:tcBorders>
              <w:top w:val="single" w:sz="8" w:color="CCEEFF"/>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2</w:t>
            </w:r>
          </w:p>
        </w:tc>
        <w:tc>
          <w:tcPr>
            <w:tcW w:w="38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3"/>
          </w:tcPr>
          <w:p>
            <w:pPr>
              <w:jc w:val="center"/>
              <w:ind w:right="420"/>
              <w:spacing w:after="0" w:line="201" w:lineRule="exact"/>
              <w:rPr>
                <w:sz w:val="20"/>
                <w:szCs w:val="20"/>
                <w:color w:val="auto"/>
              </w:rPr>
            </w:pPr>
            <w:r>
              <w:rPr>
                <w:rFonts w:ascii="Arial" w:cs="Arial" w:eastAsia="Arial" w:hAnsi="Arial"/>
                <w:sz w:val="18"/>
                <w:szCs w:val="18"/>
                <w:color w:val="auto"/>
                <w:w w:val="89"/>
              </w:rPr>
              <w:t>³ 1.0:1.0 but</w:t>
            </w: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20" w:type="dxa"/>
            <w:vAlign w:val="bottom"/>
          </w:tcPr>
          <w:p>
            <w:pPr>
              <w:jc w:val="center"/>
              <w:spacing w:after="0" w:line="203" w:lineRule="exact"/>
              <w:rPr>
                <w:sz w:val="20"/>
                <w:szCs w:val="20"/>
                <w:color w:val="auto"/>
              </w:rPr>
            </w:pPr>
            <w:r>
              <w:rPr>
                <w:rFonts w:ascii="Arial" w:cs="Arial" w:eastAsia="Arial" w:hAnsi="Arial"/>
                <w:sz w:val="18"/>
                <w:szCs w:val="18"/>
                <w:color w:val="auto"/>
                <w:w w:val="93"/>
              </w:rPr>
              <w:t>&lt; 1.5:1.0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ind w:left="60"/>
              <w:spacing w:after="0" w:line="203" w:lineRule="exact"/>
              <w:rPr>
                <w:sz w:val="20"/>
                <w:szCs w:val="20"/>
                <w:color w:val="auto"/>
              </w:rPr>
            </w:pPr>
            <w:r>
              <w:rPr>
                <w:rFonts w:ascii="Arial" w:cs="Arial" w:eastAsia="Arial" w:hAnsi="Arial"/>
                <w:sz w:val="18"/>
                <w:szCs w:val="18"/>
                <w:color w:val="auto"/>
                <w:strike w:val="1"/>
                <w:w w:val="85"/>
              </w:rPr>
              <w:t>2.00</w:t>
            </w:r>
          </w:p>
        </w:tc>
        <w:tc>
          <w:tcPr>
            <w:tcW w:w="940" w:type="dxa"/>
            <w:vAlign w:val="bottom"/>
            <w:gridSpan w:val="3"/>
          </w:tcPr>
          <w:p>
            <w:pPr>
              <w:jc w:val="right"/>
              <w:ind w:right="390"/>
              <w:spacing w:after="0" w:line="203" w:lineRule="exact"/>
              <w:rPr>
                <w:sz w:val="20"/>
                <w:szCs w:val="20"/>
                <w:color w:val="auto"/>
              </w:rPr>
            </w:pPr>
            <w:r>
              <w:rPr>
                <w:rFonts w:ascii="Arial" w:cs="Arial" w:eastAsia="Arial" w:hAnsi="Arial"/>
                <w:sz w:val="18"/>
                <w:szCs w:val="18"/>
                <w:color w:val="auto"/>
                <w:w w:val="86"/>
              </w:rPr>
              <w:t>1.75%</w:t>
            </w:r>
          </w:p>
        </w:tc>
        <w:tc>
          <w:tcPr>
            <w:tcW w:w="660" w:type="dxa"/>
            <w:vAlign w:val="bottom"/>
          </w:tcPr>
          <w:p>
            <w:pPr>
              <w:jc w:val="center"/>
              <w:ind w:left="254"/>
              <w:spacing w:after="0" w:line="203" w:lineRule="exact"/>
              <w:rPr>
                <w:sz w:val="20"/>
                <w:szCs w:val="20"/>
                <w:color w:val="auto"/>
              </w:rPr>
            </w:pPr>
            <w:r>
              <w:rPr>
                <w:rFonts w:ascii="Arial" w:cs="Arial" w:eastAsia="Arial" w:hAnsi="Arial"/>
                <w:sz w:val="18"/>
                <w:szCs w:val="18"/>
                <w:color w:val="auto"/>
                <w:strike w:val="1"/>
                <w:w w:val="91"/>
              </w:rPr>
              <w:t>1.00</w:t>
            </w:r>
          </w:p>
        </w:tc>
        <w:tc>
          <w:tcPr>
            <w:tcW w:w="940" w:type="dxa"/>
            <w:vAlign w:val="bottom"/>
            <w:gridSpan w:val="2"/>
          </w:tcPr>
          <w:p>
            <w:pPr>
              <w:jc w:val="right"/>
              <w:ind w:right="390"/>
              <w:spacing w:after="0" w:line="203" w:lineRule="exact"/>
              <w:rPr>
                <w:sz w:val="20"/>
                <w:szCs w:val="20"/>
                <w:color w:val="auto"/>
              </w:rPr>
            </w:pPr>
            <w:r>
              <w:rPr>
                <w:rFonts w:ascii="Arial" w:cs="Arial" w:eastAsia="Arial" w:hAnsi="Arial"/>
                <w:sz w:val="18"/>
                <w:szCs w:val="18"/>
                <w:color w:val="auto"/>
                <w:w w:val="86"/>
              </w:rPr>
              <w:t>0.75%</w:t>
            </w:r>
          </w:p>
        </w:tc>
        <w:tc>
          <w:tcPr>
            <w:tcW w:w="280" w:type="dxa"/>
            <w:vAlign w:val="bottom"/>
          </w:tcPr>
          <w:p>
            <w:pPr>
              <w:spacing w:after="0"/>
              <w:rPr>
                <w:sz w:val="17"/>
                <w:szCs w:val="17"/>
                <w:color w:val="auto"/>
              </w:rPr>
            </w:pP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strike w:val="1"/>
              </w:rPr>
              <w:t>0.30</w:t>
            </w:r>
          </w:p>
        </w:tc>
        <w:tc>
          <w:tcPr>
            <w:tcW w:w="940" w:type="dxa"/>
            <w:vAlign w:val="bottom"/>
            <w:gridSpan w:val="3"/>
          </w:tcPr>
          <w:p>
            <w:pPr>
              <w:jc w:val="right"/>
              <w:ind w:right="370"/>
              <w:spacing w:after="0" w:line="203" w:lineRule="exact"/>
              <w:rPr>
                <w:sz w:val="20"/>
                <w:szCs w:val="20"/>
                <w:color w:val="auto"/>
              </w:rPr>
            </w:pPr>
            <w:r>
              <w:rPr>
                <w:rFonts w:ascii="Arial" w:cs="Arial" w:eastAsia="Arial" w:hAnsi="Arial"/>
                <w:sz w:val="18"/>
                <w:szCs w:val="18"/>
                <w:color w:val="auto"/>
                <w:w w:val="90"/>
              </w:rPr>
              <w:t>0.15%</w:t>
            </w: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strike w:val="1"/>
              </w:rPr>
              <w:t>0.40</w:t>
            </w:r>
          </w:p>
        </w:tc>
        <w:tc>
          <w:tcPr>
            <w:tcW w:w="520" w:type="dxa"/>
            <w:vAlign w:val="bottom"/>
            <w:gridSpan w:val="3"/>
          </w:tcPr>
          <w:p>
            <w:pPr>
              <w:jc w:val="right"/>
              <w:spacing w:after="0" w:line="203" w:lineRule="exact"/>
              <w:rPr>
                <w:sz w:val="20"/>
                <w:szCs w:val="20"/>
                <w:color w:val="auto"/>
              </w:rPr>
            </w:pPr>
            <w:r>
              <w:rPr>
                <w:rFonts w:ascii="Arial" w:cs="Arial" w:eastAsia="Arial" w:hAnsi="Arial"/>
                <w:sz w:val="18"/>
                <w:szCs w:val="18"/>
                <w:color w:val="auto"/>
                <w:w w:val="86"/>
              </w:rPr>
              <w:t>1.75%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w:t>
            </w:r>
          </w:p>
        </w:tc>
        <w:tc>
          <w:tcPr>
            <w:tcW w:w="38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center"/>
              <w:ind w:right="420"/>
              <w:spacing w:after="0" w:line="201" w:lineRule="exact"/>
              <w:rPr>
                <w:sz w:val="20"/>
                <w:szCs w:val="20"/>
                <w:color w:val="auto"/>
              </w:rPr>
            </w:pPr>
            <w:r>
              <w:rPr>
                <w:rFonts w:ascii="Arial" w:cs="Arial" w:eastAsia="Arial" w:hAnsi="Arial"/>
                <w:sz w:val="18"/>
                <w:szCs w:val="18"/>
                <w:color w:val="auto"/>
                <w:w w:val="89"/>
              </w:rPr>
              <w:t>³ 1.5:1.0 but</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&lt; 2.0:1.0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strike w:val="1"/>
                <w:w w:val="85"/>
              </w:rPr>
              <w:t>2.25</w:t>
            </w:r>
          </w:p>
        </w:tc>
        <w:tc>
          <w:tcPr>
            <w:tcW w:w="940" w:type="dxa"/>
            <w:vAlign w:val="bottom"/>
            <w:gridSpan w:val="3"/>
            <w:shd w:val="clear" w:color="auto" w:fill="CCEEFF"/>
          </w:tcPr>
          <w:p>
            <w:pPr>
              <w:jc w:val="right"/>
              <w:ind w:right="390"/>
              <w:spacing w:after="0" w:line="203" w:lineRule="exact"/>
              <w:rPr>
                <w:sz w:val="20"/>
                <w:szCs w:val="20"/>
                <w:color w:val="auto"/>
              </w:rPr>
            </w:pPr>
            <w:r>
              <w:rPr>
                <w:rFonts w:ascii="Arial" w:cs="Arial" w:eastAsia="Arial" w:hAnsi="Arial"/>
                <w:sz w:val="18"/>
                <w:szCs w:val="18"/>
                <w:color w:val="auto"/>
                <w:w w:val="86"/>
              </w:rPr>
              <w:t>2.00%</w:t>
            </w:r>
          </w:p>
        </w:tc>
        <w:tc>
          <w:tcPr>
            <w:tcW w:w="660" w:type="dxa"/>
            <w:vAlign w:val="bottom"/>
            <w:shd w:val="clear" w:color="auto" w:fill="CCEEFF"/>
          </w:tcPr>
          <w:p>
            <w:pPr>
              <w:jc w:val="center"/>
              <w:ind w:left="254"/>
              <w:spacing w:after="0" w:line="203" w:lineRule="exact"/>
              <w:rPr>
                <w:sz w:val="20"/>
                <w:szCs w:val="20"/>
                <w:color w:val="auto"/>
              </w:rPr>
            </w:pPr>
            <w:r>
              <w:rPr>
                <w:rFonts w:ascii="Arial" w:cs="Arial" w:eastAsia="Arial" w:hAnsi="Arial"/>
                <w:sz w:val="18"/>
                <w:szCs w:val="18"/>
                <w:color w:val="auto"/>
                <w:strike w:val="1"/>
                <w:w w:val="91"/>
              </w:rPr>
              <w:t>1.25</w:t>
            </w:r>
          </w:p>
        </w:tc>
        <w:tc>
          <w:tcPr>
            <w:tcW w:w="940" w:type="dxa"/>
            <w:vAlign w:val="bottom"/>
            <w:gridSpan w:val="2"/>
            <w:shd w:val="clear" w:color="auto" w:fill="CCEEFF"/>
          </w:tcPr>
          <w:p>
            <w:pPr>
              <w:jc w:val="right"/>
              <w:ind w:right="390"/>
              <w:spacing w:after="0" w:line="203" w:lineRule="exact"/>
              <w:rPr>
                <w:sz w:val="20"/>
                <w:szCs w:val="20"/>
                <w:color w:val="auto"/>
              </w:rPr>
            </w:pPr>
            <w:r>
              <w:rPr>
                <w:rFonts w:ascii="Arial" w:cs="Arial" w:eastAsia="Arial" w:hAnsi="Arial"/>
                <w:sz w:val="18"/>
                <w:szCs w:val="18"/>
                <w:color w:val="auto"/>
                <w:w w:val="86"/>
              </w:rPr>
              <w:t>1.00%</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trike w:val="1"/>
              </w:rPr>
              <w:t>0.35</w:t>
            </w:r>
          </w:p>
        </w:tc>
        <w:tc>
          <w:tcPr>
            <w:tcW w:w="940" w:type="dxa"/>
            <w:vAlign w:val="bottom"/>
            <w:gridSpan w:val="3"/>
            <w:shd w:val="clear" w:color="auto" w:fill="CCEEFF"/>
          </w:tcPr>
          <w:p>
            <w:pPr>
              <w:jc w:val="right"/>
              <w:ind w:right="370"/>
              <w:spacing w:after="0" w:line="203" w:lineRule="exact"/>
              <w:rPr>
                <w:sz w:val="20"/>
                <w:szCs w:val="20"/>
                <w:color w:val="auto"/>
              </w:rPr>
            </w:pPr>
            <w:r>
              <w:rPr>
                <w:rFonts w:ascii="Arial" w:cs="Arial" w:eastAsia="Arial" w:hAnsi="Arial"/>
                <w:sz w:val="18"/>
                <w:szCs w:val="18"/>
                <w:color w:val="auto"/>
                <w:w w:val="90"/>
              </w:rPr>
              <w:t>0.15%</w:t>
            </w:r>
          </w:p>
        </w:tc>
        <w:tc>
          <w:tcPr>
            <w:tcW w:w="7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strike w:val="1"/>
              </w:rPr>
              <w:t>0.45</w:t>
            </w:r>
          </w:p>
        </w:tc>
        <w:tc>
          <w:tcPr>
            <w:tcW w:w="52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line="176" w:lineRule="exact"/>
              <w:rPr>
                <w:sz w:val="20"/>
                <w:szCs w:val="20"/>
                <w:color w:val="auto"/>
              </w:rPr>
            </w:pPr>
            <w:r>
              <w:rPr>
                <w:rFonts w:ascii="Arial" w:cs="Arial" w:eastAsia="Arial" w:hAnsi="Arial"/>
                <w:sz w:val="18"/>
                <w:szCs w:val="18"/>
                <w:color w:val="auto"/>
              </w:rPr>
              <w:t>4</w:t>
            </w:r>
          </w:p>
        </w:tc>
        <w:tc>
          <w:tcPr>
            <w:tcW w:w="380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0"/>
              </w:rPr>
              <w:t>³ 2.0:1.0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ind w:left="60"/>
              <w:spacing w:after="0" w:line="176" w:lineRule="exact"/>
              <w:rPr>
                <w:sz w:val="20"/>
                <w:szCs w:val="20"/>
                <w:color w:val="auto"/>
              </w:rPr>
            </w:pPr>
            <w:r>
              <w:rPr>
                <w:rFonts w:ascii="Arial" w:cs="Arial" w:eastAsia="Arial" w:hAnsi="Arial"/>
                <w:sz w:val="18"/>
                <w:szCs w:val="18"/>
                <w:color w:val="auto"/>
                <w:strike w:val="1"/>
                <w:w w:val="85"/>
              </w:rPr>
              <w:t>2.50</w:t>
            </w:r>
          </w:p>
        </w:tc>
        <w:tc>
          <w:tcPr>
            <w:tcW w:w="940" w:type="dxa"/>
            <w:vAlign w:val="bottom"/>
            <w:gridSpan w:val="3"/>
          </w:tcPr>
          <w:p>
            <w:pPr>
              <w:jc w:val="right"/>
              <w:ind w:right="390"/>
              <w:spacing w:after="0" w:line="176" w:lineRule="exact"/>
              <w:rPr>
                <w:sz w:val="20"/>
                <w:szCs w:val="20"/>
                <w:color w:val="auto"/>
              </w:rPr>
            </w:pPr>
            <w:r>
              <w:rPr>
                <w:rFonts w:ascii="Arial" w:cs="Arial" w:eastAsia="Arial" w:hAnsi="Arial"/>
                <w:sz w:val="18"/>
                <w:szCs w:val="18"/>
                <w:color w:val="auto"/>
                <w:w w:val="86"/>
              </w:rPr>
              <w:t>2.25%</w:t>
            </w:r>
          </w:p>
        </w:tc>
        <w:tc>
          <w:tcPr>
            <w:tcW w:w="660" w:type="dxa"/>
            <w:vAlign w:val="bottom"/>
          </w:tcPr>
          <w:p>
            <w:pPr>
              <w:jc w:val="center"/>
              <w:ind w:left="254"/>
              <w:spacing w:after="0" w:line="176" w:lineRule="exact"/>
              <w:rPr>
                <w:sz w:val="20"/>
                <w:szCs w:val="20"/>
                <w:color w:val="auto"/>
              </w:rPr>
            </w:pPr>
            <w:r>
              <w:rPr>
                <w:rFonts w:ascii="Arial" w:cs="Arial" w:eastAsia="Arial" w:hAnsi="Arial"/>
                <w:sz w:val="18"/>
                <w:szCs w:val="18"/>
                <w:color w:val="auto"/>
                <w:strike w:val="1"/>
                <w:w w:val="91"/>
              </w:rPr>
              <w:t>1.50</w:t>
            </w:r>
          </w:p>
        </w:tc>
        <w:tc>
          <w:tcPr>
            <w:tcW w:w="940" w:type="dxa"/>
            <w:vAlign w:val="bottom"/>
            <w:gridSpan w:val="2"/>
          </w:tcPr>
          <w:p>
            <w:pPr>
              <w:jc w:val="right"/>
              <w:ind w:right="390"/>
              <w:spacing w:after="0" w:line="176" w:lineRule="exact"/>
              <w:rPr>
                <w:sz w:val="20"/>
                <w:szCs w:val="20"/>
                <w:color w:val="auto"/>
              </w:rPr>
            </w:pPr>
            <w:r>
              <w:rPr>
                <w:rFonts w:ascii="Arial" w:cs="Arial" w:eastAsia="Arial" w:hAnsi="Arial"/>
                <w:sz w:val="18"/>
                <w:szCs w:val="18"/>
                <w:color w:val="auto"/>
                <w:w w:val="86"/>
              </w:rPr>
              <w:t>1.25%</w:t>
            </w:r>
          </w:p>
        </w:tc>
        <w:tc>
          <w:tcPr>
            <w:tcW w:w="2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strike w:val="1"/>
              </w:rPr>
              <w:t>0.40</w:t>
            </w:r>
          </w:p>
        </w:tc>
        <w:tc>
          <w:tcPr>
            <w:tcW w:w="940" w:type="dxa"/>
            <w:vAlign w:val="bottom"/>
            <w:gridSpan w:val="3"/>
          </w:tcPr>
          <w:p>
            <w:pPr>
              <w:jc w:val="right"/>
              <w:ind w:right="370"/>
              <w:spacing w:after="0" w:line="176" w:lineRule="exact"/>
              <w:rPr>
                <w:sz w:val="20"/>
                <w:szCs w:val="20"/>
                <w:color w:val="auto"/>
              </w:rPr>
            </w:pPr>
            <w:r>
              <w:rPr>
                <w:rFonts w:ascii="Arial" w:cs="Arial" w:eastAsia="Arial" w:hAnsi="Arial"/>
                <w:sz w:val="18"/>
                <w:szCs w:val="18"/>
                <w:color w:val="auto"/>
                <w:w w:val="90"/>
              </w:rPr>
              <w:t>0.15%</w:t>
            </w:r>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strike w:val="1"/>
              </w:rPr>
              <w:t>0.50</w:t>
            </w:r>
          </w:p>
        </w:tc>
        <w:tc>
          <w:tcPr>
            <w:tcW w:w="520" w:type="dxa"/>
            <w:vAlign w:val="bottom"/>
            <w:gridSpan w:val="3"/>
          </w:tcPr>
          <w:p>
            <w:pPr>
              <w:jc w:val="right"/>
              <w:spacing w:after="0" w:line="176" w:lineRule="exact"/>
              <w:rPr>
                <w:sz w:val="20"/>
                <w:szCs w:val="20"/>
                <w:color w:val="auto"/>
              </w:rPr>
            </w:pPr>
            <w:r>
              <w:rPr>
                <w:rFonts w:ascii="Arial" w:cs="Arial" w:eastAsia="Arial" w:hAnsi="Arial"/>
                <w:sz w:val="18"/>
                <w:szCs w:val="18"/>
                <w:color w:val="auto"/>
                <w:w w:val="86"/>
              </w:rPr>
              <w:t>2.25%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ind w:right="6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increase or decrease in the Applicable Rate resulting from a change in the Consolidated Total Leverage Ratio shall become effective as of the first Business Day immediately following the date a Compliance Certificate is delivered pursuant to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Compliance Certificate is not delivered when due in accordance with such Section, then, upon the request of the Required Lenders, Pricing Level 1 shall apply as of the first Business Day after the date on which such Compliance Certificate was required to have been delivered and shall remain in effect until the first Business Day following the date on which such Compliance Certificate is delivered, whereupon the Applicable Rate shall be adjusted based on the calculation of the Consolidated Total Leverage Ratio contained in such Compliance Certificate. In addition, at all times while the Default Rate is in effect, the highest rate set forth in each column of the Applicable Rate shall apply.</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Notwithstanding anything to the contrary contained in this definition, (a) the determination of the Applicable Rate for any period shall be subject to the provisions of </w:t>
      </w:r>
      <w:r>
        <w:rPr>
          <w:rFonts w:ascii="Arial" w:cs="Arial" w:eastAsia="Arial" w:hAnsi="Arial"/>
          <w:sz w:val="17"/>
          <w:szCs w:val="17"/>
          <w:u w:val="single" w:color="auto"/>
          <w:color w:val="auto"/>
        </w:rPr>
        <w:t>Sections 2.07(d)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2.08(b)</w:t>
      </w:r>
      <w:r>
        <w:rPr>
          <w:rFonts w:ascii="Arial" w:cs="Arial" w:eastAsia="Arial" w:hAnsi="Arial"/>
          <w:sz w:val="17"/>
          <w:szCs w:val="17"/>
          <w:color w:val="auto"/>
        </w:rPr>
        <w:t xml:space="preserve"> and (b) the initial Applicable Rate shall be as set forth in Pricing Level 1 until the first Business Day immediately following the date a Compliance Certificate is delivered pursuant to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for the fiscal year ending June </w:t>
      </w:r>
      <w:r>
        <w:rPr>
          <w:rFonts w:ascii="Arial" w:cs="Arial" w:eastAsia="Arial" w:hAnsi="Arial"/>
          <w:sz w:val="17"/>
          <w:szCs w:val="17"/>
          <w:color w:val="auto"/>
          <w:strike w:val="1"/>
        </w:rPr>
        <w:t>27</w:t>
      </w:r>
      <w:r>
        <w:rPr>
          <w:rFonts w:ascii="Arial" w:cs="Arial" w:eastAsia="Arial" w:hAnsi="Arial"/>
          <w:sz w:val="17"/>
          <w:szCs w:val="17"/>
          <w:u w:val="single" w:color="auto"/>
          <w:color w:val="auto"/>
        </w:rPr>
        <w:t>29</w:t>
      </w:r>
      <w:r>
        <w:rPr>
          <w:rFonts w:ascii="Arial" w:cs="Arial" w:eastAsia="Arial" w:hAnsi="Arial"/>
          <w:sz w:val="17"/>
          <w:szCs w:val="17"/>
          <w:color w:val="auto"/>
        </w:rPr>
        <w:t xml:space="preserve">, </w:t>
      </w:r>
      <w:r>
        <w:rPr>
          <w:rFonts w:ascii="Arial" w:cs="Arial" w:eastAsia="Arial" w:hAnsi="Arial"/>
          <w:sz w:val="17"/>
          <w:szCs w:val="17"/>
          <w:color w:val="auto"/>
          <w:strike w:val="1"/>
        </w:rPr>
        <w:t>2014</w:t>
      </w:r>
      <w:r>
        <w:rPr>
          <w:rFonts w:ascii="Arial" w:cs="Arial" w:eastAsia="Arial" w:hAnsi="Arial"/>
          <w:sz w:val="17"/>
          <w:szCs w:val="17"/>
          <w:u w:val="single" w:color="auto"/>
          <w:color w:val="auto"/>
        </w:rPr>
        <w:t>2018</w:t>
      </w:r>
      <w:r>
        <w:rPr>
          <w:rFonts w:ascii="Arial" w:cs="Arial" w:eastAsia="Arial" w:hAnsi="Arial"/>
          <w:sz w:val="17"/>
          <w:szCs w:val="17"/>
          <w:color w:val="auto"/>
        </w:rPr>
        <w:t xml:space="preserve"> to the Administrative Agent. Any adjustment in the Applicable Rate shall be applicable to all Credit Extensions then existing or subsequently made or issued.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Applicable Rate set forth above shall be increased as, and to the extent, required by </w:t>
      </w:r>
      <w:r>
        <w:rPr>
          <w:rFonts w:ascii="Arial" w:cs="Arial" w:eastAsia="Arial" w:hAnsi="Arial"/>
          <w:sz w:val="18"/>
          <w:szCs w:val="18"/>
          <w:u w:val="single" w:color="auto"/>
          <w:color w:val="auto"/>
        </w:rPr>
        <w:t>Sections 2.07(d)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w:t>
      </w:r>
      <w:r>
        <w:rPr>
          <w:rFonts w:ascii="Arial" w:cs="Arial" w:eastAsia="Arial" w:hAnsi="Arial"/>
          <w:sz w:val="18"/>
          <w:szCs w:val="18"/>
          <w:color w:val="auto"/>
        </w:rPr>
        <w:t>.</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Percentage</w:t>
      </w:r>
      <w:r>
        <w:rPr>
          <w:rFonts w:ascii="Arial" w:cs="Arial" w:eastAsia="Arial" w:hAnsi="Arial"/>
          <w:sz w:val="18"/>
          <w:szCs w:val="18"/>
          <w:color w:val="auto"/>
        </w:rPr>
        <w:t>” means with respect to any Revolving Lender at any time, such Revolving Lender’s Applicable Percentage in respect of the Revolving Facility at such time.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means, at any time, with respect to any Facility, a Lender that has a Commitment with respect to such Facility or holds a Loan under such Facility at such time.</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strike w:val="1"/>
        </w:rPr>
        <w:t>“Arranger” means Bank of America, N.A., an Affiliate of Merrill Lynch, Pierce, Fenner &amp; Smith Incorporated, in its capacity as sole lead arranger and sole bookrunner.</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any other form (including an electronic documentation form generated by use of an electronic platform) approved by the Administrative Agent.</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Indebtedness</w:t>
      </w:r>
      <w:r>
        <w:rPr>
          <w:rFonts w:ascii="Arial" w:cs="Arial" w:eastAsia="Arial" w:hAnsi="Arial"/>
          <w:sz w:val="16"/>
          <w:szCs w:val="16"/>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in respect of any Securitization Transaction, the outstanding principal amount of such financing, after taking into account reserve accounts and making appropriate adjustments, determined by the Administrative Agent in its reasonable judgment and (d) in respect of any Sale and Leaseback Transaction, the present value (discounted in accordance with GAAP at the debt rate implied in the applicable lease) of the capitalized obligations of the lessee for rental payments during the term of such lease that would appear on a balance sheet of such Person in accordance with GAAP.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3" w:name="page24"/>
    <w:bookmarkEnd w:id="23"/>
    <w:p>
      <w:pPr>
        <w:jc w:val="both"/>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xml:space="preserve">” means the audited Consolidated balance sheet of the Company and its Subsidiaries for the fiscal year ended June </w:t>
      </w:r>
      <w:r>
        <w:rPr>
          <w:rFonts w:ascii="Arial" w:cs="Arial" w:eastAsia="Arial" w:hAnsi="Arial"/>
          <w:sz w:val="18"/>
          <w:szCs w:val="18"/>
          <w:color w:val="auto"/>
          <w:strike w:val="1"/>
        </w:rPr>
        <w:t>28</w:t>
      </w:r>
      <w:r>
        <w:rPr>
          <w:rFonts w:ascii="Arial" w:cs="Arial" w:eastAsia="Arial" w:hAnsi="Arial"/>
          <w:sz w:val="18"/>
          <w:szCs w:val="18"/>
          <w:u w:val="single" w:color="auto"/>
          <w:color w:val="auto"/>
        </w:rPr>
        <w:t>30</w:t>
      </w:r>
      <w:r>
        <w:rPr>
          <w:rFonts w:ascii="Arial" w:cs="Arial" w:eastAsia="Arial" w:hAnsi="Arial"/>
          <w:sz w:val="18"/>
          <w:szCs w:val="18"/>
          <w:color w:val="auto"/>
        </w:rPr>
        <w:t xml:space="preserve">, </w:t>
      </w:r>
      <w:r>
        <w:rPr>
          <w:rFonts w:ascii="Arial" w:cs="Arial" w:eastAsia="Arial" w:hAnsi="Arial"/>
          <w:sz w:val="18"/>
          <w:szCs w:val="18"/>
          <w:color w:val="auto"/>
          <w:strike w:val="1"/>
        </w:rPr>
        <w:t>2013</w:t>
      </w:r>
      <w:r>
        <w:rPr>
          <w:rFonts w:ascii="Arial" w:cs="Arial" w:eastAsia="Arial" w:hAnsi="Arial"/>
          <w:sz w:val="18"/>
          <w:szCs w:val="18"/>
          <w:u w:val="single" w:color="auto"/>
          <w:color w:val="auto"/>
        </w:rPr>
        <w:t>2017</w:t>
      </w:r>
      <w:r>
        <w:rPr>
          <w:rFonts w:ascii="Arial" w:cs="Arial" w:eastAsia="Arial" w:hAnsi="Arial"/>
          <w:sz w:val="18"/>
          <w:szCs w:val="18"/>
          <w:color w:val="auto"/>
        </w:rPr>
        <w:t>, and the related Consolidated statements of income or operations, Shareholders’ Equity and cash flows for such fiscal year of the Company and its Subsidiaries, including the notes thereto.</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Authorization to Share Insurance Information</w:t>
      </w:r>
      <w:r>
        <w:rPr>
          <w:rFonts w:ascii="Arial" w:cs="Arial" w:eastAsia="Arial" w:hAnsi="Arial"/>
          <w:sz w:val="18"/>
          <w:szCs w:val="18"/>
          <w:color w:val="auto"/>
        </w:rPr>
        <w:t xml:space="preserve">” means the authorization substantially in the form of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(or such other form as required by each of the Loan Party’s insurance companies).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(a) in respect of the Revolving Facility, the period from and including the Effective Date to the earliest of (</w:t>
      </w:r>
      <w:r>
        <w:rPr>
          <w:rFonts w:ascii="Arial" w:cs="Arial" w:eastAsia="Arial" w:hAnsi="Arial"/>
          <w:sz w:val="18"/>
          <w:szCs w:val="18"/>
          <w:color w:val="auto"/>
          <w:strike w:val="1"/>
        </w:rPr>
        <w:t>i</w:t>
      </w:r>
      <w:r>
        <w:rPr>
          <w:rFonts w:ascii="Arial" w:cs="Arial" w:eastAsia="Arial" w:hAnsi="Arial"/>
          <w:sz w:val="18"/>
          <w:szCs w:val="18"/>
          <w:u w:val="single" w:color="auto"/>
          <w:color w:val="auto"/>
        </w:rPr>
        <w:t>a</w:t>
      </w:r>
      <w:r>
        <w:rPr>
          <w:rFonts w:ascii="Arial" w:cs="Arial" w:eastAsia="Arial" w:hAnsi="Arial"/>
          <w:sz w:val="18"/>
          <w:szCs w:val="18"/>
          <w:color w:val="auto"/>
        </w:rPr>
        <w:t>) the Maturity Date for the Revolving Facility, (</w:t>
      </w:r>
      <w:r>
        <w:rPr>
          <w:rFonts w:ascii="Arial" w:cs="Arial" w:eastAsia="Arial" w:hAnsi="Arial"/>
          <w:sz w:val="18"/>
          <w:szCs w:val="18"/>
          <w:color w:val="auto"/>
          <w:strike w:val="1"/>
        </w:rPr>
        <w:t>ii</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date of termination of the Revolving Commitments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and (</w:t>
      </w:r>
      <w:r>
        <w:rPr>
          <w:rFonts w:ascii="Arial" w:cs="Arial" w:eastAsia="Arial" w:hAnsi="Arial"/>
          <w:sz w:val="18"/>
          <w:szCs w:val="18"/>
          <w:color w:val="auto"/>
          <w:strike w:val="1"/>
        </w:rPr>
        <w:t>iii</w:t>
      </w:r>
      <w:r>
        <w:rPr>
          <w:rFonts w:ascii="Arial" w:cs="Arial" w:eastAsia="Arial" w:hAnsi="Arial"/>
          <w:sz w:val="18"/>
          <w:szCs w:val="18"/>
          <w:u w:val="single" w:color="auto"/>
          <w:color w:val="auto"/>
        </w:rPr>
        <w:t>c</w:t>
      </w:r>
      <w:r>
        <w:rPr>
          <w:rFonts w:ascii="Arial" w:cs="Arial" w:eastAsia="Arial" w:hAnsi="Arial"/>
          <w:sz w:val="18"/>
          <w:szCs w:val="18"/>
          <w:color w:val="auto"/>
        </w:rPr>
        <w:t xml:space="preserve">) the date of termination of the Commitment of each Revolving Lender to make Revolving Loans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(b) in respect of the Term Facility, the period from and </w:t>
      </w:r>
      <w:r>
        <w:rPr>
          <w:rFonts w:ascii="Arial" w:cs="Arial" w:eastAsia="Arial" w:hAnsi="Arial"/>
          <w:sz w:val="18"/>
          <w:szCs w:val="18"/>
          <w:color w:val="auto"/>
          <w:strike w:val="1"/>
        </w:rPr>
        <w:t>including the Effective Date to the earliest of (i) July 31, 2016, (ii) the Maturity Date for the Term Facility and (iii)the date of termination of the commitments of the respective Term Lenders to make Term Loans pursuant to Section 8.02.</w:t>
      </w:r>
      <w:r>
        <w:rPr>
          <w:rFonts w:ascii="Arial" w:cs="Arial" w:eastAsia="Arial" w:hAnsi="Arial"/>
          <w:sz w:val="18"/>
          <w:szCs w:val="18"/>
          <w:u w:val="single" w:color="auto"/>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-625475</wp:posOffset>
            </wp:positionV>
            <wp:extent cx="1841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415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-351155</wp:posOffset>
            </wp:positionV>
            <wp:extent cx="27171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6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xml:space="preserve">” means an amount equal to (a) $45,000,000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any amount expended pursuant to </w:t>
      </w:r>
      <w:r>
        <w:rPr>
          <w:rFonts w:ascii="Arial" w:cs="Arial" w:eastAsia="Arial" w:hAnsi="Arial"/>
          <w:sz w:val="18"/>
          <w:szCs w:val="18"/>
          <w:u w:val="single" w:color="auto"/>
          <w:color w:val="auto"/>
        </w:rPr>
        <w:t>Sections 7.03(c)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7.05(a)</w:t>
      </w:r>
      <w:r>
        <w:rPr>
          <w:rFonts w:ascii="Arial" w:cs="Arial" w:eastAsia="Arial" w:hAnsi="Arial"/>
          <w:sz w:val="18"/>
          <w:szCs w:val="18"/>
          <w:color w:val="auto"/>
        </w:rPr>
        <w:t xml:space="preserve"> in reliance on the Available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any amounts invested in reliance on </w:t>
      </w:r>
      <w:r>
        <w:rPr>
          <w:rFonts w:ascii="Arial" w:cs="Arial" w:eastAsia="Arial" w:hAnsi="Arial"/>
          <w:sz w:val="18"/>
          <w:szCs w:val="18"/>
          <w:u w:val="single" w:color="auto"/>
          <w:color w:val="auto"/>
        </w:rPr>
        <w:t>Section 7.03(c)(iv)</w:t>
      </w:r>
      <w:r>
        <w:rPr>
          <w:rFonts w:ascii="Arial" w:cs="Arial" w:eastAsia="Arial" w:hAnsi="Arial"/>
          <w:sz w:val="18"/>
          <w:szCs w:val="18"/>
          <w:color w:val="auto"/>
        </w:rPr>
        <w:t xml:space="preserve"> in any Subsidiary that, at the time such Investment was made, was not a Loan Party if such Subsidiary subsequently becomes a Loan Party solely to the extent that the net tangible assets of such Loan Party is equal to or greater than such amount invested in reliance on </w:t>
      </w:r>
      <w:r>
        <w:rPr>
          <w:rFonts w:ascii="Arial" w:cs="Arial" w:eastAsia="Arial" w:hAnsi="Arial"/>
          <w:sz w:val="18"/>
          <w:szCs w:val="18"/>
          <w:u w:val="single" w:color="auto"/>
          <w:color w:val="auto"/>
        </w:rPr>
        <w:t>Section 7.03(c)(iv)</w:t>
      </w:r>
      <w:r>
        <w:rPr>
          <w:rFonts w:ascii="Arial" w:cs="Arial" w:eastAsia="Arial" w:hAnsi="Arial"/>
          <w:sz w:val="18"/>
          <w:szCs w:val="18"/>
          <w:color w:val="auto"/>
        </w:rPr>
        <w:t xml:space="preserve"> in such Subsidiary before it became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the Available Amount shall at no time exceed the amount described in clause (a) of this definition.</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u w:val="single" w:color="auto"/>
          <w:color w:val="auto"/>
        </w:rPr>
        <w:t>“Bail-In Action”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u w:val="single" w:color="auto"/>
          <w:color w:val="auto"/>
        </w:rPr>
        <w:t>“Bail-In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of interest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(b) the rate of interest in effect for such day as publicly announced from time to time by Bank of America as its “prime rate,” and (c) the Eurodollar Rate plus 1.00%</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subject to the interest rate floors set forth therein; provided that if the Base Rate shall be less than zero, such a rate shall be deemed zero for purposes of this Agreement</w:t>
      </w:r>
      <w:r>
        <w:rPr>
          <w:rFonts w:ascii="Arial" w:cs="Arial" w:eastAsia="Arial" w:hAnsi="Arial"/>
          <w:sz w:val="18"/>
          <w:szCs w:val="18"/>
          <w:color w:val="auto"/>
        </w:rPr>
        <w: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Revolving Loan or a Term Loan that bears interest based on the Base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the board of directors or equivalent governing body of such Person, including without limitation, any members, managers or member-managers of such Person.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4" w:name="page25"/>
    <w:bookmarkEnd w:id="24"/>
    <w:p>
      <w:pPr>
        <w:ind w:right="3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BOT Approval in Principle</w:t>
      </w:r>
      <w:r>
        <w:rPr>
          <w:rFonts w:ascii="Arial" w:cs="Arial" w:eastAsia="Arial" w:hAnsi="Arial"/>
          <w:sz w:val="18"/>
          <w:szCs w:val="18"/>
          <w:color w:val="auto"/>
        </w:rPr>
        <w:t>” means a written approval from the Bank of Thailand approving in principle the remittance of funds outside Thailand under any Guarantee (including the Guaranty) by Fabrinet Thailand or any Thai Material Subsidiary.</w:t>
      </w:r>
    </w:p>
    <w:p>
      <w:pPr>
        <w:spacing w:after="0" w:line="170"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 respect to any Person for any period, any expenditure in respect of the purchase or other acquisition of any fixed or capital asset (excluding normal replacements and maintenance which are properly charged to current operations) that are set forth in a consolidated statement of cash flows of the Company and its Subsidiaries for such period prepared in accordance with GAAP. For purposes of this definition, (a) the purchase price of equipment that is purchased simultaneously with the trade-in of existing equipment or with insurance proceeds, indemnity payments, condemnation awards (or payments in lieu thereof) or damage recovery proceeds shall be included in Capital Expenditures only to the extent of the gross amount by which such purchase price exceeds the credit granted by the seller of such equipment for the equipment being traded in at such time or the amount of such insurance proceeds, indemnity payments, condemnation awards (or payments in lieu thereof) or damage recovery proceeds, as the case may be, (b) any expenditure made by the Company or any Subsidiary as payment of the consideration for (and transaction expenses incurred in connection with) a Permitted Acquisition shall be excluded, (c) any expenditures made by the Company or any Subsidiary to effect leasehold improvements to any property leased by the Company or such Subsidiary as lessee shall be excluded to the extent such expenses have been reimbursed by the landlord.</w:t>
      </w:r>
    </w:p>
    <w:p>
      <w:pPr>
        <w:spacing w:after="0" w:line="169"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Leases</w:t>
      </w:r>
      <w:r>
        <w:rPr>
          <w:rFonts w:ascii="Arial" w:cs="Arial" w:eastAsia="Arial" w:hAnsi="Arial"/>
          <w:sz w:val="16"/>
          <w:szCs w:val="16"/>
          <w:color w:val="auto"/>
        </w:rPr>
        <w:t>” means all leases that have been or should be, in accordance with GAAP, recorded as capitalized leases, and, for purposes of this Agreement, the amount of such obligations at any time shall be the capitalized amount thereof at such time determined in accordance with GAAP.</w:t>
      </w:r>
    </w:p>
    <w:p>
      <w:pPr>
        <w:spacing w:after="0" w:line="12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types of Investments, to the extent owned by the Borrower or any of its Subsidiaries free and clear of all Liens (other than Permitted Liens):</w:t>
      </w:r>
    </w:p>
    <w:p>
      <w:pPr>
        <w:spacing w:after="0" w:line="170" w:lineRule="exact"/>
        <w:rPr>
          <w:sz w:val="20"/>
          <w:szCs w:val="20"/>
          <w:color w:val="auto"/>
        </w:rPr>
      </w:pPr>
    </w:p>
    <w:p>
      <w:pPr>
        <w:ind w:right="320" w:firstLine="464"/>
        <w:spacing w:after="0" w:line="264" w:lineRule="auto"/>
        <w:tabs>
          <w:tab w:leader="none" w:pos="7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or any agency or instrumentality thereof having maturities of not more than three hundred sixty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is pledged in support thereof;</w:t>
      </w:r>
    </w:p>
    <w:p>
      <w:pPr>
        <w:spacing w:after="0" w:line="181" w:lineRule="exact"/>
        <w:rPr>
          <w:rFonts w:ascii="Arial" w:cs="Arial" w:eastAsia="Arial" w:hAnsi="Arial"/>
          <w:sz w:val="18"/>
          <w:szCs w:val="18"/>
          <w:color w:val="auto"/>
        </w:rPr>
      </w:pPr>
    </w:p>
    <w:p>
      <w:pPr>
        <w:ind w:firstLine="464"/>
        <w:spacing w:after="0" w:line="276" w:lineRule="auto"/>
        <w:tabs>
          <w:tab w:leader="none" w:pos="711" w:val="left"/>
        </w:tabs>
        <w:numPr>
          <w:ilvl w:val="1"/>
          <w:numId w:val="10"/>
        </w:numPr>
        <w:rPr>
          <w:rFonts w:ascii="Arial" w:cs="Arial" w:eastAsia="Arial" w:hAnsi="Arial"/>
          <w:sz w:val="17"/>
          <w:szCs w:val="17"/>
          <w:color w:val="auto"/>
        </w:rPr>
      </w:pPr>
      <w:r>
        <w:rPr>
          <w:rFonts w:ascii="Arial" w:cs="Arial" w:eastAsia="Arial" w:hAnsi="Arial"/>
          <w:sz w:val="17"/>
          <w:szCs w:val="17"/>
          <w:color w:val="auto"/>
        </w:rPr>
        <w:t>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ninety (90) days from the date of acquisition thereof;</w:t>
      </w:r>
    </w:p>
    <w:p>
      <w:pPr>
        <w:spacing w:after="0" w:line="172" w:lineRule="exact"/>
        <w:rPr>
          <w:rFonts w:ascii="Arial" w:cs="Arial" w:eastAsia="Arial" w:hAnsi="Arial"/>
          <w:sz w:val="17"/>
          <w:szCs w:val="17"/>
          <w:color w:val="auto"/>
        </w:rPr>
      </w:pPr>
    </w:p>
    <w:p>
      <w:pPr>
        <w:ind w:right="480" w:firstLine="464"/>
        <w:spacing w:after="0" w:line="291" w:lineRule="auto"/>
        <w:tabs>
          <w:tab w:leader="none" w:pos="701" w:val="left"/>
        </w:tabs>
        <w:numPr>
          <w:ilvl w:val="1"/>
          <w:numId w:val="10"/>
        </w:numPr>
        <w:rPr>
          <w:rFonts w:ascii="Arial" w:cs="Arial" w:eastAsia="Arial" w:hAnsi="Arial"/>
          <w:sz w:val="16"/>
          <w:szCs w:val="16"/>
          <w:color w:val="auto"/>
        </w:rPr>
      </w:pPr>
      <w:r>
        <w:rPr>
          <w:rFonts w:ascii="Arial" w:cs="Arial" w:eastAsia="Arial" w:hAnsi="Arial"/>
          <w:sz w:val="16"/>
          <w:szCs w:val="16"/>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one hundred eighty</w:t>
      </w:r>
    </w:p>
    <w:p>
      <w:pPr>
        <w:ind w:left="440" w:hanging="43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days from the date of acquisition thereof;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5" w:name="page26"/>
    <w:bookmarkEnd w:id="25"/>
    <w:p>
      <w:pPr>
        <w:ind w:right="60" w:firstLine="464"/>
        <w:spacing w:after="0" w:line="288" w:lineRule="auto"/>
        <w:tabs>
          <w:tab w:leader="none" w:pos="711" w:val="left"/>
        </w:tabs>
        <w:numPr>
          <w:ilvl w:val="1"/>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classified in accordance with GAAP as current assets of the Company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w:t>
      </w: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this definition; and</w:t>
      </w:r>
    </w:p>
    <w:p>
      <w:pPr>
        <w:spacing w:after="0" w:line="210" w:lineRule="exact"/>
        <w:rPr>
          <w:rFonts w:ascii="Arial" w:cs="Arial" w:eastAsia="Arial" w:hAnsi="Arial"/>
          <w:sz w:val="18"/>
          <w:szCs w:val="18"/>
          <w:color w:val="auto"/>
        </w:rPr>
      </w:pPr>
    </w:p>
    <w:p>
      <w:pPr>
        <w:ind w:firstLine="464"/>
        <w:spacing w:after="0" w:line="297" w:lineRule="auto"/>
        <w:tabs>
          <w:tab w:leader="none" w:pos="701"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any other investments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permitted by the Company’s cash investment policy approved by the Company’s Board of Directors (or a committee thereof) and reasonably satisfactory to the Administrative Agent (as the same may be amended, restated, supplemented or otherwise modified from time to time; it being understood and agreed that any new investments permitted under such policy shall constitute Cash Equivalents for purposes of this Agreement only with the consent of the Administrative Agent (which such consent shall not be unreasonably withheld or delayed)), in each case, solely to the extent such investments constitute cash equivalents or marketable securities not classified as long-term investments under GAAP.</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Bank</w:t>
      </w:r>
      <w:r>
        <w:rPr>
          <w:rFonts w:ascii="Arial" w:cs="Arial" w:eastAsia="Arial" w:hAnsi="Arial"/>
          <w:sz w:val="17"/>
          <w:szCs w:val="17"/>
          <w:color w:val="auto"/>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225" w:lineRule="exact"/>
        <w:rPr>
          <w:sz w:val="20"/>
          <w:szCs w:val="20"/>
          <w:color w:val="auto"/>
        </w:rPr>
      </w:pPr>
    </w:p>
    <w:p>
      <w:pPr>
        <w:jc w:val="both"/>
        <w:ind w:right="60" w:firstLine="464"/>
        <w:spacing w:after="0" w:line="259"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6" w:name="page27"/>
    <w:bookmarkEnd w:id="2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all securities that such person or group has the right to acquire, whether such right is exercisable immediately or only after the passage of time (such right, an “option right”)), directly or indirectly, of thirty-five percent (35%) or more of the Equity Interests of the Company entitled to vote for members of the Board of Directors of the Company on a fully-diluted basis (and taking into account all such securities that such “person” or “group” has the right to acquire pursuant to any option right); or</w:t>
      </w:r>
    </w:p>
    <w:p>
      <w:pPr>
        <w:spacing w:after="0" w:line="187" w:lineRule="exact"/>
        <w:rPr>
          <w:sz w:val="20"/>
          <w:szCs w:val="20"/>
          <w:color w:val="auto"/>
        </w:rPr>
      </w:pPr>
    </w:p>
    <w:p>
      <w:pPr>
        <w:ind w:firstLine="464"/>
        <w:spacing w:after="0" w:line="276" w:lineRule="auto"/>
        <w:tabs>
          <w:tab w:leader="none" w:pos="711"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any period of twenty-four (24) consecutive months, a majority of the members of the Board of Directors of the Company cease to be composed of individuals (i) who were members of that Board of Directors on the first day of such period, (ii) whose election or nomination to that Board of Directors was approved by individuals referred to in clause (i) above constituting at the time of such election or nomination at least a majority of that Board of Directors or (iii) whose election or nomination to that board or other equivalent governing body was approved by individuals referred to in clauses (i) and (ii) above constituting at the time of such election or nomination at least a majority of that Board of Directors; or</w:t>
      </w:r>
    </w:p>
    <w:p>
      <w:pPr>
        <w:spacing w:after="0" w:line="172" w:lineRule="exact"/>
        <w:rPr>
          <w:rFonts w:ascii="Arial" w:cs="Arial" w:eastAsia="Arial" w:hAnsi="Arial"/>
          <w:sz w:val="17"/>
          <w:szCs w:val="17"/>
          <w:color w:val="auto"/>
        </w:rPr>
      </w:pPr>
    </w:p>
    <w:p>
      <w:pPr>
        <w:jc w:val="both"/>
        <w:ind w:right="100" w:firstLine="464"/>
        <w:spacing w:after="0" w:line="259" w:lineRule="auto"/>
        <w:tabs>
          <w:tab w:leader="none" w:pos="7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 “change of control” or any comparable term (including any “change of control” resulting solely from the failure of the Company’s common stock to be listed or quoted on a national securities exchange or other applicable securities exchange) under, and as defined in, any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 Document or other documents governing Indebtedness of the Company or its Subsidiaries, in each case the outstanding principal amount of which exceeds the Threshold Amount, shall have occurred.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and the regulations promulgated thereunder, as amended.</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w:t>
      </w:r>
      <w:r>
        <w:rPr>
          <w:rFonts w:ascii="Arial" w:cs="Arial" w:eastAsia="Arial" w:hAnsi="Arial"/>
          <w:sz w:val="18"/>
          <w:szCs w:val="18"/>
          <w:color w:val="auto"/>
          <w:strike w:val="1"/>
        </w:rPr>
        <w:t>the</w:t>
      </w:r>
      <w:r>
        <w:rPr>
          <w:rFonts w:ascii="Arial" w:cs="Arial" w:eastAsia="Arial" w:hAnsi="Arial"/>
          <w:sz w:val="18"/>
          <w:szCs w:val="18"/>
          <w:u w:val="single" w:color="auto"/>
          <w:color w:val="auto"/>
        </w:rPr>
        <w:t>each</w:t>
      </w:r>
      <w:r>
        <w:rPr>
          <w:rFonts w:ascii="Arial" w:cs="Arial" w:eastAsia="Arial" w:hAnsi="Arial"/>
          <w:sz w:val="18"/>
          <w:szCs w:val="18"/>
          <w:color w:val="auto"/>
        </w:rPr>
        <w:t xml:space="preserve"> Security Agreement, the Fabrinet Thailand Share Pledge, the Fabrinet Mauritius Share Pledge,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Fabrinet UK Share Pledge,</w:t>
      </w:r>
      <w:r>
        <w:rPr>
          <w:rFonts w:ascii="Arial" w:cs="Arial" w:eastAsia="Arial" w:hAnsi="Arial"/>
          <w:sz w:val="18"/>
          <w:szCs w:val="18"/>
          <w:color w:val="auto"/>
        </w:rPr>
        <w:t xml:space="preserve"> each of the mortgages, collateral assignments, security agreements, pledge agreements or other similar agreements delivered to the Administrative Agent pursuant to Section 6.14, and each of the other agreements, instruments or documents that creates or purports to create a Lien in favor of the Administrative Agent for the benefit of the Secured Parties.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Commitment or a Revolving Commitment, as the context may require.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7" w:name="page28"/>
    <w:bookmarkEnd w:id="27"/>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w:t>
      </w:r>
      <w:r>
        <w:rPr>
          <w:rFonts w:ascii="Arial" w:cs="Arial" w:eastAsia="Arial" w:hAnsi="Arial"/>
          <w:sz w:val="18"/>
          <w:szCs w:val="18"/>
          <w:color w:val="auto"/>
        </w:rPr>
        <w:t>” means, when used with reference to financial statements or financial statement items of the Company and its Subsidiaries or any other Person, such statements or items on a consolidated basis in accordance with the consolidation principles of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Capital Expenditures</w:t>
      </w:r>
      <w:r>
        <w:rPr>
          <w:rFonts w:ascii="Arial" w:cs="Arial" w:eastAsia="Arial" w:hAnsi="Arial"/>
          <w:sz w:val="16"/>
          <w:szCs w:val="16"/>
          <w:color w:val="auto"/>
        </w:rPr>
        <w:t>” means, for any period, for the Company and its Subsidiaries on a Consolidated basis, all Capital Expenditures.</w:t>
      </w:r>
    </w:p>
    <w:p>
      <w:pPr>
        <w:spacing w:after="0" w:line="248"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means all obligations classified as current liabilities under GAAP for the Company and its Subsidiaries on a Consolidated basis.</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Debt Service Coverage Ratio</w:t>
      </w:r>
      <w:r>
        <w:rPr>
          <w:rFonts w:ascii="Arial" w:cs="Arial" w:eastAsia="Arial" w:hAnsi="Arial"/>
          <w:sz w:val="16"/>
          <w:szCs w:val="16"/>
          <w:color w:val="auto"/>
        </w:rPr>
        <w:t>” means, as of any date of determination, the ratio of (a) Consolidated EBITDA for the most recently completed Measurement Period to (b) the sum of (i) Consolidated Interest Charges, (ii) current maturities of long-term debt (as determined in accordance with GAAP) and (iii) current maturities of obligations in respect of Capitalized Leases, in each case, for the most recently completed Measurement Period.</w:t>
      </w:r>
    </w:p>
    <w:p>
      <w:pPr>
        <w:spacing w:after="0" w:line="14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the following determined on a Consolidated basis, without duplication, for the Company and its Subsidiaries in accordance with GAAP, (a) Consolidated Net Income for the most recently completed Measurement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following to the extent deducted in calculating such Consolidated Net Income (without duplication): (i) Consolidated Interest Charges for such period, (ii) the provision for federal, state, local and foreign income taxes payable by the Company and its Subsidiaries for such period, including, without limitation, any franchise taxes or other taxes based on income, profits or capital and all other taxes that are included in the provision for income tax line item on the Consolidated income statement of the Company and its Subsidiaries for such period, (iii) depreciation and amortization expense for such period, (iv) non-cash charges and losses (excluding any such non-cash charges or losses to the extent (A) there were cash charges with respect to such charges and losses in past accounting periods or (B) there is a reasonable expectation that there will be cash charges with respect to such charges and losses in future accounting periods) for such period, (v) non-cash, stock-based compensation expenses for such period, (vi) extraordinary or one-time losses, costs and expenses for such period, including without limitation, costs, fees and expenses: (A) </w:t>
      </w:r>
      <w:r>
        <w:rPr>
          <w:rFonts w:ascii="Arial" w:cs="Arial" w:eastAsia="Arial" w:hAnsi="Arial"/>
          <w:sz w:val="16"/>
          <w:szCs w:val="16"/>
          <w:color w:val="auto"/>
          <w:strike w:val="1"/>
        </w:rPr>
        <w:t>related to the Thai 2011 Flooding, (B)</w:t>
      </w:r>
      <w:r>
        <w:rPr>
          <w:rFonts w:ascii="Arial" w:cs="Arial" w:eastAsia="Arial" w:hAnsi="Arial"/>
          <w:sz w:val="16"/>
          <w:szCs w:val="16"/>
          <w:color w:val="auto"/>
        </w:rPr>
        <w:t xml:space="preserve"> paid in connection with the Facilities, (</w:t>
      </w:r>
      <w:r>
        <w:rPr>
          <w:rFonts w:ascii="Arial" w:cs="Arial" w:eastAsia="Arial" w:hAnsi="Arial"/>
          <w:sz w:val="16"/>
          <w:szCs w:val="16"/>
          <w:color w:val="auto"/>
          <w:strike w:val="1"/>
        </w:rPr>
        <w:t>C</w:t>
      </w:r>
      <w:r>
        <w:rPr>
          <w:rFonts w:ascii="Arial" w:cs="Arial" w:eastAsia="Arial" w:hAnsi="Arial"/>
          <w:sz w:val="16"/>
          <w:szCs w:val="16"/>
          <w:u w:val="single" w:color="auto"/>
          <w:color w:val="auto"/>
        </w:rPr>
        <w:t>B</w:t>
      </w:r>
      <w:r>
        <w:rPr>
          <w:rFonts w:ascii="Arial" w:cs="Arial" w:eastAsia="Arial" w:hAnsi="Arial"/>
          <w:sz w:val="16"/>
          <w:szCs w:val="16"/>
          <w:color w:val="auto"/>
        </w:rPr>
        <w:t>) related to any proposed or actual Permitted Acquisition and any financings thereof, in an aggregate not to exceed $2,000,000 (including integration costs and expenses); and (</w:t>
      </w:r>
      <w:r>
        <w:rPr>
          <w:rFonts w:ascii="Arial" w:cs="Arial" w:eastAsia="Arial" w:hAnsi="Arial"/>
          <w:sz w:val="16"/>
          <w:szCs w:val="16"/>
          <w:color w:val="auto"/>
          <w:strike w:val="1"/>
        </w:rPr>
        <w:t>D</w:t>
      </w:r>
      <w:r>
        <w:rPr>
          <w:rFonts w:ascii="Arial" w:cs="Arial" w:eastAsia="Arial" w:hAnsi="Arial"/>
          <w:sz w:val="16"/>
          <w:szCs w:val="16"/>
          <w:u w:val="single" w:color="auto"/>
          <w:color w:val="auto"/>
        </w:rPr>
        <w:t>C</w:t>
      </w:r>
      <w:r>
        <w:rPr>
          <w:rFonts w:ascii="Arial" w:cs="Arial" w:eastAsia="Arial" w:hAnsi="Arial"/>
          <w:sz w:val="16"/>
          <w:szCs w:val="16"/>
          <w:color w:val="auto"/>
        </w:rPr>
        <w:t xml:space="preserve">) in connection with the primary or secondary offering of the Company’s common stock, in an aggregate not to exceed $2,000,000 and (vii) non-cash losses for such period </w:t>
      </w:r>
      <w:r>
        <w:rPr>
          <w:rFonts w:ascii="Arial" w:cs="Arial" w:eastAsia="Arial" w:hAnsi="Arial"/>
          <w:sz w:val="16"/>
          <w:szCs w:val="16"/>
          <w:u w:val="single" w:color="auto"/>
          <w:color w:val="auto"/>
        </w:rPr>
        <w:t>less</w:t>
      </w:r>
    </w:p>
    <w:p>
      <w:pPr>
        <w:spacing w:after="0" w:line="4" w:lineRule="exact"/>
        <w:rPr>
          <w:sz w:val="20"/>
          <w:szCs w:val="20"/>
          <w:color w:val="auto"/>
        </w:rPr>
      </w:pPr>
    </w:p>
    <w:p>
      <w:pPr>
        <w:ind w:right="80" w:firstLine="8"/>
        <w:spacing w:after="0" w:line="254"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without duplication, and to the extent reflected as a gain or otherwise included in the calculation of Consolidated Net Income for such period, (i) non-cash gains (excluding any such non-cash gains to the extent (A) there were cash gains with respect to such gains in past accounting periods or (B) there is a reasonable expectation that there will be cash gains with respect to such gains in future accounting periods) and (ii) extraordinary gains for such period, including</w:t>
      </w:r>
      <w:r>
        <w:rPr>
          <w:rFonts w:ascii="Arial" w:cs="Arial" w:eastAsia="Arial" w:hAnsi="Arial"/>
          <w:sz w:val="18"/>
          <w:szCs w:val="18"/>
          <w:color w:val="auto"/>
          <w:strike w:val="1"/>
        </w:rPr>
        <w:t>, without limitation, gains relating to the Thai 2011 Flooding</w:t>
      </w:r>
      <w:r>
        <w:rPr>
          <w:rFonts w:ascii="Arial" w:cs="Arial" w:eastAsia="Arial" w:hAnsi="Arial"/>
          <w:sz w:val="18"/>
          <w:szCs w:val="18"/>
          <w:color w:val="auto"/>
        </w:rPr>
        <w: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as of any date of determination, for the Company and its Subsidiaries on a Consolidated basis, the sum of</w:t>
      </w:r>
    </w:p>
    <w:p>
      <w:pPr>
        <w:spacing w:after="0" w:line="46" w:lineRule="exact"/>
        <w:rPr>
          <w:sz w:val="20"/>
          <w:szCs w:val="20"/>
          <w:color w:val="auto"/>
        </w:rPr>
      </w:pPr>
    </w:p>
    <w:p>
      <w:pPr>
        <w:ind w:right="40" w:firstLine="8"/>
        <w:spacing w:after="0" w:line="269" w:lineRule="auto"/>
        <w:tabs>
          <w:tab w:leader="none" w:pos="24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outstanding principal amount of all obligations, whether current or long-term, for borrowed money (including Obligations hereunder) and all obligations evidenced by bonds, debentures, notes, loan agreements or other similar instruments; (b) the outstanding principal amount of all purchase money Indebtedness; (c) all direct obligations under issued and outstanding letters of credit (including standby and commercial), bankers’ acceptances, bank guaranties, surety bonds and similar instruments, less the amount then cash-collateralized on commercially reasonable and customary terms; (d) all obligations in respect of the deferred purchase price of property or services (other than (i) trade accounts payable, intercompany charges of expenses, deferred revenue and other accrued liabilities in the ordinary course of business and (ii) any earn-out obligation or post-closing balance sheet adjustments prior to the time as it becomes a liability on the balance sheet of such Person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8" w:name="page29"/>
    <w:bookmarkEnd w:id="28"/>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accordance with GAAP) to the extent required to be reflected on the Consolidated balance sheet of the Company and its Subsidiaries in accordance with GAAP; (e) all Attributable Indebtedness; (f) all obligations to purchase, redeem, retire, defease or otherwise make any payment prior to the Maturity Date in respect of any Disqualified Equity Interests (other than payments made solely in Qualified Equity Interests), valued, in the case of a redeemable preferred interest, at the greater of its voluntary or involuntary liquidation preference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and unpaid dividends; (g) without duplication, all Guarantees with respect to outstanding Indebtedness of the types specified in clauses (a) through (f) above of Persons other than the Company or any Subsidiary; and (h) all Indebtedness of the types referred to in clauses (a) through (g) above of any partnership or joint venture (other than a joint venture that is itself a corporation or limited liability company) in which the Company or a Subsidiary is a general partner or joint venturer, unless such Indebtedness is expressly made non-recourse to the Company or such Subsidiary.</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Charges</w:t>
      </w:r>
      <w:r>
        <w:rPr>
          <w:rFonts w:ascii="Arial" w:cs="Arial" w:eastAsia="Arial" w:hAnsi="Arial"/>
          <w:sz w:val="16"/>
          <w:szCs w:val="16"/>
          <w:color w:val="auto"/>
        </w:rPr>
        <w:t>”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(c) the portion of rent expense under Capitalized Leases that is treated as interest in accordance with GAAP, (d) the implied interest component of Synthetic Lease Obligations, and</w:t>
      </w:r>
    </w:p>
    <w:p>
      <w:pPr>
        <w:spacing w:after="0" w:line="2" w:lineRule="exact"/>
        <w:rPr>
          <w:sz w:val="20"/>
          <w:szCs w:val="20"/>
          <w:color w:val="auto"/>
        </w:rPr>
      </w:pPr>
    </w:p>
    <w:p>
      <w:pPr>
        <w:ind w:right="40" w:firstLine="8"/>
        <w:spacing w:after="0" w:line="255"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losses on hedging obligations or other derivative instruments entered into for the purpose of hedging interest rate risk (net of the interest increase and gains on such hedging obligations and derivative instruments), in each case, of or by the Company and its Subsidiaries on a Consolidated basis for the most recently completed Measurement Period.</w:t>
      </w:r>
    </w:p>
    <w:p>
      <w:pPr>
        <w:spacing w:after="0" w:line="19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at any date of determination, the net income (or loss) of the Company and its Subsidiaries on a Consolidated basis in accordance with GAAP for the most recently completed Measurement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shall exclude the effects of adjustments (including the effects of such adjustments pushed down to the Company’s Subsidiaries) in any line item in the Company’s consolidated financial statements required or permitted by GAAP and related authoritative pronouncements resulting from any purchase accounting in relation to any Permitted Acquisition or the amortization or write-off of any amounts thereof, net of taxes.</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Quick Assets</w:t>
      </w:r>
      <w:r>
        <w:rPr>
          <w:rFonts w:ascii="Arial" w:cs="Arial" w:eastAsia="Arial" w:hAnsi="Arial"/>
          <w:sz w:val="18"/>
          <w:szCs w:val="18"/>
          <w:color w:val="auto"/>
        </w:rPr>
        <w:t>” means the cash, Cash Equivalents, net trade accounts receivable and marketable securities not classified as long-term investments of the Company and its Subsidiaries on a Consolidated basis.</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Quick Ratio</w:t>
      </w:r>
      <w:r>
        <w:rPr>
          <w:rFonts w:ascii="Arial" w:cs="Arial" w:eastAsia="Arial" w:hAnsi="Arial"/>
          <w:sz w:val="18"/>
          <w:szCs w:val="18"/>
          <w:color w:val="auto"/>
        </w:rPr>
        <w:t>” means, as of any date of determination, for the Company and its Subsidiaries on a Consolidated basis, the ratio of (a) Consolidated Quick Assets to (b) Consolidated Current Liabilities as of such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strike w:val="1"/>
        </w:rPr>
        <w:t>“</w:t>
      </w:r>
      <w:r>
        <w:rPr>
          <w:rFonts w:ascii="Arial" w:cs="Arial" w:eastAsia="Arial" w:hAnsi="Arial"/>
          <w:sz w:val="16"/>
          <w:szCs w:val="16"/>
          <w:u w:val="single" w:color="auto"/>
          <w:color w:val="auto"/>
          <w:strike w:val="1"/>
        </w:rPr>
        <w:t>Consolidated Senior Funded Indebtedness</w:t>
      </w:r>
      <w:r>
        <w:rPr>
          <w:rFonts w:ascii="Arial" w:cs="Arial" w:eastAsia="Arial" w:hAnsi="Arial"/>
          <w:sz w:val="16"/>
          <w:szCs w:val="16"/>
          <w:color w:val="auto"/>
          <w:strike w:val="1"/>
        </w:rPr>
        <w:t>” means Consolidated Funded Indebtedness, but excluding Convertible Subordinated Debt Securities.</w:t>
      </w:r>
    </w:p>
    <w:p>
      <w:pPr>
        <w:spacing w:after="0" w:line="24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strike w:val="1"/>
        </w:rPr>
        <w:t>“</w:t>
      </w:r>
      <w:r>
        <w:rPr>
          <w:rFonts w:ascii="Arial" w:cs="Arial" w:eastAsia="Arial" w:hAnsi="Arial"/>
          <w:sz w:val="18"/>
          <w:szCs w:val="18"/>
          <w:u w:val="single" w:color="auto"/>
          <w:color w:val="auto"/>
          <w:strike w:val="1"/>
        </w:rPr>
        <w:t>Consolidated Senior Leverage Ratio</w:t>
      </w:r>
      <w:r>
        <w:rPr>
          <w:rFonts w:ascii="Arial" w:cs="Arial" w:eastAsia="Arial" w:hAnsi="Arial"/>
          <w:sz w:val="18"/>
          <w:szCs w:val="18"/>
          <w:color w:val="auto"/>
          <w:strike w:val="1"/>
        </w:rPr>
        <w:t>” means, as of any date of determination, the ratio of (a) the sum of (i) Consolidated Senior Funded Indebtedness as of such date and (ii) obligations in respect of Capitalized Leases as of such date to (b) Consolidated EBITDA for the most recently completed Measurement Period.</w:t>
      </w:r>
    </w:p>
    <w:p>
      <w:pPr>
        <w:spacing w:after="0" w:line="181"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Net Worth</w:t>
      </w:r>
      <w:r>
        <w:rPr>
          <w:rFonts w:ascii="Arial" w:cs="Arial" w:eastAsia="Arial" w:hAnsi="Arial"/>
          <w:sz w:val="16"/>
          <w:szCs w:val="16"/>
          <w:color w:val="auto"/>
        </w:rPr>
        <w:t xml:space="preserve">” means, as of any date of determination, for the Company and its Subsidiaries on a Consolidated basis, Shareholders’ Equity of the Company and its Subsidiaries on that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Intangible Assets of the Company and its Subsidiaries on that date.</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29" w:name="page30"/>
    <w:bookmarkEnd w:id="29"/>
    <w:p>
      <w:pPr>
        <w:jc w:val="both"/>
        <w:ind w:right="3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means, as of any date of determination, the ratio of (a) the sum of (i) Consolidated Funded Indebtedness as of such date and (ii) obligations in respect of Capitalized Leases as of such date to (b) Consolidated EBITDA for the most recently completed Measurement Period.</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 Without limiting the generality of the foregoing, a Person shall be deemed to be Controlled by another Person if such other Person possesses, directly or indirectly, power to vote fifteen percent (15%) or more of the securities having ordinary voting power for the election of directors, managing general partners or the equivalent. Notwithstanding the foregoing, Asia Pacific Growth Fund III, L.P. shall not be deemed to Control the Company.</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w:t>
      </w:r>
      <w:r>
        <w:rPr>
          <w:rFonts w:ascii="Arial" w:cs="Arial" w:eastAsia="Arial" w:hAnsi="Arial"/>
          <w:sz w:val="18"/>
          <w:szCs w:val="18"/>
          <w:color w:val="auto"/>
        </w:rPr>
        <w:t xml:space="preserve"> </w:t>
      </w:r>
      <w:r>
        <w:rPr>
          <w:rFonts w:ascii="Arial" w:cs="Arial" w:eastAsia="Arial" w:hAnsi="Arial"/>
          <w:sz w:val="18"/>
          <w:szCs w:val="18"/>
          <w:u w:val="single" w:color="auto"/>
          <w:color w:val="auto"/>
          <w:strike w:val="1"/>
        </w:rPr>
        <w:t>Subordinated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Debt Securities Documents</w:t>
      </w:r>
      <w:r>
        <w:rPr>
          <w:rFonts w:ascii="Arial" w:cs="Arial" w:eastAsia="Arial" w:hAnsi="Arial"/>
          <w:sz w:val="18"/>
          <w:szCs w:val="18"/>
          <w:color w:val="auto"/>
        </w:rPr>
        <w:t xml:space="preserve">” means all agreements (including without limitation, </w:t>
      </w:r>
      <w:r>
        <w:rPr>
          <w:rFonts w:ascii="Arial" w:cs="Arial" w:eastAsia="Arial" w:hAnsi="Arial"/>
          <w:sz w:val="18"/>
          <w:szCs w:val="18"/>
          <w:u w:val="single" w:color="auto"/>
          <w:color w:val="auto"/>
        </w:rPr>
        <w:t>indentures,</w:t>
      </w:r>
      <w:r>
        <w:rPr>
          <w:rFonts w:ascii="Arial" w:cs="Arial" w:eastAsia="Arial" w:hAnsi="Arial"/>
          <w:sz w:val="18"/>
          <w:szCs w:val="18"/>
          <w:color w:val="auto"/>
        </w:rPr>
        <w:t xml:space="preserve"> intercreditor agreements, instruments and other documents) pursuant to which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 have been or will be issued or otherwise setting forth the terms of any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w:t>
      </w:r>
    </w:p>
    <w:p>
      <w:pPr>
        <w:spacing w:after="0" w:line="18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Convertible</w:t>
      </w:r>
      <w:r>
        <w:rPr>
          <w:rFonts w:ascii="Arial" w:cs="Arial" w:eastAsia="Arial" w:hAnsi="Arial"/>
          <w:sz w:val="17"/>
          <w:szCs w:val="17"/>
          <w:color w:val="auto"/>
        </w:rPr>
        <w:t xml:space="preserve"> </w:t>
      </w:r>
      <w:r>
        <w:rPr>
          <w:rFonts w:ascii="Arial" w:cs="Arial" w:eastAsia="Arial" w:hAnsi="Arial"/>
          <w:sz w:val="17"/>
          <w:szCs w:val="17"/>
          <w:u w:val="single" w:color="auto"/>
          <w:color w:val="auto"/>
          <w:strike w:val="1"/>
        </w:rPr>
        <w:t>Subordinated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Debt Security</w:t>
      </w:r>
      <w:r>
        <w:rPr>
          <w:rFonts w:ascii="Arial" w:cs="Arial" w:eastAsia="Arial" w:hAnsi="Arial"/>
          <w:sz w:val="17"/>
          <w:szCs w:val="17"/>
          <w:color w:val="auto"/>
        </w:rPr>
        <w:t xml:space="preserve">” means any </w:t>
      </w:r>
      <w:r>
        <w:rPr>
          <w:rFonts w:ascii="Arial" w:cs="Arial" w:eastAsia="Arial" w:hAnsi="Arial"/>
          <w:sz w:val="17"/>
          <w:szCs w:val="17"/>
          <w:u w:val="single" w:color="auto"/>
          <w:color w:val="auto"/>
        </w:rPr>
        <w:t>unsecured</w:t>
      </w:r>
      <w:r>
        <w:rPr>
          <w:rFonts w:ascii="Arial" w:cs="Arial" w:eastAsia="Arial" w:hAnsi="Arial"/>
          <w:sz w:val="17"/>
          <w:szCs w:val="17"/>
          <w:color w:val="auto"/>
        </w:rPr>
        <w:t xml:space="preserve"> debt security the terms of which provide for (</w:t>
      </w:r>
      <w:r>
        <w:rPr>
          <w:rFonts w:ascii="Arial" w:cs="Arial" w:eastAsia="Arial" w:hAnsi="Arial"/>
          <w:sz w:val="17"/>
          <w:szCs w:val="17"/>
          <w:color w:val="auto"/>
          <w:strike w:val="1"/>
        </w:rPr>
        <w:t>a</w:t>
      </w:r>
      <w:r>
        <w:rPr>
          <w:rFonts w:ascii="Arial" w:cs="Arial" w:eastAsia="Arial" w:hAnsi="Arial"/>
          <w:sz w:val="17"/>
          <w:szCs w:val="17"/>
          <w:u w:val="single" w:color="auto"/>
          <w:color w:val="auto"/>
        </w:rPr>
        <w:t>a</w:t>
      </w:r>
      <w:r>
        <w:rPr>
          <w:rFonts w:ascii="Arial" w:cs="Arial" w:eastAsia="Arial" w:hAnsi="Arial"/>
          <w:sz w:val="17"/>
          <w:szCs w:val="17"/>
          <w:color w:val="auto"/>
        </w:rPr>
        <w:t>) the conversion thereof into Equity Interests, cash or a combination of Equity Interests and cash, to the extent such debt security has not, as of any applicable date of determination, been so converted</w:t>
      </w:r>
      <w:r>
        <w:rPr>
          <w:rFonts w:ascii="Arial" w:cs="Arial" w:eastAsia="Arial" w:hAnsi="Arial"/>
          <w:sz w:val="17"/>
          <w:szCs w:val="17"/>
          <w:color w:val="auto"/>
          <w:strike w:val="1"/>
        </w:rPr>
        <w:t>, (b) subordination by its terms in right of payment to the prior payment of the Obligations on terms reasonably acceptable to the Administrative</w:t>
      </w:r>
      <w:r>
        <w:rPr>
          <w:rFonts w:ascii="Arial" w:cs="Arial" w:eastAsia="Arial" w:hAnsi="Arial"/>
          <w:sz w:val="17"/>
          <w:szCs w:val="17"/>
          <w:color w:val="auto"/>
        </w:rPr>
        <w:t xml:space="preserve"> </w:t>
      </w:r>
      <w:r>
        <w:rPr>
          <w:rFonts w:ascii="Arial" w:cs="Arial" w:eastAsia="Arial" w:hAnsi="Arial"/>
          <w:sz w:val="17"/>
          <w:szCs w:val="17"/>
          <w:color w:val="auto"/>
          <w:strike w:val="1"/>
        </w:rPr>
        <w:t>Agent in its reasonable discretion</w:t>
      </w:r>
      <w:r>
        <w:rPr>
          <w:rFonts w:ascii="Arial" w:cs="Arial" w:eastAsia="Arial" w:hAnsi="Arial"/>
          <w:sz w:val="17"/>
          <w:szCs w:val="17"/>
          <w:color w:val="auto"/>
        </w:rPr>
        <w:t xml:space="preserve"> and (</w:t>
      </w:r>
      <w:r>
        <w:rPr>
          <w:rFonts w:ascii="Arial" w:cs="Arial" w:eastAsia="Arial" w:hAnsi="Arial"/>
          <w:sz w:val="17"/>
          <w:szCs w:val="17"/>
          <w:color w:val="auto"/>
          <w:strike w:val="1"/>
        </w:rPr>
        <w:t>c</w:t>
      </w:r>
      <w:r>
        <w:rPr>
          <w:rFonts w:ascii="Arial" w:cs="Arial" w:eastAsia="Arial" w:hAnsi="Arial"/>
          <w:sz w:val="17"/>
          <w:szCs w:val="17"/>
          <w:u w:val="single" w:color="auto"/>
          <w:color w:val="auto"/>
        </w:rPr>
        <w:t>b</w:t>
      </w:r>
      <w:r>
        <w:rPr>
          <w:rFonts w:ascii="Arial" w:cs="Arial" w:eastAsia="Arial" w:hAnsi="Arial"/>
          <w:sz w:val="17"/>
          <w:szCs w:val="17"/>
          <w:color w:val="auto"/>
        </w:rPr>
        <w:t xml:space="preserve">) maturity </w:t>
      </w:r>
      <w:r>
        <w:rPr>
          <w:rFonts w:ascii="Arial" w:cs="Arial" w:eastAsia="Arial" w:hAnsi="Arial"/>
          <w:sz w:val="17"/>
          <w:szCs w:val="17"/>
          <w:color w:val="auto"/>
          <w:strike w:val="1"/>
        </w:rPr>
        <w:t>more than one (1) year</w:t>
      </w:r>
      <w:r>
        <w:rPr>
          <w:rFonts w:ascii="Arial" w:cs="Arial" w:eastAsia="Arial" w:hAnsi="Arial"/>
          <w:sz w:val="17"/>
          <w:szCs w:val="17"/>
          <w:color w:val="auto"/>
        </w:rPr>
        <w:t xml:space="preserve"> after the Maturity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a Revolving Borrowing or a Term Borrowing, as the context may require.</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winding-up, dissolution, reorganization, or similar debtor relief Laws of the United States, the Cayman Islands, Thailand or other applicable jurisdictions from time to time in effect (including, without limitation, the Bankruptcy Act of Thailand, B.E. 2483 (1940) (as amended), Part V of the Companies Law (2013 Revision) of the Cayman Islands and the Companies Winding Up Rules 2008 (as amended) of the Cayman Islands).</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two percent (2%), in each case, to the fullest extent permitted by applicable Law.</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2.12(b)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0" w:name="page31"/>
    <w:bookmarkEnd w:id="3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2.12(b)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Borrower and each Lender promptly following such determination.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means the notice substantially in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means the notice substantially in the form of </w:t>
      </w:r>
      <w:r>
        <w:rPr>
          <w:rFonts w:ascii="Arial" w:cs="Arial" w:eastAsia="Arial" w:hAnsi="Arial"/>
          <w:sz w:val="18"/>
          <w:szCs w:val="18"/>
          <w:u w:val="single" w:color="auto"/>
          <w:color w:val="auto"/>
        </w:rPr>
        <w:t>Exhibit Q</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is the subject of any Sanction.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xml:space="preserve">” means the disclosure letter dated as of the Closing Date delivered by the Borrower to the Administrative Agent for the benefit of the Lenders and the Secured Parties, as supplemented from time to time pursuant to </w:t>
      </w:r>
      <w:r>
        <w:rPr>
          <w:rFonts w:ascii="Arial" w:cs="Arial" w:eastAsia="Arial" w:hAnsi="Arial"/>
          <w:sz w:val="18"/>
          <w:szCs w:val="18"/>
          <w:u w:val="single" w:color="auto"/>
          <w:color w:val="auto"/>
        </w:rPr>
        <w:t>Section 6.02(c)</w:t>
      </w:r>
      <w:r>
        <w:rPr>
          <w:rFonts w:ascii="Arial" w:cs="Arial" w:eastAsia="Arial" w:hAnsi="Arial"/>
          <w:sz w:val="18"/>
          <w:szCs w:val="18"/>
          <w:color w:val="auto"/>
        </w:rPr>
        <w:t>.</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Loan Party or Subsidiary (or the granting of any option or other right to do any of the foregoing), including any sale, assignment, transfer or other disposal, with or without recourse, of any notes or accounts receivable or any rights and claims associated therewith, but excluding any Involuntary Disposition.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31" w:name="page32"/>
    <w:bookmarkEnd w:id="31"/>
    <w:p>
      <w:pPr>
        <w:ind w:right="40"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Disqualified Equity Interests</w:t>
      </w:r>
      <w:r>
        <w:rPr>
          <w:rFonts w:ascii="Arial" w:cs="Arial" w:eastAsia="Arial" w:hAnsi="Arial"/>
          <w:sz w:val="17"/>
          <w:szCs w:val="17"/>
          <w:color w:val="auto"/>
        </w:rPr>
        <w:t xml:space="preserve">” means, with respect to any Person, any Equity Interests of such Person which, by their terms or by the terms of any security into which they are convertible or for which they are putable or exchangeable, or upon the happening of any event or condition, (a) mature or are mandatorily redeemable (other than solely as a result of a Change of Control or asset sale, so long as any rights of the holders thereof upon the occurrence of a Change of Control or asset sale shall be subject to the prior repayment in full of the Loans and all other Obligations that are accrued and payable) pursuant to a sinking fund obligation or otherwise, or are redeemable at the option of the holder thereof (other than solely as a result of a Change of Control or asset sale, so long as any rights of the holders thereof upon the occurrence of a Change of Control or asset sale shall be subject to the prior repayment in full of the Loans and all other Obligations that are accrued and payable), in whole or in part, or otherwise has any distributions or other payments which are mandatory or otherwise required at any time, in each case prior to the Maturity Date, or (b) are convertible into or exchangeable (unless at the sole option of the issuer thereof) for (x) debt securities or (y) any Equity Interest referred to in clause (a)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Equity Interests are issued to any plan for the benefit of employees of the Company or its Subsidiaries or by any such plan to such employees, such Equity Interests shall not constitute Disqualified Equity Interests solely because they may be required to be repurchased by the Company or its Subsidiaries in order to satisfy applicable statutory or regulatory obligations.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u w:val="single" w:color="auto"/>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1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u w:val="single" w:color="auto"/>
          <w:color w:val="auto"/>
        </w:rPr>
      </w:pPr>
    </w:p>
    <w:p>
      <w:pPr>
        <w:ind w:left="260" w:hanging="252"/>
        <w:spacing w:after="0"/>
        <w:tabs>
          <w:tab w:leader="none" w:pos="260" w:val="left"/>
        </w:tabs>
        <w:numPr>
          <w:ilvl w:val="0"/>
          <w:numId w:val="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of this definition and is subject to consolidated supervision with its parent.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“EEA Member Country” means any of the member states of the European Union, Iceland, Liechtenstein, and Norway.</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u w:val="single" w:color="auto"/>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means the date upon which all of the conditions described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have been satisfied to the reasonable satisfaction of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later than sixty (60) days after the Closing Date: (a) the Effective Date shall have occurred or (b) the Company shall pay the Administrative Agent, for the account of each Lender in accordance with its Applicable Percentage, a fee equal to one-twentieth of one percent (0.05%) of the Commitments, which fee shall be (i) fully earned and payable, (ii) nonrefundable for any reason whatsoever and (iii) in addition to any other fees, costs and expenses payable pursuant to the Loan Documents;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later than one hundred twenty (120) days after the Closing Date: (a) the Effective Date shall have occurred or (b) the Revolving Commitments and Term Commitments shall expire on such date</w:t>
      </w:r>
    </w:p>
    <w:p>
      <w:pPr>
        <w:spacing w:after="0" w:line="16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Section 11.06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32" w:name="page33"/>
    <w:bookmarkEnd w:id="32"/>
    <w:p>
      <w:pPr>
        <w:ind w:right="1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w:t>
      </w:r>
    </w:p>
    <w:p>
      <w:pPr>
        <w:ind w:right="60" w:firstLine="8"/>
        <w:spacing w:after="0" w:line="261"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w:t>
      </w:r>
      <w:r>
        <w:rPr>
          <w:rFonts w:ascii="Arial" w:cs="Arial" w:eastAsia="Arial" w:hAnsi="Arial"/>
          <w:sz w:val="18"/>
          <w:szCs w:val="18"/>
          <w:color w:val="auto"/>
        </w:rPr>
        <w:t>” means the filing of any notification, report or assessment, any permit, certificate, approval, identification number, license or other authorization required under any Environmental Law.</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exempted limited partnership, member or trust interests therein), whether voting or nonvoting, and whether or not such shares, warrants, options, rights or other interests are outstanding on any date of determination. Notwithstanding the foregoing, neither Convertible </w:t>
      </w:r>
      <w:r>
        <w:rPr>
          <w:rFonts w:ascii="Arial" w:cs="Arial" w:eastAsia="Arial" w:hAnsi="Arial"/>
          <w:sz w:val="16"/>
          <w:szCs w:val="16"/>
          <w:color w:val="auto"/>
          <w:strike w:val="1"/>
        </w:rPr>
        <w:t>Subordinated</w:t>
      </w:r>
      <w:r>
        <w:rPr>
          <w:rFonts w:ascii="Arial" w:cs="Arial" w:eastAsia="Arial" w:hAnsi="Arial"/>
          <w:sz w:val="16"/>
          <w:szCs w:val="16"/>
          <w:color w:val="auto"/>
        </w:rPr>
        <w:t xml:space="preserve"> Debt Securities nor Permitted Call Spread Swap Agreements shall constitute Equity Interests.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and the regulations promulgated thereunder, as amended.</w:t>
      </w:r>
    </w:p>
    <w:p>
      <w:pPr>
        <w:spacing w:after="0" w:line="225"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on the Borrower or any ERISA Affiliate under Title IV of ERISA, other than for PBGC premiums due but not delinquent under Section 4007 of ERISA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u w:val="single" w:color="auto"/>
          <w:color w:val="auto"/>
        </w:rPr>
        <w:t>“EU Bail-In Legislation Schedule” means the EU Bail-In Legislation Schedule published by the Loan Market Association (or any successor person), as in effect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225" w:lineRule="exact"/>
        <w:rPr>
          <w:sz w:val="20"/>
          <w:szCs w:val="20"/>
          <w:color w:val="auto"/>
        </w:rPr>
      </w:pPr>
    </w:p>
    <w:p>
      <w:pPr>
        <w:ind w:firstLine="464"/>
        <w:spacing w:after="0" w:line="257" w:lineRule="auto"/>
        <w:tabs>
          <w:tab w:leader="none" w:pos="7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at or about 11:00 a.m., London time, two (2) Business Days prior to the commencement of such Interest Period, for Dollar deposits (for delivery on the first day of such Interest Period) with a term equivalent to such Interest Period; and</w:t>
      </w:r>
    </w:p>
    <w:p>
      <w:pPr>
        <w:spacing w:after="0" w:line="188" w:lineRule="exact"/>
        <w:rPr>
          <w:rFonts w:ascii="Arial" w:cs="Arial" w:eastAsia="Arial" w:hAnsi="Arial"/>
          <w:sz w:val="18"/>
          <w:szCs w:val="18"/>
          <w:color w:val="auto"/>
        </w:rPr>
      </w:pPr>
    </w:p>
    <w:p>
      <w:pPr>
        <w:ind w:right="480" w:firstLine="464"/>
        <w:spacing w:after="0" w:line="308" w:lineRule="auto"/>
        <w:tabs>
          <w:tab w:leader="none" w:pos="7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any interest calculation with respect to a Base Rate Loan on any date, the rate per annum equal to the LIBOR Rate, at or about 11:00 a.m., London time, two (2) Business Days prior to such date for Dollar deposits with a term of one (1) month commencing that day;</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to the extent a comparable or successor rate is approved by the Administrative Agent in connection herewith, the approved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to the extent such market practice is not administratively feasible for the Administrative Agent, such approved rate shall be applied in a manner as otherwise reasonably determined by the Administrative Agent and (ii) if the Eurodollar Rate shall be less than zero, such rate shall be deemed zero for purposes of this Agreement.</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u w:val="single" w:color="auto"/>
          <w:color w:val="auto"/>
        </w:rPr>
        <w:t>Notwithstanding anything to the contrary in this Agreement or any other Loan Documents, if the Administrative Agent determines (which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determination shall be conclusive absent manifest error), or the Borrower or Required Lenders notify the Administrative Agent (with, in the case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Required Lenders, a copy to Borrower) that the Borrower or Required Lenders (as applicable) have determined, that:</w:t>
      </w:r>
    </w:p>
    <w:p>
      <w:pPr>
        <w:spacing w:after="0" w:line="211" w:lineRule="exact"/>
        <w:rPr>
          <w:sz w:val="20"/>
          <w:szCs w:val="20"/>
          <w:color w:val="auto"/>
        </w:rPr>
      </w:pPr>
    </w:p>
    <w:p>
      <w:pPr>
        <w:ind w:right="320" w:firstLine="464"/>
        <w:spacing w:after="0" w:line="308" w:lineRule="auto"/>
        <w:tabs>
          <w:tab w:leader="none" w:pos="701" w:val="left"/>
        </w:tabs>
        <w:numPr>
          <w:ilvl w:val="0"/>
          <w:numId w:val="2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46" w:lineRule="exact"/>
        <w:rPr>
          <w:rFonts w:ascii="Arial" w:cs="Arial" w:eastAsia="Arial" w:hAnsi="Arial"/>
          <w:sz w:val="17"/>
          <w:szCs w:val="17"/>
          <w:u w:val="single" w:color="auto"/>
          <w:color w:val="auto"/>
        </w:rPr>
      </w:pPr>
    </w:p>
    <w:p>
      <w:pPr>
        <w:ind w:firstLine="464"/>
        <w:spacing w:after="0" w:line="264" w:lineRule="auto"/>
        <w:tabs>
          <w:tab w:leader="none" w:pos="711"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“Scheduled Unavailability Date”), or</w:t>
      </w:r>
    </w:p>
    <w:p>
      <w:pPr>
        <w:spacing w:after="0" w:line="181" w:lineRule="exact"/>
        <w:rPr>
          <w:rFonts w:ascii="Arial" w:cs="Arial" w:eastAsia="Arial" w:hAnsi="Arial"/>
          <w:sz w:val="18"/>
          <w:szCs w:val="18"/>
          <w:u w:val="single" w:color="auto"/>
          <w:color w:val="auto"/>
        </w:rPr>
      </w:pPr>
    </w:p>
    <w:p>
      <w:pPr>
        <w:ind w:right="400" w:firstLine="464"/>
        <w:spacing w:after="0" w:line="277" w:lineRule="auto"/>
        <w:tabs>
          <w:tab w:leader="none" w:pos="701"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70"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u w:val="single" w:color="auto"/>
          <w:color w:val="auto"/>
        </w:rPr>
        <w:t>then, reasonably promptly after such determination by the Administrative Agent or receipt by the Administrative Agent of such notice , as applicable, the Administrative Agent and the Borrower may amend this Agreement to replace LIBOR with an alternate benchmark rate (including any mathematical or other adjustments to the benchmark (if any) incorporated therein) (any such proposed rate, a “LIBOR Successor Rate”), together with any proposed LIBOR Successor Rate Conforming Changes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or Interest Periods), and (y) the Eurodollar Rate component shall no longer be utilized in determining the Base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34" w:name="page35"/>
    <w:bookmarkEnd w:id="34"/>
    <w:p>
      <w:pPr>
        <w:ind w:right="100"/>
        <w:spacing w:after="0" w:line="28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Borrowing of Base Rate Loans (subject to the foregoing clause (y)) in the amount specified therein.</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u w:val="single" w:color="auto"/>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 Loan</w:t>
      </w:r>
      <w:r>
        <w:rPr>
          <w:rFonts w:ascii="Arial" w:cs="Arial" w:eastAsia="Arial" w:hAnsi="Arial"/>
          <w:sz w:val="16"/>
          <w:szCs w:val="16"/>
          <w:color w:val="auto"/>
        </w:rPr>
        <w:t>” means a Revolving Loan or a Term Loan that bears interest at a rate based on clause (a) of the definition of “Eurodollar Rate.”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any Subsidiary that is prohibited or restricted by applicable Law from providing a Guaranty (for so long as such prohibition or restriction exists).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and the regulations thereunder (determined after giving effect to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82"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ind w:right="180" w:firstLine="8"/>
        <w:spacing w:after="0" w:line="281" w:lineRule="auto"/>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or (ii) such Lender changes its Lending Office, except in each case to the extent that, pursuant to</w:t>
      </w:r>
    </w:p>
    <w:p>
      <w:pPr>
        <w:spacing w:after="0" w:line="3" w:lineRule="exact"/>
        <w:rPr>
          <w:rFonts w:ascii="Arial" w:cs="Arial" w:eastAsia="Arial" w:hAnsi="Arial"/>
          <w:sz w:val="16"/>
          <w:szCs w:val="16"/>
          <w:color w:val="auto"/>
        </w:rPr>
      </w:pPr>
    </w:p>
    <w:p>
      <w:pPr>
        <w:ind w:right="2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3.01(a)(ii)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amounts with respect to such Taxes were payable either to such Lender’s assignor immediately before such Lender became a party hereto or to such Lender immediately before it changed its Lending Office, (c) Taxes attributable to such Recipient’s failure to comply with</w:t>
      </w:r>
    </w:p>
    <w:p>
      <w:pPr>
        <w:spacing w:after="0" w:line="1" w:lineRule="exact"/>
        <w:rPr>
          <w:rFonts w:ascii="Arial" w:cs="Arial" w:eastAsia="Arial" w:hAnsi="Arial"/>
          <w:sz w:val="16"/>
          <w:szCs w:val="16"/>
          <w:color w:val="auto"/>
        </w:rPr>
      </w:pPr>
    </w:p>
    <w:p>
      <w:pPr>
        <w:ind w:right="600"/>
        <w:spacing w:after="0" w:line="277" w:lineRule="auto"/>
        <w:rPr>
          <w:rFonts w:ascii="Arial" w:cs="Arial" w:eastAsia="Arial" w:hAnsi="Arial"/>
          <w:sz w:val="16"/>
          <w:szCs w:val="16"/>
          <w:color w:val="auto"/>
        </w:rPr>
      </w:pP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and (d) any U.S. federal withholding Taxes imposed pursuant to FATCA. </w:t>
      </w:r>
      <w:r>
        <w:rPr>
          <w:rFonts w:ascii="Arial" w:cs="Arial" w:eastAsia="Arial" w:hAnsi="Arial"/>
          <w:sz w:val="17"/>
          <w:szCs w:val="17"/>
          <w:color w:val="auto"/>
          <w:strike w:val="1"/>
        </w:rPr>
        <w:t>Notwithstanding anything to the contrary contained in this</w:t>
      </w:r>
      <w:r>
        <w:rPr>
          <w:rFonts w:ascii="Arial" w:cs="Arial" w:eastAsia="Arial" w:hAnsi="Arial"/>
          <w:sz w:val="17"/>
          <w:szCs w:val="17"/>
          <w:color w:val="auto"/>
        </w:rPr>
        <w:t xml:space="preserve"> </w:t>
      </w:r>
      <w:r>
        <w:rPr>
          <w:rFonts w:ascii="Arial" w:cs="Arial" w:eastAsia="Arial" w:hAnsi="Arial"/>
          <w:sz w:val="17"/>
          <w:szCs w:val="17"/>
          <w:color w:val="auto"/>
          <w:strike w:val="1"/>
        </w:rPr>
        <w:t xml:space="preserve">definition, “Excluded Taxes” shall not include any withholding tax imposed at any time on payments made by or on behalf of Borrower to any Lender hereunder or under any other Loan Document, provided that such Lender shall have complied with </w:t>
      </w:r>
      <w:r>
        <w:rPr>
          <w:rFonts w:ascii="Arial" w:cs="Arial" w:eastAsia="Arial" w:hAnsi="Arial"/>
          <w:sz w:val="17"/>
          <w:szCs w:val="17"/>
          <w:u w:val="single" w:color="auto"/>
          <w:color w:val="auto"/>
          <w:strike w:val="1"/>
        </w:rPr>
        <w:t>Section 3.01(e)</w:t>
      </w:r>
      <w:r>
        <w:rPr>
          <w:rFonts w:ascii="Arial" w:cs="Arial" w:eastAsia="Arial" w:hAnsi="Arial"/>
          <w:sz w:val="17"/>
          <w:szCs w:val="17"/>
          <w:color w:val="auto"/>
          <w:strike w:val="1"/>
        </w:rPr>
        <w:t>.</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Fabrinet Mauritius</w:t>
      </w:r>
      <w:r>
        <w:rPr>
          <w:rFonts w:ascii="Arial" w:cs="Arial" w:eastAsia="Arial" w:hAnsi="Arial"/>
          <w:sz w:val="18"/>
          <w:szCs w:val="18"/>
          <w:color w:val="auto"/>
        </w:rPr>
        <w:t>” means Fabrinet China Holdings, a company incorporated under the laws of the Republic of Mauritius, with a registration number 23862/5555 C1/GBL with the Registrar of Companies, and having its registered office at c/o Ocra (Mauritius) Limited, 2</w:t>
      </w:r>
      <w:r>
        <w:rPr>
          <w:rFonts w:ascii="Arial" w:cs="Arial" w:eastAsia="Arial" w:hAnsi="Arial"/>
          <w:sz w:val="15"/>
          <w:szCs w:val="15"/>
          <w:color w:val="auto"/>
        </w:rPr>
        <w:t>nd</w:t>
      </w:r>
      <w:r>
        <w:rPr>
          <w:rFonts w:ascii="Arial" w:cs="Arial" w:eastAsia="Arial" w:hAnsi="Arial"/>
          <w:sz w:val="18"/>
          <w:szCs w:val="18"/>
          <w:color w:val="auto"/>
        </w:rPr>
        <w:t xml:space="preserve"> Floor, Maxcity Building, Remy Ollier Street, Port Louis, Mauritius.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5" w:name="page36"/>
    <w:bookmarkEnd w:id="35"/>
    <w:p>
      <w:pPr>
        <w:ind w:right="5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Fabrinet Mauritius Share Pledge</w:t>
      </w:r>
      <w:r>
        <w:rPr>
          <w:rFonts w:ascii="Arial" w:cs="Arial" w:eastAsia="Arial" w:hAnsi="Arial"/>
          <w:sz w:val="18"/>
          <w:szCs w:val="18"/>
          <w:color w:val="auto"/>
        </w:rPr>
        <w:t>” means that certain Security Agreement, dated as of the Closing Date, by and among the Company, as grantor, Fabrinet Mauritius, as issuer, and the Administrative Agent, as secured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Fabrinet Sweden</w:t>
      </w:r>
      <w:r>
        <w:rPr>
          <w:rFonts w:ascii="Arial" w:cs="Arial" w:eastAsia="Arial" w:hAnsi="Arial"/>
          <w:sz w:val="18"/>
          <w:szCs w:val="18"/>
          <w:color w:val="auto"/>
        </w:rPr>
        <w:t>” means Fabrinet AB.</w:t>
      </w:r>
    </w:p>
    <w:p>
      <w:pPr>
        <w:spacing w:after="0" w:line="225"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Fabrinet Thailand</w:t>
      </w:r>
      <w:r>
        <w:rPr>
          <w:rFonts w:ascii="Arial" w:cs="Arial" w:eastAsia="Arial" w:hAnsi="Arial"/>
          <w:sz w:val="16"/>
          <w:szCs w:val="16"/>
          <w:color w:val="auto"/>
        </w:rPr>
        <w:t>” means Fabrinet Co., Ltd., a limited liability company incorporated under the laws of Thailand, with registration number 0105542073726 and having its registered office at No. 5/6, Moo 6, Klong Nung Sub-district, Klongluang District, Pathumthani Province 12120, Thailand.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Fabrinet Thailand Alternative Fee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Fabrinet Thailand Alternative Fees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2.07(d)</w:t>
      </w:r>
      <w:r>
        <w:rPr>
          <w:rFonts w:ascii="Arial" w:cs="Arial" w:eastAsia="Arial" w:hAnsi="Arial"/>
          <w:sz w:val="18"/>
          <w:szCs w:val="18"/>
          <w:color w:val="auto"/>
        </w:rPr>
        <w:t>.</w:t>
      </w:r>
    </w:p>
    <w:p>
      <w:pPr>
        <w:spacing w:after="0" w:line="225" w:lineRule="exact"/>
        <w:rPr>
          <w:sz w:val="20"/>
          <w:szCs w:val="20"/>
          <w:color w:val="auto"/>
        </w:rPr>
      </w:pPr>
    </w:p>
    <w:p>
      <w:pPr>
        <w:jc w:val="both"/>
        <w:ind w:right="520" w:firstLine="456"/>
        <w:spacing w:after="0" w:line="342" w:lineRule="auto"/>
        <w:rPr>
          <w:sz w:val="20"/>
          <w:szCs w:val="20"/>
          <w:color w:val="auto"/>
        </w:rPr>
      </w:pPr>
      <w:r>
        <w:rPr>
          <w:rFonts w:ascii="Arial" w:cs="Arial" w:eastAsia="Arial" w:hAnsi="Arial"/>
          <w:sz w:val="16"/>
          <w:szCs w:val="16"/>
          <w:color w:val="auto"/>
          <w:strike w:val="1"/>
        </w:rPr>
        <w:t>“</w:t>
      </w:r>
      <w:r>
        <w:rPr>
          <w:rFonts w:ascii="Arial" w:cs="Arial" w:eastAsia="Arial" w:hAnsi="Arial"/>
          <w:sz w:val="16"/>
          <w:szCs w:val="16"/>
          <w:u w:val="single" w:color="auto"/>
          <w:color w:val="auto"/>
          <w:strike w:val="1"/>
        </w:rPr>
        <w:t>Fabrinet Thailand Real Property</w:t>
      </w:r>
      <w:r>
        <w:rPr>
          <w:rFonts w:ascii="Arial" w:cs="Arial" w:eastAsia="Arial" w:hAnsi="Arial"/>
          <w:sz w:val="16"/>
          <w:szCs w:val="16"/>
          <w:color w:val="auto"/>
          <w:strike w:val="1"/>
        </w:rPr>
        <w:t>” means that certain real property located at (a) No. 5/5, Moo 6, Klong Nung Sub-district, Klongluang District, Pathumthani Province 12120 Thailand and (b) No. 5/15, Moo 6, Klong Nung Sub-district, Klongluang District, Pathumthani Province 12120 Thailand.</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Fabrinet Thailand Share Pledge</w:t>
      </w:r>
      <w:r>
        <w:rPr>
          <w:rFonts w:ascii="Arial" w:cs="Arial" w:eastAsia="Arial" w:hAnsi="Arial"/>
          <w:sz w:val="18"/>
          <w:szCs w:val="18"/>
          <w:color w:val="auto"/>
        </w:rPr>
        <w:t>” means that certain Pledge of Shares Agreement, dated as of the Closing Date, by and among the Company, as shareholder, the Administrative Agent and the entities named on Schedule I thereto, as secured parties, as may be amended, amended and restated, modified or supplemented from time to time.</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u w:val="single" w:color="auto"/>
          <w:color w:val="auto"/>
        </w:rPr>
        <w:t>“Fabrinet UK” means Fabrinet UK Holdings Ltd., a private limited company incorporated in England and Wales with company number 10231734 whose registered office is at 5 New Street Square, London, United Kingdom EC 4A 3TW.</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“Fabrinet UK Share Pledge” means that certain Security Over Shares Agreement, dated as of the Fifth Amendment Effective Date, by and between the Company, as charger, and the Administrative Agent, as security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Fabrinet West</w:t>
      </w:r>
      <w:r>
        <w:rPr>
          <w:rFonts w:ascii="Arial" w:cs="Arial" w:eastAsia="Arial" w:hAnsi="Arial"/>
          <w:sz w:val="18"/>
          <w:szCs w:val="18"/>
          <w:color w:val="auto"/>
        </w:rPr>
        <w:t>” means Fabrinet West, Inc., a California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Fabritek</w:t>
      </w:r>
      <w:r>
        <w:rPr>
          <w:rFonts w:ascii="Arial" w:cs="Arial" w:eastAsia="Arial" w:hAnsi="Arial"/>
          <w:sz w:val="18"/>
          <w:szCs w:val="18"/>
          <w:color w:val="auto"/>
        </w:rPr>
        <w:t>” means Fabritek, Inc., a California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Facility or the Revolving Facility, as the context may require.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Office</w:t>
      </w:r>
      <w:r>
        <w:rPr>
          <w:rFonts w:ascii="Arial" w:cs="Arial" w:eastAsia="Arial" w:hAnsi="Arial"/>
          <w:sz w:val="18"/>
          <w:szCs w:val="18"/>
          <w:color w:val="auto"/>
        </w:rPr>
        <w:t>” means the office through which such Lender will perform its obligations under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Termination Date</w:t>
      </w:r>
      <w:r>
        <w:rPr>
          <w:rFonts w:ascii="Arial" w:cs="Arial" w:eastAsia="Arial" w:hAnsi="Arial"/>
          <w:sz w:val="16"/>
          <w:szCs w:val="16"/>
          <w:color w:val="auto"/>
        </w:rPr>
        <w:t>” means the date as of which all of the following shall have occurred: (a) the Aggregate Commitments have terminated and</w:t>
      </w:r>
    </w:p>
    <w:p>
      <w:pPr>
        <w:spacing w:after="0" w:line="46" w:lineRule="exact"/>
        <w:rPr>
          <w:sz w:val="20"/>
          <w:szCs w:val="20"/>
          <w:color w:val="auto"/>
        </w:rPr>
      </w:pPr>
    </w:p>
    <w:p>
      <w:pPr>
        <w:ind w:firstLine="8"/>
        <w:spacing w:after="0" w:line="261"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have been paid in full (other than obligations for Taxes, costs, indemnifications, reimbursements, damages and other liabilities in respect of which no claim or demand for payment has been made).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6" w:name="page37"/>
    <w:bookmarkEnd w:id="36"/>
    <w:p>
      <w:pPr>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FATCA</w:t>
      </w:r>
      <w:r>
        <w:rPr>
          <w:rFonts w:ascii="Arial" w:cs="Arial" w:eastAsia="Arial" w:hAnsi="Arial"/>
          <w:sz w:val="17"/>
          <w:szCs w:val="17"/>
          <w:color w:val="auto"/>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w:t>
      </w:r>
      <w:r>
        <w:rPr>
          <w:rFonts w:ascii="Arial" w:cs="Arial" w:eastAsia="Arial" w:hAnsi="Arial"/>
          <w:sz w:val="17"/>
          <w:szCs w:val="17"/>
          <w:color w:val="auto"/>
          <w:strike w:val="1"/>
        </w:rPr>
        <w:t>and</w:t>
      </w:r>
      <w:r>
        <w:rPr>
          <w:rFonts w:ascii="Arial" w:cs="Arial" w:eastAsia="Arial" w:hAnsi="Arial"/>
          <w:sz w:val="17"/>
          <w:szCs w:val="17"/>
          <w:u w:val="single" w:color="auto"/>
          <w:color w:val="auto"/>
        </w:rPr>
        <w:t>,</w:t>
      </w:r>
      <w:r>
        <w:rPr>
          <w:rFonts w:ascii="Arial" w:cs="Arial" w:eastAsia="Arial" w:hAnsi="Arial"/>
          <w:sz w:val="17"/>
          <w:szCs w:val="17"/>
          <w:color w:val="auto"/>
        </w:rPr>
        <w:t xml:space="preserve"> any agreements entered into pursuant to Section 1471(b)(1) of the Code and any fiscal or regulatory legislation, rules or practices adopted pursuant to any intergovernmental </w:t>
      </w:r>
      <w:r>
        <w:rPr>
          <w:rFonts w:ascii="Arial" w:cs="Arial" w:eastAsia="Arial" w:hAnsi="Arial"/>
          <w:sz w:val="17"/>
          <w:szCs w:val="17"/>
          <w:u w:val="single" w:color="auto"/>
          <w:color w:val="auto"/>
        </w:rPr>
        <w:t>agreement, treaty or convention among Governmental Authorities and implementing such Sections of the Code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-181610</wp:posOffset>
            </wp:positionV>
            <wp:extent cx="4615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15815" cy="8890"/>
                    </a:xfrm>
                    <a:prstGeom prst="rect">
                      <a:avLst/>
                    </a:prstGeom>
                    <a:noFill/>
                  </pic:spPr>
                </pic:pic>
              </a:graphicData>
            </a:graphic>
          </wp:anchor>
        </w:drawing>
      </w:r>
    </w:p>
    <w:p>
      <w:pPr>
        <w:spacing w:after="0" w:line="15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strike w:val="1"/>
        </w:rPr>
        <w:t>“</w:t>
      </w:r>
      <w:r>
        <w:rPr>
          <w:rFonts w:ascii="Arial" w:cs="Arial" w:eastAsia="Arial" w:hAnsi="Arial"/>
          <w:sz w:val="18"/>
          <w:szCs w:val="18"/>
          <w:u w:val="single" w:color="auto"/>
          <w:color w:val="auto"/>
          <w:strike w:val="1"/>
        </w:rPr>
        <w:t>Fee Letter</w:t>
      </w:r>
      <w:r>
        <w:rPr>
          <w:rFonts w:ascii="Arial" w:cs="Arial" w:eastAsia="Arial" w:hAnsi="Arial"/>
          <w:sz w:val="18"/>
          <w:szCs w:val="18"/>
          <w:color w:val="auto"/>
          <w:strike w:val="1"/>
        </w:rPr>
        <w:t>” means the amended and restated letter agreement, dated as of the Closing Date, between the Company, the Administrative Agent and the Arranger.</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u w:val="single" w:color="auto"/>
          <w:color w:val="auto"/>
        </w:rPr>
        <w:t>“Fifth Amendment” means that certain Fifth Amendment to Credit Agreement dated as of June 4, 2018, by and among the Company, the Designated Borrowers, the Guarantors, the Administrative Agent and the Lenders.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“Fifth Amendment Effective Date” has the meaning specified in the Fifth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u w:val="single" w:color="auto"/>
          <w:color w:val="auto"/>
        </w:rPr>
        <w:t>“Fifth Amendment Term Loan” means the Term Loan made by the Term Lenders to the Borrower on the Fifth Amendment Effective Date in aggregate principal amount equal to the aggregate Term Loan Commitments.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not organized under the laws of any political subdivision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Government Scheme or Arrangement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Cayman Islands, Mauritius, Thailand or any other nation, or of any political subdivision thereof, whether state or local, and any agency, authority, instrumentality, regulatory body, registrar,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74" w:right="319" w:bottom="1440" w:gutter="0" w:footer="0" w:header="0"/>
        </w:sectPr>
      </w:pPr>
    </w:p>
    <w:bookmarkStart w:id="37" w:name="page38"/>
    <w:bookmarkEnd w:id="37"/>
    <w:p>
      <w:pPr>
        <w:ind w:right="2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of the kind described in clauses (a) through (g) of the definition thereof or other obligation payable or performable by another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clauses (a) through (g) of the definition thereof or other obligation of any other Person, whether or not such Indebtedness or other obligation is assumed or expressly undertaken by such Person (or any right, contingent or otherwise, of any holder of such Indebtedness to obtain any such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w:t>
      </w:r>
      <w:r>
        <w:rPr>
          <w:rFonts w:ascii="Arial" w:cs="Arial" w:eastAsia="Arial" w:hAnsi="Arial"/>
          <w:sz w:val="16"/>
          <w:szCs w:val="16"/>
          <w:u w:val="single" w:color="auto"/>
          <w:color w:val="auto"/>
        </w:rPr>
        <w:t>Guarantee</w:t>
      </w:r>
      <w:r>
        <w:rPr>
          <w:rFonts w:ascii="Arial" w:cs="Arial" w:eastAsia="Arial" w:hAnsi="Arial"/>
          <w:sz w:val="16"/>
          <w:szCs w:val="16"/>
          <w:color w:val="auto"/>
        </w:rPr>
        <w:t>” shall not include any liability by indorsement of instruments for collection or deposit in the ordinary course of business or indemnity obligations entered into in the ordinary course of business or in connection with any transaction permitted hereby.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(and in the case of clause (b) above, shall not exceed the fair market value of the assets (determined by such Person in good faith) securing such Indebtedness or other obligation as at the date of determination). The term “</w:t>
      </w:r>
      <w:r>
        <w:rPr>
          <w:rFonts w:ascii="Arial" w:cs="Arial" w:eastAsia="Arial" w:hAnsi="Arial"/>
          <w:sz w:val="16"/>
          <w:szCs w:val="16"/>
          <w:u w:val="single" w:color="auto"/>
          <w:color w:val="auto"/>
        </w:rPr>
        <w:t>Guarantee</w:t>
      </w:r>
      <w:r>
        <w:rPr>
          <w:rFonts w:ascii="Arial" w:cs="Arial" w:eastAsia="Arial" w:hAnsi="Arial"/>
          <w:sz w:val="16"/>
          <w:szCs w:val="16"/>
          <w:color w:val="auto"/>
        </w:rPr>
        <w:t>” as a verb has a corresponding meaning.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xml:space="preserve">” means, collectively, (a) the Subsidiaries of the Company as are or may from time to time become parties to this Agreement pursuant to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6.18(a)</w:t>
      </w:r>
      <w:r>
        <w:rPr>
          <w:rFonts w:ascii="Arial" w:cs="Arial" w:eastAsia="Arial" w:hAnsi="Arial"/>
          <w:sz w:val="16"/>
          <w:szCs w:val="16"/>
          <w:color w:val="auto"/>
        </w:rPr>
        <w:t xml:space="preserve">, as applicable, and (b) with respect to Additional Secured Obligations owing by any Loan Party or any of its Subsidiaries and any Swap Obligation of a Specified Loan Party (determined before giving effect to </w:t>
      </w:r>
      <w:r>
        <w:rPr>
          <w:rFonts w:ascii="Arial" w:cs="Arial" w:eastAsia="Arial" w:hAnsi="Arial"/>
          <w:sz w:val="16"/>
          <w:szCs w:val="16"/>
          <w:u w:val="single" w:color="auto"/>
          <w:color w:val="auto"/>
        </w:rPr>
        <w:t>Sections 10.01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10.11</w:t>
      </w:r>
      <w:r>
        <w:rPr>
          <w:rFonts w:ascii="Arial" w:cs="Arial" w:eastAsia="Arial" w:hAnsi="Arial"/>
          <w:sz w:val="16"/>
          <w:szCs w:val="16"/>
          <w:color w:val="auto"/>
        </w:rPr>
        <w:t>) under the Guaranty, each Borrower.</w:t>
      </w:r>
    </w:p>
    <w:p>
      <w:pPr>
        <w:spacing w:after="0" w:line="14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collectively, the Guarantee made by the Guarantors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 favor of the Secured Parties, together with each other guaranty delivered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6.18(a)</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Bank</w:t>
      </w:r>
      <w:r>
        <w:rPr>
          <w:rFonts w:ascii="Arial" w:cs="Arial" w:eastAsia="Arial" w:hAnsi="Arial"/>
          <w:sz w:val="16"/>
          <w:szCs w:val="16"/>
          <w:color w:val="auto"/>
        </w:rPr>
        <w:t xml:space="preserve">” means any Person in its capacity as a party to a Swap Contract that, (a) at the time it enters into a Swap Contract not prohibited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is a Lender or an Affiliate of a Lender, or (b) at the time it (or its Affiliate) becomes a Lender, is a party to a Swap Contract not prohibited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in each case, in its capacity as a party to such Swap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8" w:name="page39"/>
    <w:bookmarkEnd w:id="38"/>
    <w:p>
      <w:pPr>
        <w:ind w:right="5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each Subsidiary other than a Material Subsidiary (it being understood that the Borrower will identify Immaterial Subsidiaries on </w:t>
      </w:r>
      <w:r>
        <w:rPr>
          <w:rFonts w:ascii="Arial" w:cs="Arial" w:eastAsia="Arial" w:hAnsi="Arial"/>
          <w:sz w:val="18"/>
          <w:szCs w:val="18"/>
          <w:u w:val="single" w:color="auto"/>
          <w:color w:val="auto"/>
        </w:rPr>
        <w:t>Schedule 5.19(a)</w:t>
      </w:r>
      <w:r>
        <w:rPr>
          <w:rFonts w:ascii="Arial" w:cs="Arial" w:eastAsia="Arial" w:hAnsi="Arial"/>
          <w:sz w:val="18"/>
          <w:szCs w:val="18"/>
          <w:color w:val="auto"/>
        </w:rPr>
        <w:t xml:space="preserve"> to the Disclosure Letter when required pursuant to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right="280" w:firstLine="464"/>
        <w:spacing w:after="0" w:line="277" w:lineRule="auto"/>
        <w:tabs>
          <w:tab w:leader="none" w:pos="7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25" w:lineRule="exact"/>
        <w:rPr>
          <w:rFonts w:ascii="Arial" w:cs="Arial" w:eastAsia="Arial" w:hAnsi="Arial"/>
          <w:sz w:val="18"/>
          <w:szCs w:val="18"/>
          <w:color w:val="auto"/>
        </w:rPr>
      </w:pPr>
    </w:p>
    <w:p>
      <w:pPr>
        <w:ind w:firstLine="464"/>
        <w:spacing w:after="0" w:line="259"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(i) trade accounts payable, intercompany charges of expenses and intercompany payables, deferred revenue and other accrued liabilities (including deferred payments in respect of services by employees), in each case incurred in the ordinary course of business, and (ii) any earnout obligation or other post-closing balance sheet adjustment prior to such time as it becomes a liability on the balance sheet of such Person in accordance with GAAP);</w:t>
      </w:r>
    </w:p>
    <w:p>
      <w:pPr>
        <w:spacing w:after="0" w:line="186" w:lineRule="exact"/>
        <w:rPr>
          <w:rFonts w:ascii="Arial" w:cs="Arial" w:eastAsia="Arial" w:hAnsi="Arial"/>
          <w:sz w:val="18"/>
          <w:szCs w:val="18"/>
          <w:color w:val="auto"/>
        </w:rPr>
      </w:pPr>
    </w:p>
    <w:p>
      <w:pPr>
        <w:ind w:right="60" w:firstLine="464"/>
        <w:spacing w:after="0" w:line="276" w:lineRule="auto"/>
        <w:tabs>
          <w:tab w:leader="none" w:pos="7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indebtedness (excluding prepaid interest thereon) secured by a Lien on property owned or being purchased by such Person (including indebtedness arising under conditional sales or other title retention agreements other than customary reservations or retentions of title under agreements with suppliers entered into in the ordinary course of business), whether or not such indebtedness shall have been assumed by such Person or is limited in recourse (provided that if such indebtedness is nonrecourse to such Person, the amount of such indebtedness will be the lesser of the fair market value of such property (as determined by such Person in good faith) as at the date of determination and the amount so secured);</w:t>
      </w:r>
    </w:p>
    <w:p>
      <w:pPr>
        <w:spacing w:after="0" w:line="172" w:lineRule="exact"/>
        <w:rPr>
          <w:rFonts w:ascii="Arial" w:cs="Arial" w:eastAsia="Arial" w:hAnsi="Arial"/>
          <w:sz w:val="17"/>
          <w:szCs w:val="17"/>
          <w:color w:val="auto"/>
        </w:rPr>
      </w:pPr>
    </w:p>
    <w:p>
      <w:pPr>
        <w:ind w:left="680" w:hanging="21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Attributable Indebtedness in respect of Capitalized Leases and Synthetic Lease Obligations of such Person;</w:t>
      </w:r>
    </w:p>
    <w:p>
      <w:pPr>
        <w:spacing w:after="0" w:line="225"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all obligations to purchase, redeem, retire, defease or make any payment (other than payments made solely in other Qualified Equity Interests and except to the extent permitted by </w:t>
      </w:r>
      <w:r>
        <w:rPr>
          <w:rFonts w:ascii="Arial" w:cs="Arial" w:eastAsia="Arial" w:hAnsi="Arial"/>
          <w:sz w:val="18"/>
          <w:szCs w:val="18"/>
          <w:u w:val="single" w:color="auto"/>
          <w:color w:val="auto"/>
        </w:rPr>
        <w:t>Section 7.06</w:t>
      </w:r>
      <w:r>
        <w:rPr>
          <w:rFonts w:ascii="Arial" w:cs="Arial" w:eastAsia="Arial" w:hAnsi="Arial"/>
          <w:sz w:val="18"/>
          <w:szCs w:val="18"/>
          <w:color w:val="auto"/>
        </w:rPr>
        <w:t>) prior to the Maturity Date in respect of Equity Interests (valued, in the case of a redeemable preferred interest, at the greater of its voluntary or involuntary liquidation preference plus accrued and unpaid dividends); and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9" w:name="page40"/>
    <w:bookmarkEnd w:id="39"/>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(3) months, the respective dates that fall every three (3) months after the beginning of such Interest Period shall also be Interest Payment Dates; and (b) as to any Base Rate Loan, the last Business Day of each March, June, September and December and the Maturity Date of the Facility under which such Loan was made.</w:t>
      </w:r>
    </w:p>
    <w:p>
      <w:pPr>
        <w:spacing w:after="0" w:line="154"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(1), two (2), three (3) or six (6) months thereafter (in each case, subject to availability), as selected by the Borrower in its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right="40" w:firstLine="464"/>
        <w:spacing w:after="0" w:line="308" w:lineRule="auto"/>
        <w:tabs>
          <w:tab w:leader="none" w:pos="701"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46" w:lineRule="exact"/>
        <w:rPr>
          <w:rFonts w:ascii="Arial" w:cs="Arial" w:eastAsia="Arial" w:hAnsi="Arial"/>
          <w:sz w:val="17"/>
          <w:szCs w:val="17"/>
          <w:color w:val="auto"/>
        </w:rPr>
      </w:pPr>
    </w:p>
    <w:p>
      <w:pPr>
        <w:ind w:firstLine="464"/>
        <w:spacing w:after="0" w:line="342" w:lineRule="auto"/>
        <w:tabs>
          <w:tab w:leader="none" w:pos="7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of the Facility under which such Loan was made.</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 less all repayments, dividends, distributions and other returns of capital received or realized from such Investment, in each case in cash and Cash Equivalents (or in the case of a Guarantee, any reductions thereof without a corresponding payment in respect thereof).</w:t>
      </w:r>
    </w:p>
    <w:p>
      <w:pPr>
        <w:spacing w:after="0" w:line="16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Involuntary Disposition</w:t>
      </w:r>
      <w:r>
        <w:rPr>
          <w:rFonts w:ascii="Arial" w:cs="Arial" w:eastAsia="Arial" w:hAnsi="Arial"/>
          <w:sz w:val="18"/>
          <w:szCs w:val="18"/>
          <w:color w:val="auto"/>
        </w:rPr>
        <w:t>” means any loss of, damage to or destruction of, or any condemnation or other taking for public use of, any property of any Loan Party or any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40" w:name="page41"/>
    <w:bookmarkEnd w:id="40"/>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joinder agreement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executed and delivered in accordance with the provisions of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6.18(a)</w:t>
      </w:r>
      <w:r>
        <w:rPr>
          <w:rFonts w:ascii="Arial" w:cs="Arial" w:eastAsia="Arial" w:hAnsi="Arial"/>
          <w:sz w:val="18"/>
          <w:szCs w:val="18"/>
          <w:color w:val="auto"/>
        </w:rPr>
        <w:t>, as applicable.</w:t>
      </w:r>
    </w:p>
    <w:p>
      <w:pPr>
        <w:spacing w:after="0" w:line="170"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notifications,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each of the Persons identified as a “Lender” on the signature pages hereto, each other Person that becomes a “Lender” in accordance with this Agreement and their successors and assigns.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the Administrative Agent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Lender or such Affiliate.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u w:val="single" w:color="auto"/>
          <w:color w:val="auto"/>
        </w:rPr>
        <w:t>“Leverage Event” means the consummation by any Loan Party of an Acquisition and the issuance by the Loan Parties of Convertible Debt Securities in connection therewith in a principal amount equal or greater to $200,000,000.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Eurodollar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“LIBOR Rate” has the meaning specified in the definition of Eurodollar Rate.</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u w:val="single" w:color="auto"/>
          <w:color w:val="auto"/>
        </w:rPr>
        <w:t>“LIBOR Screen Rate”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u w:val="single" w:color="auto"/>
          <w:color w:val="auto"/>
        </w:rPr>
        <w:t>“LIBOR Successor Rate”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u w:val="single" w:color="auto"/>
          <w:color w:val="auto"/>
        </w:rPr>
        <w:t>“LIBOR Successor Rate Conforming Changes”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41" w:name="page42"/>
    <w:bookmarkEnd w:id="41"/>
    <w:p>
      <w:pPr>
        <w:ind w:right="1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hypothecation, assignment in the nature of a security interest, deposit arrangement in the nature of a security interest, encumbrance, lien (statutory or otherwise), charge,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Term Loan or a Revolving Loan.</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(a) this Agreement, (b) the Notes, (c) the Guaranty, (d) the Collateral Documents, (e) the Fee Letter, (f) each Joinder Agreement and (</w:t>
      </w:r>
      <w:r>
        <w:rPr>
          <w:rFonts w:ascii="Arial" w:cs="Arial" w:eastAsia="Arial" w:hAnsi="Arial"/>
          <w:sz w:val="18"/>
          <w:szCs w:val="18"/>
          <w:color w:val="auto"/>
          <w:strike w:val="1"/>
        </w:rPr>
        <w:t>g</w:t>
      </w:r>
      <w:r>
        <w:rPr>
          <w:rFonts w:ascii="Arial" w:cs="Arial" w:eastAsia="Arial" w:hAnsi="Arial"/>
          <w:sz w:val="18"/>
          <w:szCs w:val="18"/>
          <w:u w:val="single" w:color="auto"/>
          <w:color w:val="auto"/>
        </w:rPr>
        <w:t>f</w:t>
      </w:r>
      <w:r>
        <w:rPr>
          <w:rFonts w:ascii="Arial" w:cs="Arial" w:eastAsia="Arial" w:hAnsi="Arial"/>
          <w:sz w:val="18"/>
          <w:szCs w:val="18"/>
          <w:color w:val="auto"/>
        </w:rPr>
        <w:t>) each Designated Borrower Request and Assumption Agreement, (but specifically excluding any Secured Hedge Agreement or any Secured Cash Management Agreement)</w:t>
      </w:r>
      <w:r>
        <w:rPr>
          <w:rFonts w:ascii="Arial" w:cs="Arial" w:eastAsia="Arial" w:hAnsi="Arial"/>
          <w:sz w:val="18"/>
          <w:szCs w:val="18"/>
          <w:u w:val="single" w:color="auto"/>
          <w:color w:val="auto"/>
        </w:rPr>
        <w:t>; provided, however, that for purposes of Section 11.01, “Loan Documents” shall mean this Agreement,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Guaranty and the Collateral Documents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6021070</wp:posOffset>
            </wp:positionH>
            <wp:positionV relativeFrom="paragraph">
              <wp:posOffset>-488950</wp:posOffset>
            </wp:positionV>
            <wp:extent cx="8299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a Credit Extension, (b) a conversion of Loans from one Type to the other, or (c)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the </w:t>
      </w:r>
      <w:r>
        <w:rPr>
          <w:rFonts w:ascii="Arial" w:cs="Arial" w:eastAsia="Arial" w:hAnsi="Arial"/>
          <w:sz w:val="18"/>
          <w:szCs w:val="18"/>
          <w:u w:val="single" w:color="auto"/>
          <w:color w:val="auto"/>
        </w:rPr>
        <w:t>Company, each Designated</w:t>
      </w:r>
      <w:r>
        <w:rPr>
          <w:rFonts w:ascii="Arial" w:cs="Arial" w:eastAsia="Arial" w:hAnsi="Arial"/>
          <w:sz w:val="18"/>
          <w:szCs w:val="18"/>
          <w:color w:val="auto"/>
        </w:rPr>
        <w:t xml:space="preserve"> Borrower and each Guarantor.</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Cost</w:t>
      </w:r>
      <w:r>
        <w:rPr>
          <w:rFonts w:ascii="Arial" w:cs="Arial" w:eastAsia="Arial" w:hAnsi="Arial"/>
          <w:sz w:val="18"/>
          <w:szCs w:val="18"/>
          <w:color w:val="auto"/>
        </w:rPr>
        <w:t>” means any amount incurred periodically by any Lender during the term of the Facility which constitutes fees, costs or charges imposed on lenders generally in the jurisdiction in which such Lender is domiciled, subject to regulation, or has its Facility Office by any Governmental Authority.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set forth in the definition of “Swap Contract.”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on, the operations, business, assets, properties, liabilities (actual or contingent), or financial condition of the Loan Parties and their respective Subsidiaries, taken as a whole; (b) a material impairment of the rights and remedies of the Administrative Agent or any Lender under any Loan Document, or the ability of any Loan Party to perform its material obligations under any Loan Document to which it is a party; or (c) a material adverse effect upon the legality, validity, binding effect or enforceability against any Loan Party of any Loan Document to which it is a party.</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w:t>
      </w:r>
      <w:r>
        <w:rPr>
          <w:rFonts w:ascii="Arial" w:cs="Arial" w:eastAsia="Arial" w:hAnsi="Arial"/>
          <w:sz w:val="16"/>
          <w:szCs w:val="16"/>
          <w:color w:val="auto"/>
        </w:rPr>
        <w:t>” means, with respect to any Person, each contract or agreement (a) to which such Person is a party involving aggregate consideration payable to or by such Person of $10,000,000 or more in any year or (b) otherwise material to the business, financial condition, operations or properties of such Person or (c) any other contract, agreement, permit or license of the Borrower and its Subsidiaries as to which the breach, nonperformance, cancellation or failure to renew by any party thereto, individually or in the aggregate, could reasonably be expected to have a Material Adverse Effect.</w:t>
      </w:r>
    </w:p>
    <w:p>
      <w:pPr>
        <w:spacing w:after="0" w:line="154"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Subsidiary of the Company that, together with its Subsidiaries, (a) generates more than five percent (5%) of Consolidated EBITDA on a Pro Forma Basis for the four (4) fiscal quarter period most recently ended, (b) has cash, Cash Equivalents and marketable securities with a value in excess of $7,000,000 or (c) has total assets (including Equity Interests in other Subsidiaries and excluding investments that are eliminated in consolidation) equal to or greater than five percent (5%) of the total assets of the Company and its Subsidiaries, on a Consolidated basis as of the end of the most recent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42" w:name="page43"/>
    <w:bookmarkEnd w:id="4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four (4) fiscal quarters;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there are Subsidiaries (other than Excluded Subsidiaries) which are not classified as “Material Subsidiaries” but which collectively (i) generate more than ten percent (10%) of Consolidated EBITDA on a Pro Forma Basis or (ii) have total assets (including Equity Interests in other Subsidiaries and excluding investments that are eliminated in consolidation) equal to or greater than ten percent (10%) of the total assets of the Company and its Subsidiaries on a Consolidated basis, then the Company shall promptly designate one or more of such Subsidiaries as Material Subsidiaries and cause any such Subsidiaries to comply with the provisions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such that, after such Subsidiaries become Guarantors hereunder, the Subsidiaries (other than Excluded Subsidiaries) that are not Guarantors shall (A) generate less than ten percent (10%) of Consolidated EBITDA and (B) have total assets of less than ten percent (10%) of the total assets of the Company and its Subsidiaries on a Consolidated basis.</w:t>
      </w:r>
    </w:p>
    <w:p>
      <w:pPr>
        <w:spacing w:after="0" w:line="16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means </w:t>
      </w:r>
      <w:r>
        <w:rPr>
          <w:rFonts w:ascii="Arial" w:cs="Arial" w:eastAsia="Arial" w:hAnsi="Arial"/>
          <w:sz w:val="17"/>
          <w:szCs w:val="17"/>
          <w:color w:val="auto"/>
          <w:strike w:val="1"/>
        </w:rPr>
        <w:t>(a) with respect to the Revolving Facility, May 22, 2019 and (b) with respect to the Term Facility, May 22, 2019;</w:t>
      </w:r>
      <w:r>
        <w:rPr>
          <w:rFonts w:ascii="Arial" w:cs="Arial" w:eastAsia="Arial" w:hAnsi="Arial"/>
          <w:sz w:val="17"/>
          <w:szCs w:val="17"/>
          <w:u w:val="single" w:color="auto"/>
          <w:color w:val="auto"/>
        </w:rPr>
        <w:t>June 4, 2023,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t>
      </w:r>
      <w:r>
        <w:rPr>
          <w:rFonts w:ascii="Arial" w:cs="Arial" w:eastAsia="Arial" w:hAnsi="Arial"/>
          <w:sz w:val="17"/>
          <w:szCs w:val="17"/>
          <w:color w:val="auto"/>
          <w:strike w:val="1"/>
        </w:rPr>
        <w:t>in each case,</w:t>
      </w:r>
      <w:r>
        <w:rPr>
          <w:rFonts w:ascii="Arial" w:cs="Arial" w:eastAsia="Arial" w:hAnsi="Arial"/>
          <w:sz w:val="17"/>
          <w:szCs w:val="17"/>
          <w:color w:val="auto"/>
        </w:rPr>
        <w:t xml:space="preserve"> if such date is not a Business Day, the Maturity Date shall be the next preceding Business Day.</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(4) consecutive fiscal quarters of the Company ending on the date of computation of any ratio or other provision contained herein or in any Loan Document.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2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Multiple Employer Plan</w:t>
      </w:r>
      <w:r>
        <w:rPr>
          <w:rFonts w:ascii="Arial" w:cs="Arial" w:eastAsia="Arial" w:hAnsi="Arial"/>
          <w:sz w:val="17"/>
          <w:szCs w:val="17"/>
          <w:color w:val="auto"/>
        </w:rPr>
        <w:t>” means a Plan which has two or more contributing sponsors (including the Borrower or any ERISA Affiliate) at least two of whom are not under common control, as such a plan is described in Section 4064 of ERISA, to which the Borrower or any ERISA Affiliate makes or is obligated to make contributions, or during the preceding five (5) plan years, has made or been obligated to make contributions.</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or all Lenders or all affected Lenders in a Facility,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(b) has been approved by the Required Lenders.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Note or a Revolving Note, as the context may require.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Loan Prepayment</w:t>
      </w:r>
      <w:r>
        <w:rPr>
          <w:rFonts w:ascii="Arial" w:cs="Arial" w:eastAsia="Arial" w:hAnsi="Arial"/>
          <w:sz w:val="18"/>
          <w:szCs w:val="18"/>
          <w:color w:val="auto"/>
        </w:rPr>
        <w:t xml:space="preserve">” means a notice of prepayment with respect to a Loan, which shall be substantially in the form of </w:t>
      </w:r>
      <w:r>
        <w:rPr>
          <w:rFonts w:ascii="Arial" w:cs="Arial" w:eastAsia="Arial" w:hAnsi="Arial"/>
          <w:sz w:val="18"/>
          <w:szCs w:val="18"/>
          <w:u w:val="single" w:color="auto"/>
          <w:color w:val="auto"/>
        </w:rPr>
        <w:t>Exhibit O</w:t>
      </w:r>
      <w:r>
        <w:rPr>
          <w:rFonts w:ascii="Arial" w:cs="Arial" w:eastAsia="Arial" w:hAnsi="Arial"/>
          <w:sz w:val="18"/>
          <w:szCs w:val="18"/>
          <w:color w:val="auto"/>
        </w:rPr>
        <w:t>,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 all advances to, and debts, liabilities, obligations, covenants and duties of, any Loan Party arising under any Loan Document or otherwise with respect to any Loan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43" w:name="page44"/>
    <w:bookmarkEnd w:id="43"/>
    <w:p>
      <w:pPr>
        <w:ind w:right="4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and fees that accrue after the commencement by or against any Loan Party or any Affiliate thereof pursuant to any proceeding under any Debtor Relief Laws naming such Person as the debtor in such proceeding, regardless of whether such interest and fees are allowed claims in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Obligations of a Guarantor shall exclude any Excluded Swap Obligations with respect to such Guarantor.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or any other form approved by the Administrative Agent.</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the Company, the certificate of incorporation (together with any certificate of incorporation on change of name), the memorandum and articles of association, the register of directors, the register of members, the register of mortgages and charges and the tax undertaking certificate, if any, (c) with respect to any limited liability company (other than the Company), the certificate or articles of formation or organization or the certificate of incorporation, memorandum and articles of association or formation, the affidavit of association, the specimen of seal (if any) and any operating agreement or limited liability company agreement (or equivalent or comparable documents with respect to any non-U.S. jurisdiction); and (d) with respect to any partnership, joint venture, trust or other form of business entity, the partnership, exempted limited partnership, joint venture or other applicable agreement of formation, exempted limited partnership or organization (or equivalent or comparable documents with respect to any non-U.S. jurisdiction).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“Original Term Loan” has the meaning set forth in Section 2.01(a).</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3.06).</w:t>
      </w:r>
    </w:p>
    <w:p>
      <w:pPr>
        <w:spacing w:after="0" w:line="18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with respect to Term Loans and Revolving Loans on any date, the aggregate outstanding principal amount thereof after giving effect to any borrowings and prepayments or repayments of Term Loans and Revolving Loans, as the case may be, occurring on such date.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specified in Section 11.06(d).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specified in Section 11.06(d).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44" w:name="page45"/>
    <w:bookmarkEnd w:id="44"/>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means an Acquisition by a Loan Party (the Person or division, line of business or other business unit of the Person to be acquired in such Acquisition shall be referred to herein as the “</w:t>
      </w:r>
      <w:r>
        <w:rPr>
          <w:rFonts w:ascii="Arial" w:cs="Arial" w:eastAsia="Arial" w:hAnsi="Arial"/>
          <w:sz w:val="17"/>
          <w:szCs w:val="17"/>
          <w:u w:val="single" w:color="auto"/>
          <w:color w:val="auto"/>
        </w:rPr>
        <w:t>Target</w:t>
      </w:r>
      <w:r>
        <w:rPr>
          <w:rFonts w:ascii="Arial" w:cs="Arial" w:eastAsia="Arial" w:hAnsi="Arial"/>
          <w:sz w:val="17"/>
          <w:szCs w:val="17"/>
          <w:color w:val="auto"/>
        </w:rPr>
        <w:t>”), in each case that is a type of business (or assets used in a type of business) permitted to be engaged in by the Company and its Subsidiaries pursuant to the terms of this Agreement, in each case so long as:</w:t>
      </w:r>
    </w:p>
    <w:p>
      <w:pPr>
        <w:spacing w:after="0" w:line="166" w:lineRule="exact"/>
        <w:rPr>
          <w:sz w:val="20"/>
          <w:szCs w:val="20"/>
          <w:color w:val="auto"/>
        </w:rPr>
      </w:pPr>
    </w:p>
    <w:p>
      <w:pPr>
        <w:ind w:left="700" w:hanging="23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Default shall then exist or would exist after giving effect thereto;</w:t>
      </w:r>
    </w:p>
    <w:p>
      <w:pPr>
        <w:spacing w:after="0" w:line="225"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Loan Parties shall demonstrate to the reasonable satisfaction of the Administrative Agent that, after giving effect to the Acquisition on a Pro Forma Basis, the Loan Parties are in Pro Forma Compliance with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464"/>
        <w:spacing w:after="0" w:line="255" w:lineRule="auto"/>
        <w:tabs>
          <w:tab w:leader="none" w:pos="7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not less than fifteen (15) Business Days prior to the consummation of any such Acquisition (i) a description of the material terms of such Acquisition, (ii) audited financial statements (or, if unavailable, management-prepared financial statements) of the Target for its two most recent fiscal years and for any fiscal quarters ended within the fiscal year to date, (iii) Consolidated projected income statements of the Company and its Subsidiaries (giving effect to such Acquisition) for the four (4) full consecutive fiscal quarters beginning with the fiscal quarter in which the Acquisition is consummated, and (iv) not less than five (5) Business Days prior to the consummation of any Permitted Acquisition, a Permitted Acquisition Certificate, executed by a Responsible Officer of the Company certifying that such Permitted Acquisition complies with the requirements of this Agreement;</w:t>
      </w:r>
    </w:p>
    <w:p>
      <w:pPr>
        <w:spacing w:after="0" w:line="189"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Acquisition shall not be a “hostile” Acquisition and shall have been approved by the Board of Directors and/or shareholders (or equivalent), to the extent required by applicable Law, of the applicable Loan Party and the Target; and</w:t>
      </w:r>
    </w:p>
    <w:p>
      <w:pPr>
        <w:spacing w:after="0" w:line="170" w:lineRule="exact"/>
        <w:rPr>
          <w:rFonts w:ascii="Arial" w:cs="Arial" w:eastAsia="Arial" w:hAnsi="Arial"/>
          <w:sz w:val="18"/>
          <w:szCs w:val="18"/>
          <w:color w:val="auto"/>
        </w:rPr>
      </w:pPr>
    </w:p>
    <w:p>
      <w:pPr>
        <w:ind w:right="360" w:firstLine="464"/>
        <w:spacing w:after="0" w:line="264" w:lineRule="auto"/>
        <w:tabs>
          <w:tab w:leader="none" w:pos="701" w:val="left"/>
        </w:tabs>
        <w:numPr>
          <w:ilvl w:val="0"/>
          <w:numId w:val="27"/>
        </w:numPr>
        <w:rPr>
          <w:rFonts w:ascii="Arial" w:cs="Arial" w:eastAsia="Arial" w:hAnsi="Arial"/>
          <w:sz w:val="18"/>
          <w:szCs w:val="18"/>
          <w:color w:val="auto"/>
          <w:strike w:val="1"/>
        </w:rPr>
      </w:pPr>
      <w:r>
        <w:rPr>
          <w:rFonts w:ascii="Arial" w:cs="Arial" w:eastAsia="Arial" w:hAnsi="Arial"/>
          <w:sz w:val="18"/>
          <w:szCs w:val="18"/>
          <w:color w:val="auto"/>
          <w:strike w:val="1"/>
        </w:rPr>
        <w:t xml:space="preserve">if any of the consideration payable by the Loan Parties shall be in cash (other than cash in lieu of fractional shares), immediately prior to giving effect to such Acquisition, the aggregate principal amount of Revolving Loans available to be borrowed under </w:t>
      </w:r>
      <w:r>
        <w:rPr>
          <w:rFonts w:ascii="Arial" w:cs="Arial" w:eastAsia="Arial" w:hAnsi="Arial"/>
          <w:sz w:val="18"/>
          <w:szCs w:val="18"/>
          <w:u w:val="single" w:color="auto"/>
          <w:color w:val="auto"/>
          <w:strike w:val="1"/>
        </w:rPr>
        <w:t>Section 2.01(b)</w:t>
      </w:r>
      <w:r>
        <w:rPr>
          <w:rFonts w:ascii="Arial" w:cs="Arial" w:eastAsia="Arial" w:hAnsi="Arial"/>
          <w:sz w:val="18"/>
          <w:szCs w:val="18"/>
          <w:color w:val="auto"/>
          <w:strike w:val="1"/>
        </w:rPr>
        <w:t xml:space="preserve"> hereof shall be at least $100,000,000;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-586740</wp:posOffset>
            </wp:positionV>
            <wp:extent cx="1936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16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f</w:t>
      </w:r>
      <w:r>
        <w:rPr>
          <w:rFonts w:ascii="Arial" w:cs="Arial" w:eastAsia="Arial" w:hAnsi="Arial"/>
          <w:sz w:val="18"/>
          <w:szCs w:val="18"/>
          <w:u w:val="single" w:color="auto"/>
          <w:color w:val="auto"/>
        </w:rPr>
        <w:t>e</w:t>
      </w:r>
      <w:r>
        <w:rPr>
          <w:rFonts w:ascii="Arial" w:cs="Arial" w:eastAsia="Arial" w:hAnsi="Arial"/>
          <w:sz w:val="18"/>
          <w:szCs w:val="18"/>
          <w:color w:val="auto"/>
        </w:rPr>
        <w:t xml:space="preserve">) the cost of the Acquisition paid by the Loan Parties and their Subsidiaries in cash at the closing of such Acquisition, plus any cash earnouts or similar deferred or contingent payments paid after closing of such Acquisition, for all Acquisitions made during the term of this Agreement shall not exceed $300,000,000 (plus any proceeds received from the issuance (within twelve (12) months prior to the closing of such Acquisition) of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w:t>
      </w:r>
    </w:p>
    <w:p>
      <w:pPr>
        <w:spacing w:after="0" w:line="187" w:lineRule="exact"/>
        <w:rPr>
          <w:sz w:val="20"/>
          <w:szCs w:val="20"/>
          <w:color w:val="auto"/>
        </w:rPr>
      </w:pPr>
    </w:p>
    <w:p>
      <w:pPr>
        <w:jc w:val="center"/>
        <w:ind w:left="400" w:right="3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Certificate</w:t>
      </w:r>
      <w:r>
        <w:rPr>
          <w:rFonts w:ascii="Arial" w:cs="Arial" w:eastAsia="Arial" w:hAnsi="Arial"/>
          <w:sz w:val="18"/>
          <w:szCs w:val="18"/>
          <w:color w:val="auto"/>
        </w:rPr>
        <w:t xml:space="preserve">” means a certificate substantially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any other form approved by the Administrative Agent. 25</w:t>
      </w:r>
    </w:p>
    <w:p>
      <w:pPr>
        <w:sectPr>
          <w:pgSz w:w="11900" w:h="16838" w:orient="portrait"/>
          <w:cols w:equalWidth="0" w:num="1">
            <w:col w:w="11400"/>
          </w:cols>
          <w:pgMar w:left="240" w:top="274" w:right="259" w:bottom="1440" w:gutter="0" w:footer="0" w:header="0"/>
        </w:sectPr>
      </w:pPr>
    </w:p>
    <w:bookmarkStart w:id="45" w:name="page46"/>
    <w:bookmarkEnd w:id="45"/>
    <w:p>
      <w:pPr>
        <w:ind w:right="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Permitted Call Spread Swap Agreements</w:t>
      </w:r>
      <w:r>
        <w:rPr>
          <w:rFonts w:ascii="Arial" w:cs="Arial" w:eastAsia="Arial" w:hAnsi="Arial"/>
          <w:sz w:val="16"/>
          <w:szCs w:val="16"/>
          <w:color w:val="auto"/>
        </w:rPr>
        <w:t>” means (a) any Swap Contract (including, but not limited to, any bond hedge transaction or capped call transaction) pursuant to which the Company acquires an option requiring the counterparty thereto to deliver to the Company shares of common stock of the Company, the cash value of such shares or a combination thereof from time to time upon exercise</w:t>
      </w:r>
      <w:r>
        <w:rPr>
          <w:rFonts w:ascii="Arial" w:cs="Arial" w:eastAsia="Arial" w:hAnsi="Arial"/>
          <w:sz w:val="16"/>
          <w:szCs w:val="16"/>
          <w:u w:val="single" w:color="auto"/>
          <w:color w:val="auto"/>
        </w:rPr>
        <w:t>, unwind or settlement</w:t>
      </w:r>
      <w:r>
        <w:rPr>
          <w:rFonts w:ascii="Arial" w:cs="Arial" w:eastAsia="Arial" w:hAnsi="Arial"/>
          <w:sz w:val="16"/>
          <w:szCs w:val="16"/>
          <w:color w:val="auto"/>
        </w:rPr>
        <w:t xml:space="preserve"> of such option and (b) any Swap Contract pursuant to which the Company issues to the counterparty thereto warrants to acquire common stock of the Company (whether such warrant is settled in shares, cash or a combination thereof), in each case entered into by the Company in connection with the issuance of Convertible </w:t>
      </w:r>
      <w:r>
        <w:rPr>
          <w:rFonts w:ascii="Arial" w:cs="Arial" w:eastAsia="Arial" w:hAnsi="Arial"/>
          <w:sz w:val="16"/>
          <w:szCs w:val="16"/>
          <w:color w:val="auto"/>
          <w:strike w:val="1"/>
        </w:rPr>
        <w:t>Subordinated</w:t>
      </w:r>
      <w:r>
        <w:rPr>
          <w:rFonts w:ascii="Arial" w:cs="Arial" w:eastAsia="Arial" w:hAnsi="Arial"/>
          <w:sz w:val="16"/>
          <w:szCs w:val="16"/>
          <w:color w:val="auto"/>
        </w:rPr>
        <w:t xml:space="preserve"> Debt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terms, conditions and covenants of each such Swap Contract are customary for Swap Contracts of such type (as reasonably determined by the </w:t>
      </w:r>
      <w:r>
        <w:rPr>
          <w:rFonts w:ascii="Arial" w:cs="Arial" w:eastAsia="Arial" w:hAnsi="Arial"/>
          <w:sz w:val="16"/>
          <w:szCs w:val="16"/>
          <w:color w:val="auto"/>
          <w:strike w:val="1"/>
        </w:rPr>
        <w:t>Board of Directors of the</w:t>
      </w:r>
      <w:r>
        <w:rPr>
          <w:rFonts w:ascii="Arial" w:cs="Arial" w:eastAsia="Arial" w:hAnsi="Arial"/>
          <w:sz w:val="16"/>
          <w:szCs w:val="16"/>
          <w:color w:val="auto"/>
        </w:rPr>
        <w:t xml:space="preserve"> Company in good faith) and (ii) in the case of clause (b) above, such Swap Contract is classified as an equity instrument in accordance with GAAP, and the settlement of such Swap Contract does not require the Company to make any payment in cash or Cash Equivalents that would disqualify such Swap Contract from so being classified as an equity instrument. For purposes of this definition, the term “Swap Contract” shall include any stock option or warrant agreement for the purchase of Equity Interests of the Company.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Transfers</w:t>
      </w:r>
      <w:r>
        <w:rPr>
          <w:rFonts w:ascii="Arial" w:cs="Arial" w:eastAsia="Arial" w:hAnsi="Arial"/>
          <w:sz w:val="17"/>
          <w:szCs w:val="17"/>
          <w:color w:val="auto"/>
        </w:rPr>
        <w:t xml:space="preserve">” means (a) Dispositions of inventory in the ordinary course of business; (b) Dispositions of property to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Dispositions of property by a Loan Party to a non-Loan Party shall not exceed in the aggregate the sum of (i) the Available Amount and (ii) $25,000,000 in non-Collateral assets; (c) Dispositions of accounts receivable in connection with the collection or compromise thereof; (d) licenses, sublicenses, leases or subleases granted to others (including intercompany licensing of intellectual property) not interfering in any material respect with the business of the Borrower and its Subsidiaries; (e) the sale or disposition of cash or Cash Equivalents in a manner not prohibited by this Agreement; (f) the granting, creation or existence of a Permitted Lien; (g) the surrender or waiver of contract rights or the settlement, release or surrender of contract rights or other litigation claims, in each case in the ordinary course of business; and (h) any Involuntary Disposition.</w:t>
      </w:r>
    </w:p>
    <w:p>
      <w:pPr>
        <w:spacing w:after="0" w:line="17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and “</w:t>
      </w:r>
      <w:r>
        <w:rPr>
          <w:rFonts w:ascii="Arial" w:cs="Arial" w:eastAsia="Arial" w:hAnsi="Arial"/>
          <w:sz w:val="18"/>
          <w:szCs w:val="18"/>
          <w:u w:val="single" w:color="auto"/>
          <w:color w:val="auto"/>
        </w:rPr>
        <w:t>Pro Forma Effect</w:t>
      </w:r>
      <w:r>
        <w:rPr>
          <w:rFonts w:ascii="Arial" w:cs="Arial" w:eastAsia="Arial" w:hAnsi="Arial"/>
          <w:sz w:val="18"/>
          <w:szCs w:val="18"/>
          <w:color w:val="auto"/>
        </w:rPr>
        <w:t xml:space="preserve">” means, for any Disposition of all or substantially all of a division or a line of business or for any Acquisition, whether actual or proposed, for purposes of determining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each such transaction or proposed transaction shall be deemed to have occurred on and as of the first day of the relevant Measurement Period, and the following pro forma adjustments shall be made:</w:t>
      </w:r>
    </w:p>
    <w:p>
      <w:pPr>
        <w:spacing w:after="0" w:line="187" w:lineRule="exact"/>
        <w:rPr>
          <w:sz w:val="20"/>
          <w:szCs w:val="20"/>
          <w:color w:val="auto"/>
        </w:rPr>
      </w:pPr>
    </w:p>
    <w:p>
      <w:pPr>
        <w:ind w:right="80" w:firstLine="464"/>
        <w:spacing w:after="0" w:line="308" w:lineRule="auto"/>
        <w:tabs>
          <w:tab w:leader="none" w:pos="701"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case of an actual or proposed Disposition, all income statement items (whether positive or negative) attributable to the line of business or the Person subject to such Disposition shall be excluded from the results of the Company and its Subsidiaries for such Measurement Period;</w:t>
      </w:r>
    </w:p>
    <w:p>
      <w:pPr>
        <w:spacing w:after="0" w:line="146" w:lineRule="exact"/>
        <w:rPr>
          <w:rFonts w:ascii="Arial" w:cs="Arial" w:eastAsia="Arial" w:hAnsi="Arial"/>
          <w:sz w:val="17"/>
          <w:szCs w:val="17"/>
          <w:color w:val="auto"/>
        </w:rPr>
      </w:pPr>
    </w:p>
    <w:p>
      <w:pPr>
        <w:ind w:right="60" w:firstLine="464"/>
        <w:spacing w:after="0" w:line="308" w:lineRule="auto"/>
        <w:tabs>
          <w:tab w:leader="none" w:pos="7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case of an actual or proposed Acquisition, income statement items (whether positive or negative) attributable to the property, line of business or the Person subject to such Acquisition shall be included in the results of the Company and its Subsidiaries for such Measurement Period;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46" w:name="page47"/>
    <w:bookmarkEnd w:id="46"/>
    <w:p>
      <w:pPr>
        <w:ind w:right="420" w:firstLine="464"/>
        <w:spacing w:after="0" w:line="277" w:lineRule="auto"/>
        <w:tabs>
          <w:tab w:leader="none" w:pos="701"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accrued during the relevant Measurement Period on, and the principal of, any Indebtedness repaid or to be repaid or refinanced in such transaction shall be excluded from the results of the Company and its Subsidiaries for such Measurement Period;</w:t>
      </w:r>
    </w:p>
    <w:p>
      <w:pPr>
        <w:spacing w:after="0" w:line="170" w:lineRule="exact"/>
        <w:rPr>
          <w:rFonts w:ascii="Arial" w:cs="Arial" w:eastAsia="Arial" w:hAnsi="Arial"/>
          <w:sz w:val="18"/>
          <w:szCs w:val="18"/>
          <w:color w:val="auto"/>
        </w:rPr>
      </w:pPr>
    </w:p>
    <w:p>
      <w:pPr>
        <w:ind w:right="60" w:firstLine="464"/>
        <w:spacing w:after="0" w:line="279" w:lineRule="auto"/>
        <w:tabs>
          <w:tab w:leader="none" w:pos="711"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Company and its Subsidiaries for such Measurement Period; and</w:t>
      </w:r>
    </w:p>
    <w:p>
      <w:pPr>
        <w:spacing w:after="0" w:line="171" w:lineRule="exact"/>
        <w:rPr>
          <w:rFonts w:ascii="Arial" w:cs="Arial" w:eastAsia="Arial" w:hAnsi="Arial"/>
          <w:sz w:val="17"/>
          <w:szCs w:val="17"/>
          <w:color w:val="auto"/>
        </w:rPr>
      </w:pPr>
    </w:p>
    <w:p>
      <w:pPr>
        <w:ind w:right="100" w:firstLine="464"/>
        <w:spacing w:after="0" w:line="285" w:lineRule="auto"/>
        <w:tabs>
          <w:tab w:leader="none" w:pos="701"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the above pro forma calculations shall be made in good faith by a financial or accounting officer of the Company who is a Responsible Officer and may include, for the avoidance of doubt, the amount of synergies and cost savings projected by the Company from actions taken or expected to be taken during the 12-month period following the date of such transaction, net of the amount of actual benefits theretofore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amounts are reasonably identifiable, quantifiable and factually supportable in the good faith judgment of the Company and the Administrative Agent, (ii) such synergies and cost savings are directly attributable to such transaction, (iii) no amounts shall be added pursuant to this clause</w:t>
      </w:r>
    </w:p>
    <w:p>
      <w:pPr>
        <w:spacing w:after="0" w:line="2" w:lineRule="exact"/>
        <w:rPr>
          <w:rFonts w:ascii="Arial" w:cs="Arial" w:eastAsia="Arial" w:hAnsi="Arial"/>
          <w:sz w:val="16"/>
          <w:szCs w:val="16"/>
          <w:color w:val="auto"/>
        </w:rPr>
      </w:pPr>
    </w:p>
    <w:p>
      <w:pPr>
        <w:ind w:firstLine="8"/>
        <w:spacing w:after="0" w:line="254"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extent duplicative of any amounts that are otherwise added back in computing Consolidated EBITDA, whether through a pro forma adjustment or otherwise, with respect to such period and (iv) the aggregate amount of cost savings and synergies added pursuant to this clause (e) for any such period during any such period, shall not exceed fifteen percent (15%) of Consolidated EBITDA for such period, calculated without giving effect to any adjustment pursuant to this clause (e).</w:t>
      </w:r>
    </w:p>
    <w:p>
      <w:pPr>
        <w:spacing w:after="0" w:line="19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means, with respect to any transaction, that such transaction does not cause, create or result in a Default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Equity Interest</w:t>
      </w:r>
      <w:r>
        <w:rPr>
          <w:rFonts w:ascii="Arial" w:cs="Arial" w:eastAsia="Arial" w:hAnsi="Arial"/>
          <w:sz w:val="17"/>
          <w:szCs w:val="17"/>
          <w:color w:val="auto"/>
        </w:rPr>
        <w:t>” means, with respect to any Person, any Equity Interests of such person which are not Disqualified Equity Interests.</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Control Agreement</w:t>
      </w:r>
      <w:r>
        <w:rPr>
          <w:rFonts w:ascii="Arial" w:cs="Arial" w:eastAsia="Arial" w:hAnsi="Arial"/>
          <w:sz w:val="18"/>
          <w:szCs w:val="18"/>
          <w:color w:val="auto"/>
        </w:rPr>
        <w:t>” means an agreement, among the Borrower, a depository institution or securities intermediary and the Administrative Agent, which agreement is in form and substance reasonably acceptable to the Administrative Agent and which provides the Administrative Agent with “control” (as such term is used in Article 9 of the UCC) (or comparable concept under the relevant applicable Law) over the deposit account(s) or securities account(s) described therein.</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any other recipient of any payment to be made by or on account of any obligation of any Loan Party 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thirty (30) day notice period has been waived.</w:t>
      </w:r>
    </w:p>
    <w:p>
      <w:pPr>
        <w:spacing w:after="0" w:line="170"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Lenders having Total Credit Exposures representing more than 50% of the Total Credit Exposures of all Lenders. The Total Credit Exposure of any Defaulting Lender shall be disregarded in determining Required Lenders at any time.</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means at any time Revolving Lenders having Total Revolving Credit Exposures representing more than fifty percent (50%) of the Total Revolving Credit Exposures of all Revolving Lenders. The Total Revolving Credit Exposure of any Defaulting Lender shall be disregarded in determining Required Revolving Lenders at any time.</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Lenders</w:t>
      </w:r>
      <w:r>
        <w:rPr>
          <w:rFonts w:ascii="Arial" w:cs="Arial" w:eastAsia="Arial" w:hAnsi="Arial"/>
          <w:sz w:val="18"/>
          <w:szCs w:val="18"/>
          <w:color w:val="auto"/>
        </w:rPr>
        <w:t>” means, at any time having Total Term Credit Exposures representing more than fifty percent (50%) of the Total Term Credit Exposures of all Term Lenders. The Total Term Credit Exposure of any Defaulting Lender shall be disregarded in determining Required Term Lenders at any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director, authorized director, chief financial officer, treasurer, assistant treasurer or controller of a Loan Party, solely for purposes of the delivery of incumbency certificates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secretary or any assistant secretary of a Loan Party 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appropriate authorization documentation, in form and substance satisfactory to the Administrative Agent.</w:t>
      </w:r>
    </w:p>
    <w:p>
      <w:pPr>
        <w:spacing w:after="0" w:line="19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xml:space="preserve">” means (a) any dividend or other distribution, direct or indirect, on account of any shares (or equivalent) of any class of Equity Interests of the Company or any of its Subsidiaries, now or hereafter outstanding, (b) any redemption, retirement, sinking fund or similar payment, purchase or other acquisition for value, direct or indirect, of any shares (or equivalent) of any class of Equity Interests of the Company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 Notwithstanding the foregoing, (i) the conversion of any Convertible </w:t>
      </w:r>
      <w:r>
        <w:rPr>
          <w:rFonts w:ascii="Arial" w:cs="Arial" w:eastAsia="Arial" w:hAnsi="Arial"/>
          <w:sz w:val="16"/>
          <w:szCs w:val="16"/>
          <w:color w:val="auto"/>
          <w:strike w:val="1"/>
        </w:rPr>
        <w:t>Subordinated</w:t>
      </w:r>
      <w:r>
        <w:rPr>
          <w:rFonts w:ascii="Arial" w:cs="Arial" w:eastAsia="Arial" w:hAnsi="Arial"/>
          <w:sz w:val="16"/>
          <w:szCs w:val="16"/>
          <w:color w:val="auto"/>
        </w:rPr>
        <w:t xml:space="preserve"> Debt Securities into Qualified Equity Interests shall not constitute a Restricted Payment and (ii) any payment with respect to, or early unwind or settlement of, any Permitted Call Spread Swap Agreement shall not constitute a Restricted Payment.</w:t>
      </w:r>
    </w:p>
    <w:p>
      <w:pPr>
        <w:spacing w:after="0" w:line="16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xml:space="preserve">” means a borrowing consisting of simultaneous Revolving Loans of the same Type and, in the case of Eurodollar Rate Loans, having the same Interest Period, made by each of the Revolving Lenders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8" w:name="page49"/>
    <w:bookmarkEnd w:id="48"/>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xml:space="preserve">” means, as to each Revolving Lender, its obligation to make Revolving Loans to the Borrower pursuant to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in an aggregate principal amount at any one time outstanding not to exceed the amount set forth opposite such Lender’s name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Revolving Lenders on the </w:t>
      </w:r>
      <w:r>
        <w:rPr>
          <w:rFonts w:ascii="Arial" w:cs="Arial" w:eastAsia="Arial" w:hAnsi="Arial"/>
          <w:sz w:val="17"/>
          <w:szCs w:val="17"/>
          <w:color w:val="auto"/>
          <w:strike w:val="1"/>
        </w:rPr>
        <w:t>Closing</w:t>
      </w:r>
      <w:r>
        <w:rPr>
          <w:rFonts w:ascii="Arial" w:cs="Arial" w:eastAsia="Arial" w:hAnsi="Arial"/>
          <w:sz w:val="17"/>
          <w:szCs w:val="17"/>
          <w:u w:val="single" w:color="auto"/>
          <w:color w:val="auto"/>
        </w:rPr>
        <w:t>Fifth Amendment Effective</w:t>
      </w:r>
      <w:r>
        <w:rPr>
          <w:rFonts w:ascii="Arial" w:cs="Arial" w:eastAsia="Arial" w:hAnsi="Arial"/>
          <w:sz w:val="17"/>
          <w:szCs w:val="17"/>
          <w:color w:val="auto"/>
        </w:rPr>
        <w:t xml:space="preserve"> Date is $</w:t>
      </w:r>
      <w:r>
        <w:rPr>
          <w:rFonts w:ascii="Arial" w:cs="Arial" w:eastAsia="Arial" w:hAnsi="Arial"/>
          <w:sz w:val="17"/>
          <w:szCs w:val="17"/>
          <w:color w:val="auto"/>
          <w:strike w:val="1"/>
        </w:rPr>
        <w:t>150,000,000</w:t>
      </w:r>
      <w:r>
        <w:rPr>
          <w:rFonts w:ascii="Arial" w:cs="Arial" w:eastAsia="Arial" w:hAnsi="Arial"/>
          <w:sz w:val="17"/>
          <w:szCs w:val="17"/>
          <w:u w:val="single" w:color="auto"/>
          <w:color w:val="auto"/>
        </w:rPr>
        <w:t>25,000,000</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Exposure</w:t>
      </w:r>
      <w:r>
        <w:rPr>
          <w:rFonts w:ascii="Arial" w:cs="Arial" w:eastAsia="Arial" w:hAnsi="Arial"/>
          <w:sz w:val="16"/>
          <w:szCs w:val="16"/>
          <w:color w:val="auto"/>
        </w:rPr>
        <w:t>” means, as to any Lender at any time, the aggregate principal amount at such time of its outstanding Revolving Loans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at any time, the aggregate amount of the Revolving Lenders’ Revolving Commitments at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Increase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2.14(d)</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Lender</w:t>
      </w:r>
      <w:r>
        <w:rPr>
          <w:rFonts w:ascii="Arial" w:cs="Arial" w:eastAsia="Arial" w:hAnsi="Arial"/>
          <w:sz w:val="17"/>
          <w:szCs w:val="17"/>
          <w:color w:val="auto"/>
        </w:rPr>
        <w:t>” means, at any time, (a) so long as any Revolving Commitment is in effect, any Lender that has a Revolving Commitment at such time or (b) if the Revolving Commitments have terminated or expired, any Lender that has a Revolving Loan at such time.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w:t>
      </w:r>
      <w:r>
        <w:rPr>
          <w:rFonts w:ascii="Arial" w:cs="Arial" w:eastAsia="Arial" w:hAnsi="Arial"/>
          <w:sz w:val="18"/>
          <w:szCs w:val="18"/>
          <w:color w:val="auto"/>
        </w:rPr>
        <w:t xml:space="preserve">” means a promissory note made by the Borrower in favor of a Revolving Lender evidencing Revolving Loans made by such Revolving Lender,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“Scheduled Unavailability Date” has the meaning specified in the definition of Eurodollar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w:t>
      </w:r>
      <w:r>
        <w:rPr>
          <w:rFonts w:ascii="Arial" w:cs="Arial" w:eastAsia="Arial" w:hAnsi="Arial"/>
          <w:sz w:val="18"/>
          <w:szCs w:val="18"/>
          <w:color w:val="auto"/>
        </w:rPr>
        <w:t>” means that certain Second Amendment to Credit Agreement dated as of February 20, 2015, by and among the Company, the Guarantors, the Administrative Agent and the Lenders.</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between the any Loan Party and any of its Subsidiaries and any Cash Management Bank.</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interest rate, currency, foreign exchange, or commodity Swap Contract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between any Loan Party and any of its Subsidiaries and any Hedge Bank.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all Obligations and all Additional Secured Obligations.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xml:space="preserve">” means, collectively, the Administrative Agent, the Lenders (including Designated Lenders), the Hedge Banks, the Cash Management Banks, the Indemnitees and each co-agent or sub-agent appointed by the Administrative Agent from time to time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Party Designation Notice</w:t>
      </w:r>
      <w:r>
        <w:rPr>
          <w:rFonts w:ascii="Arial" w:cs="Arial" w:eastAsia="Arial" w:hAnsi="Arial"/>
          <w:sz w:val="18"/>
          <w:szCs w:val="18"/>
          <w:color w:val="auto"/>
        </w:rPr>
        <w:t xml:space="preserve">” means a notice from any Lender or an Affiliate of a Lender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including all amendments thereto and regulations promulgated thereunder.</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Transaction</w:t>
      </w:r>
      <w:r>
        <w:rPr>
          <w:rFonts w:ascii="Arial" w:cs="Arial" w:eastAsia="Arial" w:hAnsi="Arial"/>
          <w:sz w:val="16"/>
          <w:szCs w:val="16"/>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each security and pledge agreement executed in favor of the Administrative Agent by a </w:t>
      </w:r>
      <w:r>
        <w:rPr>
          <w:rFonts w:ascii="Arial" w:cs="Arial" w:eastAsia="Arial" w:hAnsi="Arial"/>
          <w:sz w:val="18"/>
          <w:szCs w:val="18"/>
          <w:color w:val="auto"/>
          <w:strike w:val="1"/>
        </w:rPr>
        <w:t>Borrower</w:t>
      </w:r>
      <w:r>
        <w:rPr>
          <w:rFonts w:ascii="Arial" w:cs="Arial" w:eastAsia="Arial" w:hAnsi="Arial"/>
          <w:sz w:val="18"/>
          <w:szCs w:val="18"/>
          <w:u w:val="single" w:color="auto"/>
          <w:color w:val="auto"/>
        </w:rPr>
        <w:t>Loan Party</w:t>
      </w:r>
      <w:r>
        <w:rPr>
          <w:rFonts w:ascii="Arial" w:cs="Arial" w:eastAsia="Arial" w:hAnsi="Arial"/>
          <w:sz w:val="18"/>
          <w:szCs w:val="18"/>
          <w:color w:val="auto"/>
        </w:rPr>
        <w:t xml:space="preserve"> and accepted and agreed by each other direct Subsidiary of such </w:t>
      </w:r>
      <w:r>
        <w:rPr>
          <w:rFonts w:ascii="Arial" w:cs="Arial" w:eastAsia="Arial" w:hAnsi="Arial"/>
          <w:sz w:val="18"/>
          <w:szCs w:val="18"/>
          <w:color w:val="auto"/>
          <w:strike w:val="1"/>
        </w:rPr>
        <w:t>Borrower</w:t>
      </w:r>
      <w:r>
        <w:rPr>
          <w:rFonts w:ascii="Arial" w:cs="Arial" w:eastAsia="Arial" w:hAnsi="Arial"/>
          <w:sz w:val="18"/>
          <w:szCs w:val="18"/>
          <w:u w:val="single" w:color="auto"/>
          <w:color w:val="auto"/>
        </w:rPr>
        <w:t>Loan Party</w:t>
      </w:r>
      <w:r>
        <w:rPr>
          <w:rFonts w:ascii="Arial" w:cs="Arial" w:eastAsia="Arial" w:hAnsi="Arial"/>
          <w:sz w:val="18"/>
          <w:szCs w:val="18"/>
          <w:color w:val="auto"/>
        </w:rPr>
        <w:t>, in each case in form and substance reasonably satisfactory to the Administrative Agent.</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as of any date of determination, consolidated shareholders’ equity of the Company and its Subsidiaries as of such date, determined in accordance with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means a solvency certificate in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or otherwise,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or otherwise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Loan Party</w:t>
      </w:r>
      <w:r>
        <w:rPr>
          <w:rFonts w:ascii="Arial" w:cs="Arial" w:eastAsia="Arial" w:hAnsi="Arial"/>
          <w:sz w:val="18"/>
          <w:szCs w:val="18"/>
          <w:color w:val="auto"/>
        </w:rPr>
        <w:t xml:space="preserve">” means any Loan Party that is not then an “eligible contract participant” under the Commodity Exchange Act (determined prior to giving effect to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Loan Parties.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50" w:name="page51"/>
    <w:bookmarkEnd w:id="50"/>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 For the avoidance of doubt, the following shall not be deemed a “</w:t>
      </w:r>
      <w:r>
        <w:rPr>
          <w:rFonts w:ascii="Arial" w:cs="Arial" w:eastAsia="Arial" w:hAnsi="Arial"/>
          <w:sz w:val="17"/>
          <w:szCs w:val="17"/>
          <w:u w:val="single" w:color="auto"/>
          <w:color w:val="auto"/>
        </w:rPr>
        <w:t>Swap Contract</w:t>
      </w:r>
      <w:r>
        <w:rPr>
          <w:rFonts w:ascii="Arial" w:cs="Arial" w:eastAsia="Arial" w:hAnsi="Arial"/>
          <w:sz w:val="17"/>
          <w:szCs w:val="17"/>
          <w:color w:val="auto"/>
        </w:rPr>
        <w:t>”: (i) any phantom stock or similar plan (including any stock option plan) providing for payments only on account of services provided by current or former directors, officers, employees or consultants of the Company or the Subsidiaries, (ii) any stock option or warrant agreement for the purchase of Equity Interests of the Company, (iii) the purchase of Equity Interests or Indebtedness (including securities convertible into Equity Interests) of the Company pursuant to delayed delivery contracts or (iv) any of the foregoing to the extent that it constitutes a derivative embedded in a convertible security issued by the Company.</w:t>
      </w:r>
    </w:p>
    <w:p>
      <w:pPr>
        <w:spacing w:after="0" w:line="18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220"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has the meaning set forth in the definition of “Permitted Acquisition.”</w:t>
      </w:r>
    </w:p>
    <w:p>
      <w:pPr>
        <w:spacing w:after="0" w:line="22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w:t>
      </w:r>
      <w:r>
        <w:rPr>
          <w:rFonts w:ascii="Arial" w:cs="Arial" w:eastAsia="Arial" w:hAnsi="Arial"/>
          <w:sz w:val="18"/>
          <w:szCs w:val="18"/>
          <w:color w:val="auto"/>
        </w:rPr>
        <w:t xml:space="preserve">” means a borrowing consisting of simultaneous Term Loans of the same Type and, in the case of Eurodollar Rate Loans, having the same Interest Period made by each of the Term Lenders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w:t>
      </w:r>
      <w:r>
        <w:rPr>
          <w:rFonts w:ascii="Arial" w:cs="Arial" w:eastAsia="Arial" w:hAnsi="Arial"/>
          <w:sz w:val="16"/>
          <w:szCs w:val="16"/>
          <w:color w:val="auto"/>
        </w:rPr>
        <w:t xml:space="preserve">” means, as to each Term Lender, its obligation to make Term Loans to the Borrower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in an aggregate principal amount at any one time outstanding not to exceed the amount set forth opposite such Term Lender’s name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under the caption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51" w:name="page52"/>
    <w:bookmarkEnd w:id="51"/>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 Commitment” or opposite such caption in the Assignment and Assumption pursuant to which such Term Lender becomes a party hereto, as applicable, as such amount may be adjusted from time to time in accordance with this Agreement. The Term Commitment of all of the Term Lenders on the </w:t>
      </w:r>
      <w:r>
        <w:rPr>
          <w:rFonts w:ascii="Arial" w:cs="Arial" w:eastAsia="Arial" w:hAnsi="Arial"/>
          <w:sz w:val="18"/>
          <w:szCs w:val="18"/>
          <w:color w:val="auto"/>
          <w:strike w:val="1"/>
        </w:rPr>
        <w:t>Closing</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Effective</w:t>
      </w:r>
      <w:r>
        <w:rPr>
          <w:rFonts w:ascii="Arial" w:cs="Arial" w:eastAsia="Arial" w:hAnsi="Arial"/>
          <w:sz w:val="18"/>
          <w:szCs w:val="18"/>
          <w:color w:val="auto"/>
        </w:rPr>
        <w:t xml:space="preserve"> Date is $</w:t>
      </w:r>
      <w:r>
        <w:rPr>
          <w:rFonts w:ascii="Arial" w:cs="Arial" w:eastAsia="Arial" w:hAnsi="Arial"/>
          <w:sz w:val="18"/>
          <w:szCs w:val="18"/>
          <w:color w:val="auto"/>
          <w:strike w:val="1"/>
        </w:rPr>
        <w:t>50,000,000</w:t>
      </w:r>
      <w:r>
        <w:rPr>
          <w:rFonts w:ascii="Arial" w:cs="Arial" w:eastAsia="Arial" w:hAnsi="Arial"/>
          <w:sz w:val="18"/>
          <w:szCs w:val="18"/>
          <w:u w:val="single" w:color="auto"/>
          <w:color w:val="auto"/>
        </w:rPr>
        <w:t>65,000,000</w:t>
      </w:r>
      <w:r>
        <w:rPr>
          <w:rFonts w:ascii="Arial" w:cs="Arial" w:eastAsia="Arial" w:hAnsi="Arial"/>
          <w:sz w:val="18"/>
          <w:szCs w:val="18"/>
          <w:color w:val="auto"/>
        </w:rPr>
        <w:t>.</w:t>
      </w:r>
    </w:p>
    <w:p>
      <w:pPr>
        <w:spacing w:after="0" w:line="181"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Facility</w:t>
      </w:r>
      <w:r>
        <w:rPr>
          <w:rFonts w:ascii="Arial" w:cs="Arial" w:eastAsia="Arial" w:hAnsi="Arial"/>
          <w:sz w:val="16"/>
          <w:szCs w:val="16"/>
          <w:color w:val="auto"/>
        </w:rPr>
        <w:t xml:space="preserve">” means, at any time, (a) at any time during the Availability Period in respect of such Facility, the sum of (i) the </w:t>
      </w:r>
      <w:r>
        <w:rPr>
          <w:rFonts w:ascii="Arial" w:cs="Arial" w:eastAsia="Arial" w:hAnsi="Arial"/>
          <w:sz w:val="16"/>
          <w:szCs w:val="16"/>
          <w:u w:val="single" w:color="auto"/>
          <w:color w:val="auto"/>
        </w:rPr>
        <w:t>on or prior to the Fifth</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 Effective Date, the</w:t>
      </w:r>
      <w:r>
        <w:rPr>
          <w:rFonts w:ascii="Arial" w:cs="Arial" w:eastAsia="Arial" w:hAnsi="Arial"/>
          <w:sz w:val="16"/>
          <w:szCs w:val="16"/>
          <w:color w:val="auto"/>
        </w:rPr>
        <w:t xml:space="preserve"> aggregate amount of the Term Commitments at such time</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w:t>
      </w:r>
      <w:r>
        <w:rPr>
          <w:rFonts w:ascii="Arial" w:cs="Arial" w:eastAsia="Arial" w:hAnsi="Arial"/>
          <w:sz w:val="16"/>
          <w:szCs w:val="16"/>
          <w:color w:val="auto"/>
          <w:strike w:val="1"/>
        </w:rPr>
        <w:t>ii) the aggregate principal amount of the Term Loans of all</w:t>
      </w:r>
      <w:r>
        <w:rPr>
          <w:rFonts w:ascii="Arial" w:cs="Arial" w:eastAsia="Arial" w:hAnsi="Arial"/>
          <w:sz w:val="16"/>
          <w:szCs w:val="16"/>
          <w:color w:val="auto"/>
        </w:rPr>
        <w:t xml:space="preserve"> </w:t>
      </w:r>
      <w:r>
        <w:rPr>
          <w:rFonts w:ascii="Arial" w:cs="Arial" w:eastAsia="Arial" w:hAnsi="Arial"/>
          <w:sz w:val="16"/>
          <w:szCs w:val="16"/>
          <w:color w:val="auto"/>
          <w:strike w:val="1"/>
        </w:rPr>
        <w:t>Term Lenders outstanding at such time and (b</w:t>
      </w:r>
      <w:r>
        <w:rPr>
          <w:rFonts w:ascii="Arial" w:cs="Arial" w:eastAsia="Arial" w:hAnsi="Arial"/>
          <w:sz w:val="16"/>
          <w:szCs w:val="16"/>
          <w:u w:val="single" w:color="auto"/>
          <w:color w:val="auto"/>
        </w:rPr>
        <w:t>b</w:t>
      </w:r>
      <w:r>
        <w:rPr>
          <w:rFonts w:ascii="Arial" w:cs="Arial" w:eastAsia="Arial" w:hAnsi="Arial"/>
          <w:sz w:val="16"/>
          <w:szCs w:val="16"/>
          <w:color w:val="auto"/>
        </w:rPr>
        <w:t>) thereafter, the aggregate principal amount of the Term Loans of all Term Lenders outstanding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-377190</wp:posOffset>
            </wp:positionV>
            <wp:extent cx="39992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99230" cy="8890"/>
                    </a:xfrm>
                    <a:prstGeom prst="rect">
                      <a:avLst/>
                    </a:prstGeom>
                    <a:noFill/>
                  </pic:spPr>
                </pic:pic>
              </a:graphicData>
            </a:graphic>
          </wp:anchor>
        </w:drawing>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Lender</w:t>
      </w:r>
      <w:r>
        <w:rPr>
          <w:rFonts w:ascii="Arial" w:cs="Arial" w:eastAsia="Arial" w:hAnsi="Arial"/>
          <w:sz w:val="16"/>
          <w:szCs w:val="16"/>
          <w:color w:val="auto"/>
        </w:rPr>
        <w:t xml:space="preserve">” means (a) at any time on or prior to the </w:t>
      </w:r>
      <w:r>
        <w:rPr>
          <w:rFonts w:ascii="Arial" w:cs="Arial" w:eastAsia="Arial" w:hAnsi="Arial"/>
          <w:sz w:val="16"/>
          <w:szCs w:val="16"/>
          <w:color w:val="auto"/>
          <w:strike w:val="1"/>
        </w:rPr>
        <w:t>Closing</w:t>
      </w:r>
      <w:r>
        <w:rPr>
          <w:rFonts w:ascii="Arial" w:cs="Arial" w:eastAsia="Arial" w:hAnsi="Arial"/>
          <w:sz w:val="16"/>
          <w:szCs w:val="16"/>
          <w:u w:val="single" w:color="auto"/>
          <w:color w:val="auto"/>
        </w:rPr>
        <w:t>Fifth Amendment Effective</w:t>
      </w:r>
      <w:r>
        <w:rPr>
          <w:rFonts w:ascii="Arial" w:cs="Arial" w:eastAsia="Arial" w:hAnsi="Arial"/>
          <w:sz w:val="16"/>
          <w:szCs w:val="16"/>
          <w:color w:val="auto"/>
        </w:rPr>
        <w:t xml:space="preserve"> Date, any Lender that has a Term Commitment at such time</w:t>
      </w:r>
      <w:r>
        <w:rPr>
          <w:rFonts w:ascii="Arial" w:cs="Arial" w:eastAsia="Arial" w:hAnsi="Arial"/>
          <w:sz w:val="16"/>
          <w:szCs w:val="16"/>
          <w:color w:val="auto"/>
          <w:strike w:val="1"/>
        </w:rPr>
        <w:t>,</w:t>
      </w:r>
    </w:p>
    <w:p>
      <w:pPr>
        <w:spacing w:after="0" w:line="46" w:lineRule="exact"/>
        <w:rPr>
          <w:sz w:val="20"/>
          <w:szCs w:val="20"/>
          <w:color w:val="auto"/>
        </w:rPr>
      </w:pPr>
    </w:p>
    <w:p>
      <w:pPr>
        <w:ind w:right="80" w:firstLine="8"/>
        <w:spacing w:after="0" w:line="255" w:lineRule="auto"/>
        <w:tabs>
          <w:tab w:leader="none" w:pos="105" w:val="left"/>
        </w:tabs>
        <w:numPr>
          <w:ilvl w:val="0"/>
          <w:numId w:val="32"/>
        </w:numPr>
        <w:rPr>
          <w:rFonts w:ascii="Arial" w:cs="Arial" w:eastAsia="Arial" w:hAnsi="Arial"/>
          <w:sz w:val="18"/>
          <w:szCs w:val="18"/>
          <w:color w:val="auto"/>
          <w:strike w:val="1"/>
        </w:rPr>
      </w:pPr>
      <w:r>
        <w:rPr>
          <w:rFonts w:ascii="Arial" w:cs="Arial" w:eastAsia="Arial" w:hAnsi="Arial"/>
          <w:sz w:val="18"/>
          <w:szCs w:val="18"/>
          <w:color w:val="auto"/>
          <w:strike w:val="1"/>
        </w:rPr>
        <w:t>b) at any time during the Availability Period in respect of the Term Facility, any Lender that has a Term Commitment or that holds Term Loans at such time and (c</w:t>
      </w:r>
      <w:r>
        <w:rPr>
          <w:rFonts w:ascii="Arial" w:cs="Arial" w:eastAsia="Arial" w:hAnsi="Arial"/>
          <w:sz w:val="18"/>
          <w:szCs w:val="18"/>
          <w:u w:val="single" w:color="auto"/>
          <w:color w:val="auto"/>
          <w:strike w:val="1"/>
        </w:rPr>
        <w:t>b</w:t>
      </w:r>
      <w:r>
        <w:rPr>
          <w:rFonts w:ascii="Arial" w:cs="Arial" w:eastAsia="Arial" w:hAnsi="Arial"/>
          <w:sz w:val="18"/>
          <w:szCs w:val="18"/>
          <w:color w:val="auto"/>
          <w:strike w:val="1"/>
        </w:rPr>
        <w:t>) at any time after the Availability Period in respect of the Term Facility</w:t>
      </w:r>
      <w:r>
        <w:rPr>
          <w:rFonts w:ascii="Arial" w:cs="Arial" w:eastAsia="Arial" w:hAnsi="Arial"/>
          <w:sz w:val="18"/>
          <w:szCs w:val="18"/>
          <w:u w:val="single" w:color="auto"/>
          <w:color w:val="auto"/>
          <w:strike w:val="1"/>
        </w:rPr>
        <w:t>Fifth Amendment Effective Date</w:t>
      </w:r>
      <w:r>
        <w:rPr>
          <w:rFonts w:ascii="Arial" w:cs="Arial" w:eastAsia="Arial" w:hAnsi="Arial"/>
          <w:sz w:val="18"/>
          <w:szCs w:val="18"/>
          <w:color w:val="auto"/>
          <w:strike w:val="1"/>
        </w:rPr>
        <w:t>, any Lender that holds Term Loans at such time.</w:t>
      </w:r>
    </w:p>
    <w:p>
      <w:pPr>
        <w:spacing w:after="0" w:line="19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means </w:t>
      </w:r>
      <w:r>
        <w:rPr>
          <w:rFonts w:ascii="Arial" w:cs="Arial" w:eastAsia="Arial" w:hAnsi="Arial"/>
          <w:sz w:val="18"/>
          <w:szCs w:val="18"/>
          <w:color w:val="auto"/>
          <w:strike w:val="1"/>
        </w:rPr>
        <w:t>an advance made by any Term Lender under the</w:t>
      </w:r>
      <w:r>
        <w:rPr>
          <w:rFonts w:ascii="Arial" w:cs="Arial" w:eastAsia="Arial" w:hAnsi="Arial"/>
          <w:sz w:val="18"/>
          <w:szCs w:val="18"/>
          <w:u w:val="single" w:color="auto"/>
          <w:color w:val="auto"/>
        </w:rPr>
        <w:t>collectively, (a) the Fifth Amendment Term Loan and (b) the Original</w:t>
      </w:r>
      <w:r>
        <w:rPr>
          <w:rFonts w:ascii="Arial" w:cs="Arial" w:eastAsia="Arial" w:hAnsi="Arial"/>
          <w:sz w:val="18"/>
          <w:szCs w:val="18"/>
          <w:color w:val="auto"/>
        </w:rPr>
        <w:t xml:space="preserve"> Term </w:t>
      </w:r>
      <w:r>
        <w:rPr>
          <w:rFonts w:ascii="Arial" w:cs="Arial" w:eastAsia="Arial" w:hAnsi="Arial"/>
          <w:sz w:val="18"/>
          <w:szCs w:val="18"/>
          <w:color w:val="auto"/>
          <w:strike w:val="1"/>
        </w:rPr>
        <w:t>Facility</w:t>
      </w:r>
      <w:r>
        <w:rPr>
          <w:rFonts w:ascii="Arial" w:cs="Arial" w:eastAsia="Arial" w:hAnsi="Arial"/>
          <w:sz w:val="18"/>
          <w:szCs w:val="18"/>
          <w:u w:val="single" w:color="auto"/>
          <w:color w:val="auto"/>
        </w:rPr>
        <w:t>Loan</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u w:val="single" w:color="auto"/>
          <w:color w:val="auto"/>
          <w:strike w:val="1"/>
        </w:rPr>
        <w:t>Term Loan Alternate Fee Date</w:t>
      </w:r>
      <w:r>
        <w:rPr>
          <w:rFonts w:ascii="Arial" w:cs="Arial" w:eastAsia="Arial" w:hAnsi="Arial"/>
          <w:sz w:val="18"/>
          <w:szCs w:val="18"/>
          <w:color w:val="auto"/>
          <w:strike w:val="1"/>
        </w:rPr>
        <w:t>” means July 31, 2016.</w:t>
      </w:r>
    </w:p>
    <w:p>
      <w:pPr>
        <w:spacing w:after="0" w:line="225"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Note</w:t>
      </w:r>
      <w:r>
        <w:rPr>
          <w:rFonts w:ascii="Arial" w:cs="Arial" w:eastAsia="Arial" w:hAnsi="Arial"/>
          <w:sz w:val="18"/>
          <w:szCs w:val="18"/>
          <w:color w:val="auto"/>
        </w:rPr>
        <w:t xml:space="preserve">” means a promissory note made by the Borrower in favor of a Term Lender evidencing Term Loans made by such Term Lender,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strike w:val="1"/>
        </w:rPr>
        <w:t>“</w:t>
      </w:r>
      <w:r>
        <w:rPr>
          <w:rFonts w:ascii="Arial" w:cs="Arial" w:eastAsia="Arial" w:hAnsi="Arial"/>
          <w:sz w:val="18"/>
          <w:szCs w:val="18"/>
          <w:u w:val="single" w:color="auto"/>
          <w:color w:val="auto"/>
          <w:strike w:val="1"/>
        </w:rPr>
        <w:t>Thai 2011 Flooding</w:t>
      </w:r>
      <w:r>
        <w:rPr>
          <w:rFonts w:ascii="Arial" w:cs="Arial" w:eastAsia="Arial" w:hAnsi="Arial"/>
          <w:sz w:val="18"/>
          <w:szCs w:val="18"/>
          <w:color w:val="auto"/>
          <w:strike w:val="1"/>
        </w:rPr>
        <w:t>” means the suspension of all manufacturing in Thailand from October 17, 2011 through November 14, 2011 due to severe flooding, including the closure of the Chokchai facility and related liabilities for losses to customers and insurance gains and losses incurred through the Company’s fiscal year 2013.</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Thai Guarantee License</w:t>
      </w:r>
      <w:r>
        <w:rPr>
          <w:rFonts w:ascii="Arial" w:cs="Arial" w:eastAsia="Arial" w:hAnsi="Arial"/>
          <w:sz w:val="18"/>
          <w:szCs w:val="18"/>
          <w:color w:val="auto"/>
        </w:rPr>
        <w:t>” means a foreign business license issued by the Ministry of Commerce of Thailand in relation to any Guarantee (including the Guaranty) by Fabrinet Thailand or any Thai Material Subsidiary that is subject to the requirement under the Foreign Business Act B.E. 2542 (1999), as amended, to obtain a foreign business license for the issuance of any Guarantee (including the Guaranty).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Thai Guarantor</w:t>
      </w:r>
      <w:r>
        <w:rPr>
          <w:rFonts w:ascii="Arial" w:cs="Arial" w:eastAsia="Arial" w:hAnsi="Arial"/>
          <w:sz w:val="18"/>
          <w:szCs w:val="18"/>
          <w:color w:val="auto"/>
        </w:rPr>
        <w:t>” means any Guarantor incorporated or organized under the Laws of Thailand.</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Thai Manufacturing Facility</w:t>
      </w:r>
      <w:r>
        <w:rPr>
          <w:rFonts w:ascii="Arial" w:cs="Arial" w:eastAsia="Arial" w:hAnsi="Arial"/>
          <w:sz w:val="18"/>
          <w:szCs w:val="18"/>
          <w:color w:val="auto"/>
        </w:rPr>
        <w:t xml:space="preserve">” means the building and improvements located at </w:t>
      </w:r>
      <w:r>
        <w:rPr>
          <w:rFonts w:ascii="Arial" w:cs="Arial" w:eastAsia="Arial" w:hAnsi="Arial"/>
          <w:sz w:val="18"/>
          <w:szCs w:val="18"/>
          <w:color w:val="auto"/>
          <w:strike w:val="1"/>
        </w:rPr>
        <w:t>Building 7, which shall be adjacent to No. 5/15 Moo 6, Klong Nung</w:t>
      </w:r>
      <w:r>
        <w:rPr>
          <w:rFonts w:ascii="Arial" w:cs="Arial" w:eastAsia="Arial" w:hAnsi="Arial"/>
          <w:sz w:val="18"/>
          <w:szCs w:val="18"/>
          <w:color w:val="auto"/>
        </w:rPr>
        <w:t xml:space="preserve"> </w:t>
      </w:r>
      <w:r>
        <w:rPr>
          <w:rFonts w:ascii="Arial" w:cs="Arial" w:eastAsia="Arial" w:hAnsi="Arial"/>
          <w:sz w:val="18"/>
          <w:szCs w:val="18"/>
          <w:color w:val="auto"/>
          <w:strike w:val="1"/>
        </w:rPr>
        <w:t>Sub-district, Klongluang District, Pathumthani Province 12120</w:t>
      </w:r>
      <w:r>
        <w:rPr>
          <w:rFonts w:ascii="Arial" w:cs="Arial" w:eastAsia="Arial" w:hAnsi="Arial"/>
          <w:sz w:val="18"/>
          <w:szCs w:val="18"/>
          <w:u w:val="single" w:color="auto"/>
          <w:color w:val="auto"/>
        </w:rPr>
        <w:t>Hemaraj Eastern Seaboard Industrial Estate 2, Highway 331, Si Racha District, Chon Buri</w:t>
      </w:r>
      <w:r>
        <w:rPr>
          <w:rFonts w:ascii="Arial" w:cs="Arial" w:eastAsia="Arial" w:hAnsi="Arial"/>
          <w:sz w:val="18"/>
          <w:szCs w:val="18"/>
          <w:color w:val="auto"/>
        </w:rPr>
        <w:t>, Thailand.</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Thai Material Subsidiary</w:t>
      </w:r>
      <w:r>
        <w:rPr>
          <w:rFonts w:ascii="Arial" w:cs="Arial" w:eastAsia="Arial" w:hAnsi="Arial"/>
          <w:sz w:val="18"/>
          <w:szCs w:val="18"/>
          <w:color w:val="auto"/>
        </w:rPr>
        <w:t>” means any Material Subsidiary incorporated or organized under the Laws of Thailand, including, without limitation, Fabrinet Thailand.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$10,000,000.</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strike w:val="1"/>
        </w:rPr>
        <w:t>“</w:t>
      </w:r>
      <w:r>
        <w:rPr>
          <w:rFonts w:ascii="Arial" w:cs="Arial" w:eastAsia="Arial" w:hAnsi="Arial"/>
          <w:sz w:val="18"/>
          <w:szCs w:val="18"/>
          <w:u w:val="single" w:color="auto"/>
          <w:color w:val="auto"/>
          <w:strike w:val="1"/>
        </w:rPr>
        <w:t>TMB Term Indebtedness</w:t>
      </w:r>
      <w:r>
        <w:rPr>
          <w:rFonts w:ascii="Arial" w:cs="Arial" w:eastAsia="Arial" w:hAnsi="Arial"/>
          <w:sz w:val="18"/>
          <w:szCs w:val="18"/>
          <w:color w:val="auto"/>
          <w:strike w:val="1"/>
        </w:rPr>
        <w:t>” means the Indebtedness of Fabrinet Thailand owing to TMB Bank Public Company Limited, in an aggregate amount not to exceed $18,000,000, which is secured by a mortgage on the Fabrinet Thailand Real Property, which such Indebtedness shall not be extended, renewed or refinanced.</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unused Commitments, Revolving Exposure and Outstanding Amount of all Term Loans of such Lender at such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52" w:name="page53"/>
    <w:bookmarkEnd w:id="52"/>
    <w:p>
      <w:pPr>
        <w:ind w:right="6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Total Revolving Credit Exposure</w:t>
      </w:r>
      <w:r>
        <w:rPr>
          <w:rFonts w:ascii="Arial" w:cs="Arial" w:eastAsia="Arial" w:hAnsi="Arial"/>
          <w:sz w:val="18"/>
          <w:szCs w:val="18"/>
          <w:color w:val="auto"/>
        </w:rPr>
        <w:t>” means, as to any Revolving Lender at any time, the unused Commitments and Revolving Exposure of such Revolving Lender at such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Outstandings</w:t>
      </w:r>
      <w:r>
        <w:rPr>
          <w:rFonts w:ascii="Arial" w:cs="Arial" w:eastAsia="Arial" w:hAnsi="Arial"/>
          <w:sz w:val="18"/>
          <w:szCs w:val="18"/>
          <w:color w:val="auto"/>
        </w:rPr>
        <w:t>” means the aggregate Outstanding Amount of all Revolving Loans.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Term Credit Exposure</w:t>
      </w:r>
      <w:r>
        <w:rPr>
          <w:rFonts w:ascii="Arial" w:cs="Arial" w:eastAsia="Arial" w:hAnsi="Arial"/>
          <w:sz w:val="16"/>
          <w:szCs w:val="16"/>
          <w:color w:val="auto"/>
        </w:rPr>
        <w:t>” means, as to any Term Lender at any time, the Outstanding Amount of all Term Loans of such Term Lender at such time.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 Party</w:t>
      </w:r>
      <w:r>
        <w:rPr>
          <w:rFonts w:ascii="Arial" w:cs="Arial" w:eastAsia="Arial" w:hAnsi="Arial"/>
          <w:sz w:val="18"/>
          <w:szCs w:val="18"/>
          <w:color w:val="auto"/>
        </w:rPr>
        <w:t>” means any Loan Party that is organized under the laws of one of the states of the United States.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u w:val="single" w:color="auto"/>
          <w:color w:val="auto"/>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EU-Bail-In Legislation Schedule.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Other Interpretive Provisions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25" w:lineRule="exact"/>
        <w:rPr>
          <w:sz w:val="20"/>
          <w:szCs w:val="20"/>
          <w:color w:val="auto"/>
        </w:rPr>
      </w:pPr>
    </w:p>
    <w:p>
      <w:pPr>
        <w:ind w:firstLine="464"/>
        <w:spacing w:after="0" w:line="289" w:lineRule="auto"/>
        <w:tabs>
          <w:tab w:leader="none" w:pos="7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53" w:name="page54"/>
    <w:bookmarkEnd w:id="53"/>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93" w:lineRule="exact"/>
        <w:rPr>
          <w:sz w:val="20"/>
          <w:szCs w:val="20"/>
          <w:color w:val="auto"/>
        </w:rPr>
      </w:pPr>
    </w:p>
    <w:p>
      <w:pPr>
        <w:ind w:right="220" w:firstLine="464"/>
        <w:spacing w:after="0" w:line="277"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right="240" w:firstLine="464"/>
        <w:spacing w:after="0" w:line="277" w:lineRule="auto"/>
        <w:tabs>
          <w:tab w:leader="none" w:pos="7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ind w:right="480" w:firstLine="464"/>
        <w:spacing w:after="0" w:line="342" w:lineRule="auto"/>
        <w:tabs>
          <w:tab w:leader="none" w:pos="7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and all references to “Borrower” regardless of whether preceded by the term a, any, each of, all, and/or, or any other similar term shall be deemed to refer, as the context requires, to each and every (and/or any one or all) parties constituting a Borrower, individually and/or in the aggregate.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Accounting Terms</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93" w:lineRule="auto"/>
        <w:tabs>
          <w:tab w:leader="none" w:pos="70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64" w:lineRule="exact"/>
        <w:rPr>
          <w:rFonts w:ascii="Arial" w:cs="Arial" w:eastAsia="Arial" w:hAnsi="Arial"/>
          <w:sz w:val="16"/>
          <w:szCs w:val="16"/>
          <w:color w:val="auto"/>
        </w:rPr>
      </w:pPr>
    </w:p>
    <w:p>
      <w:pPr>
        <w:ind w:right="60" w:firstLine="464"/>
        <w:spacing w:after="0" w:line="270" w:lineRule="auto"/>
        <w:tabs>
          <w:tab w:leader="none" w:pos="711"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81" w:lineRule="exact"/>
        <w:rPr>
          <w:rFonts w:ascii="Arial" w:cs="Arial" w:eastAsia="Arial" w:hAnsi="Arial"/>
          <w:sz w:val="17"/>
          <w:szCs w:val="17"/>
          <w:color w:val="auto"/>
        </w:rPr>
      </w:pPr>
    </w:p>
    <w:p>
      <w:pPr>
        <w:jc w:val="both"/>
        <w:ind w:right="120" w:firstLine="464"/>
        <w:spacing w:after="0" w:line="259" w:lineRule="auto"/>
        <w:tabs>
          <w:tab w:leader="none" w:pos="70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54" w:name="page55"/>
    <w:bookmarkEnd w:id="54"/>
    <w:p>
      <w:pPr>
        <w:ind w:right="60" w:firstLine="464"/>
        <w:spacing w:after="0" w:line="286" w:lineRule="auto"/>
        <w:tabs>
          <w:tab w:leader="none" w:pos="711"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 Forma Treatment</w:t>
      </w:r>
      <w:r>
        <w:rPr>
          <w:rFonts w:ascii="Arial" w:cs="Arial" w:eastAsia="Arial" w:hAnsi="Arial"/>
          <w:sz w:val="17"/>
          <w:szCs w:val="17"/>
          <w:color w:val="auto"/>
        </w:rPr>
        <w:t xml:space="preserve">. Each Disposition of all or substantially all of a line of business, and each Acquisition, by the Company and its Subsidiaries that is consummated during any Measurement Period shall, for purposes of determining compliance with the financial covenants set forth in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and for purposes of determining the Applicable Rate, be given Pro Forma Effect as of the first day of such Measurement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Rounding</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Times of Day</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all references herein to times of day shall be references to Eastern time (daylight or standard, as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UCC Terms</w:t>
      </w:r>
      <w:r>
        <w:rPr>
          <w:rFonts w:ascii="Arial" w:cs="Arial" w:eastAsia="Arial" w:hAnsi="Arial"/>
          <w:sz w:val="18"/>
          <w:szCs w:val="18"/>
          <w:b w:val="1"/>
          <w:bCs w:val="1"/>
          <w:color w:val="auto"/>
        </w:rPr>
        <w:t>.</w:t>
      </w:r>
    </w:p>
    <w:p>
      <w:pPr>
        <w:spacing w:after="0" w:line="121"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b w:val="1"/>
          <w:bCs w:val="1"/>
          <w:u w:val="single" w:color="auto"/>
          <w:color w:val="auto"/>
        </w:rPr>
        <w:t>Rates</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COMMITMENTS AND CREDIT EXTENSIONS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u w:val="single" w:color="auto"/>
          <w:color w:val="auto"/>
        </w:rPr>
        <w:t>Loans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Term Borrowing</w:t>
      </w:r>
      <w:r>
        <w:rPr>
          <w:rFonts w:ascii="Arial" w:cs="Arial" w:eastAsia="Arial" w:hAnsi="Arial"/>
          <w:sz w:val="16"/>
          <w:szCs w:val="16"/>
          <w:color w:val="auto"/>
        </w:rPr>
        <w:t xml:space="preserve">. Subject to the terms and conditions set forth herein, each Term Lender severally agrees to make </w:t>
      </w:r>
      <w:r>
        <w:rPr>
          <w:rFonts w:ascii="Arial" w:cs="Arial" w:eastAsia="Arial" w:hAnsi="Arial"/>
          <w:sz w:val="16"/>
          <w:szCs w:val="16"/>
          <w:u w:val="single" w:color="auto"/>
          <w:color w:val="auto"/>
        </w:rPr>
        <w:t>term loans (such term loans,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collectively, the “Original Term</w:t>
      </w:r>
      <w:r>
        <w:rPr>
          <w:rFonts w:ascii="Arial" w:cs="Arial" w:eastAsia="Arial" w:hAnsi="Arial"/>
          <w:sz w:val="16"/>
          <w:szCs w:val="16"/>
          <w:color w:val="auto"/>
        </w:rPr>
        <w:t xml:space="preserve"> </w:t>
      </w:r>
      <w:r>
        <w:rPr>
          <w:rFonts w:ascii="Arial" w:cs="Arial" w:eastAsia="Arial" w:hAnsi="Arial"/>
          <w:sz w:val="16"/>
          <w:szCs w:val="16"/>
          <w:color w:val="auto"/>
          <w:strike w:val="1"/>
        </w:rPr>
        <w:t>Loans</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to the Borrower, in Dollars, from time to time, on any Business Day during the Availability Period for the Term Facility, </w:t>
      </w:r>
      <w:r>
        <w:rPr>
          <w:rFonts w:ascii="Arial" w:cs="Arial" w:eastAsia="Arial" w:hAnsi="Arial"/>
          <w:sz w:val="16"/>
          <w:szCs w:val="16"/>
          <w:u w:val="single" w:color="auto"/>
          <w:color w:val="auto"/>
        </w:rPr>
        <w:t>in an amount equal to such Lender’s Applicable Percentage of $50,000,000.</w:t>
      </w:r>
      <w:r>
        <w:rPr>
          <w:rFonts w:ascii="Arial" w:cs="Arial" w:eastAsia="Arial" w:hAnsi="Arial"/>
          <w:sz w:val="13"/>
          <w:szCs w:val="13"/>
          <w:color w:val="auto"/>
        </w:rPr>
        <w:t>1</w:t>
      </w:r>
      <w:r>
        <w:rPr>
          <w:rFonts w:ascii="Arial" w:cs="Arial" w:eastAsia="Arial" w:hAnsi="Arial"/>
          <w:sz w:val="16"/>
          <w:szCs w:val="16"/>
          <w:color w:val="auto"/>
        </w:rPr>
        <w:t xml:space="preserve"> </w:t>
      </w:r>
      <w:r>
        <w:rPr>
          <w:rFonts w:ascii="Arial" w:cs="Arial" w:eastAsia="Arial" w:hAnsi="Arial"/>
          <w:sz w:val="16"/>
          <w:szCs w:val="16"/>
          <w:u w:val="single" w:color="auto"/>
          <w:color w:val="auto"/>
        </w:rPr>
        <w:t>As of the Fifth Amendment Effective Date, $26,200,000 of the 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 Loan was outstanding and $39,000,000 in Revolving Loans were outstanding prior to being refinanced by the Fifth Amendment Term Loan. Subject to the terms and conditions set forth herein, each Term Lender severally agrees to make a single loan to the Borrower, in Dollars, on the Fifth Amendment Effective Date,</w:t>
      </w:r>
      <w:r>
        <w:rPr>
          <w:rFonts w:ascii="Arial" w:cs="Arial" w:eastAsia="Arial" w:hAnsi="Arial"/>
          <w:sz w:val="16"/>
          <w:szCs w:val="16"/>
          <w:color w:val="auto"/>
        </w:rPr>
        <w:t xml:space="preserve"> in an aggregate amount not to exceed such Term Lender’s Applicable Percentage of the Term Facility. Each Term Borrowing shall consist of Term Loans made simultaneously by the Term Lenders in accordance with their respective Applicable Percentage of the Term Facility. Term Borrowings repaid or prepaid may not be reborrowed. Term Loans may be Base Rate Loans or Eurodollar Rate Loans, as further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u w:val="single" w:color="auto"/>
          <w:color w:val="auto"/>
        </w:rPr>
        <w:t>WSGR: This number is meant to reference the Original Term Loan that was made over a series of draws as part of the 2014 facility.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55" w:name="page56"/>
    <w:bookmarkEnd w:id="55"/>
    <w:p>
      <w:pPr>
        <w:ind w:right="40" w:firstLine="464"/>
        <w:spacing w:after="0" w:line="272" w:lineRule="auto"/>
        <w:tabs>
          <w:tab w:leader="none" w:pos="71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Borrowings</w:t>
      </w:r>
      <w:r>
        <w:rPr>
          <w:rFonts w:ascii="Arial" w:cs="Arial" w:eastAsia="Arial" w:hAnsi="Arial"/>
          <w:sz w:val="17"/>
          <w:szCs w:val="17"/>
          <w:color w:val="auto"/>
        </w:rPr>
        <w:t>. Subject to the terms and conditions set forth herein, each Revolving Lender severally agrees to make loans (each such loan, a “</w:t>
      </w:r>
      <w:r>
        <w:rPr>
          <w:rFonts w:ascii="Arial" w:cs="Arial" w:eastAsia="Arial" w:hAnsi="Arial"/>
          <w:sz w:val="17"/>
          <w:szCs w:val="17"/>
          <w:u w:val="single" w:color="auto"/>
          <w:color w:val="auto"/>
        </w:rPr>
        <w:t>Revolving Loan</w:t>
      </w:r>
      <w:r>
        <w:rPr>
          <w:rFonts w:ascii="Arial" w:cs="Arial" w:eastAsia="Arial" w:hAnsi="Arial"/>
          <w:sz w:val="17"/>
          <w:szCs w:val="17"/>
          <w:color w:val="auto"/>
        </w:rPr>
        <w:t xml:space="preserve">”) to the Borrower, in Dollars, from time to time, on any Business Day during the Availability Period for the Revolving Facility in an aggregate amount not to exceed at any time outstanding the amount of such Lender’s Revolving Commitment;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after giving effect to any Revolving Borrowing, (i) the Total Revolving Outstandings shall not exceed the Revolving Facility, and (ii) the Revolving Exposure of any Lender shall not exceed such Revolving Lender’s Revolving Commitment. Within the limits of each Revolving Lender’s Revolving Commitment, and subject to the other terms and conditions hereof, the Borrower may borrow Revolving Loans, prepay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2.01(b)</w:t>
      </w:r>
      <w:r>
        <w:rPr>
          <w:rFonts w:ascii="Arial" w:cs="Arial" w:eastAsia="Arial" w:hAnsi="Arial"/>
          <w:sz w:val="17"/>
          <w:szCs w:val="17"/>
          <w:color w:val="auto"/>
        </w:rPr>
        <w:t>. Revolving Loans may be Base Rate Loans or Eurodollar Rate Loans, as further provided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b w:val="1"/>
          <w:bCs w:val="1"/>
          <w:u w:val="single" w:color="auto"/>
          <w:color w:val="auto"/>
        </w:rPr>
        <w:t>Credit Extensions, Conversions and Continuations of Loans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64"/>
        <w:spacing w:after="0" w:line="267" w:lineRule="auto"/>
        <w:tabs>
          <w:tab w:leader="none" w:pos="70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Notice of Credit Extension</w:t>
      </w:r>
      <w:r>
        <w:rPr>
          <w:rFonts w:ascii="Arial" w:cs="Arial" w:eastAsia="Arial" w:hAnsi="Arial"/>
          <w:sz w:val="17"/>
          <w:szCs w:val="17"/>
          <w:color w:val="auto"/>
        </w:rPr>
        <w:t xml:space="preserve">. Each Credit Extension, each conversion of Loans from one Type to the other, and each continuation of Eurodollar Rate Loans shall be made upon the Borrower’s irrevocable notice to the Administrative Agent, which may be given by: (A) telephone or (B) a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immediately by delivery to the Administrative Agent of a Loan Notice. Each such Loan Notice must be received by the Administrative Agent not later than 11:00 a.m. (i) three (3) Business Days prior to the requested date of any Credit Extension of, conversion to or continuation of Eurodollar Rate Loans or of any conversion of Eurodollar Rate Loans to Base Rate Loans and (ii) on the requested date of any Credit Extension of Base Rate Loans. Each Credit Extension of, conversion to or continuation of Eurodollar Rate Loans shall be in a minimum principal amount of $1,000,000 (or, in connection with any conversion or continuation of a Term Loan, if less, the entire principal thereof then outstanding). Except as provided in </w:t>
      </w:r>
      <w:r>
        <w:rPr>
          <w:rFonts w:ascii="Arial" w:cs="Arial" w:eastAsia="Arial" w:hAnsi="Arial"/>
          <w:sz w:val="17"/>
          <w:szCs w:val="17"/>
          <w:u w:val="single" w:color="auto"/>
          <w:color w:val="auto"/>
        </w:rPr>
        <w:t>Section 2.04(c)</w:t>
      </w:r>
      <w:r>
        <w:rPr>
          <w:rFonts w:ascii="Arial" w:cs="Arial" w:eastAsia="Arial" w:hAnsi="Arial"/>
          <w:sz w:val="17"/>
          <w:szCs w:val="17"/>
          <w:color w:val="auto"/>
        </w:rPr>
        <w:t>, each Credit Extension of or conversion to Base Rate Loans shall be in a minimum principal amount of $500,000 (or, in connection with any conversion or continuation of a Term Loan, if less, the entire principal thereof then outstanding). Each Loan Notice and each telephonic notice shall specify (A) the applicable Facility and whether the Borrower is requesting a Credit Extension, a conversion of Loans from one Type to the other, or a continuation of Loans, as the case may be, under such Facility, (B) the requested date of the Credit Extension, conversion or continuation, as the case may be (which shall be a Business Day), (C) the principal amount of Loans to be borrowed, converted or continued, (D) the Type of Loans to be borrowed or to which existing Loans are to be converted, (E) if applicable, the duration of the Interest Period with respect thereto and (F) if applicable, the Designated Borrower.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Credit Extension of, conversion to, or continuation of Eurodollar Rate Loans in any such Loan Notice, but fails to specify an Interest Period, it will be deemed to have specified an Interest Period of one (1) month.</w:t>
      </w:r>
    </w:p>
    <w:p>
      <w:pPr>
        <w:spacing w:after="0" w:line="191" w:lineRule="exact"/>
        <w:rPr>
          <w:rFonts w:ascii="Arial" w:cs="Arial" w:eastAsia="Arial" w:hAnsi="Arial"/>
          <w:sz w:val="17"/>
          <w:szCs w:val="17"/>
          <w:color w:val="auto"/>
        </w:rPr>
      </w:pPr>
    </w:p>
    <w:p>
      <w:pPr>
        <w:ind w:firstLine="464"/>
        <w:spacing w:after="0" w:line="270" w:lineRule="auto"/>
        <w:tabs>
          <w:tab w:leader="none" w:pos="71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Advances</w:t>
      </w:r>
      <w:r>
        <w:rPr>
          <w:rFonts w:ascii="Arial" w:cs="Arial" w:eastAsia="Arial" w:hAnsi="Arial"/>
          <w:sz w:val="17"/>
          <w:szCs w:val="17"/>
          <w:color w:val="auto"/>
        </w:rPr>
        <w:t xml:space="preserve">. 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Base Rate Loans described in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In the case of a Credit Extension,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Credit Extension is the initial Credit Extension, </w:t>
      </w:r>
      <w:r>
        <w:rPr>
          <w:rFonts w:ascii="Arial" w:cs="Arial" w:eastAsia="Arial" w:hAnsi="Arial"/>
          <w:sz w:val="17"/>
          <w:szCs w:val="17"/>
          <w:u w:val="single" w:color="auto"/>
          <w:color w:val="auto"/>
        </w:rPr>
        <w:t>Section 4.01</w:t>
      </w:r>
      <w:r>
        <w:rPr>
          <w:rFonts w:ascii="Arial" w:cs="Arial" w:eastAsia="Arial" w:hAnsi="Arial"/>
          <w:sz w:val="17"/>
          <w:szCs w:val="17"/>
          <w:color w:val="auto"/>
        </w:rPr>
        <w:t>),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56" w:name="page57"/>
    <w:bookmarkEnd w:id="56"/>
    <w:p>
      <w:pPr>
        <w:ind w:right="60" w:firstLine="464"/>
        <w:spacing w:after="0" w:line="259" w:lineRule="auto"/>
        <w:tabs>
          <w:tab w:leader="none" w:pos="70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Eurodollar Rate Loans</w:t>
      </w:r>
      <w:r>
        <w:rPr>
          <w:rFonts w:ascii="Arial" w:cs="Arial" w:eastAsia="Arial" w:hAnsi="Arial"/>
          <w:sz w:val="18"/>
          <w:szCs w:val="18"/>
          <w:color w:val="auto"/>
        </w:rPr>
        <w:t>. 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 and the Required Lenders may demand that any or all of the outstanding Eurodollar Rate Loans be converted immediately to Base Rate Loans.</w:t>
      </w:r>
    </w:p>
    <w:p>
      <w:pPr>
        <w:spacing w:after="0" w:line="186" w:lineRule="exact"/>
        <w:rPr>
          <w:rFonts w:ascii="Arial" w:cs="Arial" w:eastAsia="Arial" w:hAnsi="Arial"/>
          <w:sz w:val="18"/>
          <w:szCs w:val="18"/>
          <w:color w:val="auto"/>
        </w:rPr>
      </w:pPr>
    </w:p>
    <w:p>
      <w:pPr>
        <w:ind w:right="40" w:firstLine="464"/>
        <w:spacing w:after="0" w:line="259"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 of Interest Rates</w:t>
      </w:r>
      <w:r>
        <w:rPr>
          <w:rFonts w:ascii="Arial" w:cs="Arial" w:eastAsia="Arial" w:hAnsi="Arial"/>
          <w:sz w:val="18"/>
          <w:szCs w:val="18"/>
          <w:color w:val="auto"/>
        </w:rPr>
        <w:t>. 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86" w:lineRule="exact"/>
        <w:rPr>
          <w:rFonts w:ascii="Arial" w:cs="Arial" w:eastAsia="Arial" w:hAnsi="Arial"/>
          <w:sz w:val="18"/>
          <w:szCs w:val="18"/>
          <w:color w:val="auto"/>
        </w:rPr>
      </w:pPr>
    </w:p>
    <w:p>
      <w:pPr>
        <w:ind w:right="360" w:firstLine="464"/>
        <w:spacing w:after="0" w:line="259" w:lineRule="auto"/>
        <w:tabs>
          <w:tab w:leader="none" w:pos="70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Interest Periods</w:t>
      </w:r>
      <w:r>
        <w:rPr>
          <w:rFonts w:ascii="Arial" w:cs="Arial" w:eastAsia="Arial" w:hAnsi="Arial"/>
          <w:sz w:val="18"/>
          <w:szCs w:val="18"/>
          <w:color w:val="auto"/>
        </w:rPr>
        <w:t>. After giving effect to all Term Borrowings, all conversions of Term Loans from one Type to the other, and all continuations of Term Loans as the same Type, there shall not be more than five (5) Interest Periods in effect in respect of the Term Facility. After giving effect to all Revolving Borrowings, all conversions of Revolving Loans from one Type to the other, and all continuations of Revolving Loans as the same Type, there shall not be more than five (5) Interest Periods in effect in respect of the Revolving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b w:val="1"/>
          <w:bCs w:val="1"/>
          <w:u w:val="single" w:color="auto"/>
          <w:color w:val="auto"/>
        </w:rPr>
        <w:t>Prepayments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64"/>
        <w:spacing w:after="0" w:line="286" w:lineRule="auto"/>
        <w:tabs>
          <w:tab w:leader="none" w:pos="701"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may, upon notice to the Administrative Agent pursuant to delivery to the Administrative Agent of a Notice of Loan Prepayment, at any time or from time to time voluntarily prepay Term Loans and Revolving Loans in whole or in part without premium or penalty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by the Administrative Agent, (i) such notice must be received by the Administrative Agent not later than 11:00 a.m. (1) three (3) Business Days prior to any date of prepayment of Eurodollar Rate Loans and (ii) on the date of prepayment of Base Rate Loans;</w:t>
      </w:r>
    </w:p>
    <w:p>
      <w:pPr>
        <w:spacing w:after="0" w:line="1" w:lineRule="exact"/>
        <w:rPr>
          <w:rFonts w:ascii="Arial" w:cs="Arial" w:eastAsia="Arial" w:hAnsi="Arial"/>
          <w:sz w:val="16"/>
          <w:szCs w:val="16"/>
          <w:color w:val="auto"/>
        </w:rPr>
      </w:pPr>
    </w:p>
    <w:p>
      <w:pPr>
        <w:ind w:firstLine="8"/>
        <w:spacing w:after="0" w:line="267" w:lineRule="auto"/>
        <w:tabs>
          <w:tab w:leader="none" w:pos="29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any prepayment of Eurodollar Rate Loans shall be in a minimum principal amount of $1,000,000 (or, if less, the entire principal amount thereof then outstanding); and (B) any prepayment of Base Rate Loans shall be in a minimum principal amount of $500,000 (or,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Loan Prepayment delivered by the Borrower may state that such notice is conditioned upon the effectiveness of other credit facilities or capital raising or the occurrence of a Change of Control or the occurrence of any other transaction, in which case such notice may be revoked by the Borrower (by notice to the Administrative Agent on or prior to the specified effective date) if such condition is not satisfied, and upon such revocation according to the foregoing terms the Borrower shall not be required to make the prepayment specified in the Notice of Loan Prepayment. Any prepayment of principal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Each prepayment of the outstanding Term Loans pursuant to this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shall be applied to the principal repayment of installments thereof in such order as the Borrower may direct. Subject to </w:t>
      </w:r>
      <w:r>
        <w:rPr>
          <w:rFonts w:ascii="Arial" w:cs="Arial" w:eastAsia="Arial" w:hAnsi="Arial"/>
          <w:sz w:val="17"/>
          <w:szCs w:val="17"/>
          <w:u w:val="single" w:color="auto"/>
          <w:color w:val="auto"/>
        </w:rPr>
        <w:t>Section 2.12</w:t>
      </w:r>
      <w:r>
        <w:rPr>
          <w:rFonts w:ascii="Arial" w:cs="Arial" w:eastAsia="Arial" w:hAnsi="Arial"/>
          <w:sz w:val="17"/>
          <w:szCs w:val="17"/>
          <w:color w:val="auto"/>
        </w:rPr>
        <w:t>, such prepayments shall be paid to the Lenders in accordance with their respective Applicable Percentages in respect of each of the relevant Facilities.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57" w:name="page58"/>
    <w:bookmarkEnd w:id="57"/>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Mandatory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380" w:firstLine="443"/>
        <w:spacing w:after="0" w:line="264" w:lineRule="auto"/>
        <w:tabs>
          <w:tab w:leader="none" w:pos="1113"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Revolving Outstandings</w:t>
      </w:r>
      <w:r>
        <w:rPr>
          <w:rFonts w:ascii="Arial" w:cs="Arial" w:eastAsia="Arial" w:hAnsi="Arial"/>
          <w:sz w:val="18"/>
          <w:szCs w:val="18"/>
          <w:color w:val="auto"/>
        </w:rPr>
        <w:t>. If for any reason the Total Revolving Outstandings at any time exceed the Revolving Facility at such time, the Borrower shall immediately prepay Revolving Loans (together with all accrued but unpaid interest thereon) in an aggregate amount equal to such excess.</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163"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Application of Other Payments</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prepayments of the Revolving Facility made pursuant to this </w:t>
      </w:r>
      <w:r>
        <w:rPr>
          <w:rFonts w:ascii="Arial" w:cs="Arial" w:eastAsia="Arial" w:hAnsi="Arial"/>
          <w:sz w:val="18"/>
          <w:szCs w:val="18"/>
          <w:u w:val="single" w:color="auto"/>
          <w:color w:val="auto"/>
        </w:rPr>
        <w:t>Section 2.03(b)</w:t>
      </w:r>
      <w:r>
        <w:rPr>
          <w:rFonts w:ascii="Arial" w:cs="Arial" w:eastAsia="Arial" w:hAnsi="Arial"/>
          <w:sz w:val="18"/>
          <w:szCs w:val="18"/>
          <w:color w:val="auto"/>
        </w:rPr>
        <w:t>, shall be applied to the outstanding Revolving Loans.</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Within the parameters of the applications set forth above, prepayments pursuant to this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shall be applied first to Base Rate Loans and then to Eurodollar Rate Loans in direct order of Interest Period maturities. All prepayments under this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shall be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but otherwise without premium or penalty, and shall be accompanied by interest on the principal amount prepaid to but excluding the date of prepayment.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b w:val="1"/>
          <w:bCs w:val="1"/>
          <w:u w:val="single" w:color="auto"/>
          <w:color w:val="auto"/>
        </w:rPr>
        <w:t>Termination or Reduction of Commitments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88" w:lineRule="auto"/>
        <w:tabs>
          <w:tab w:leader="none" w:pos="70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may, upon notice to the Administrative Agent, terminate the Revolving Facility, or from time to time permanently reduce the Revolving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 than 11:00 a.m. five (5) Business Days prior to the date of termination or reduction, (ii) any such partial reduction shall be in an aggregate amount of $10,000,000 or any whole multiple of $1,000,000 in excess thereof and (iii) the Borrower shall not terminate or reduce the Revolving Facility if, after giving effect thereto and to any concurrent prepayments hereunder, the Total Revolving Outstandings would exceed the Revolving Facility. In addition, during the Availability Period in respect of the Term Facility, the Borrower may, upon notice to the Administrative Agent as set forth above, from time to time terminate (in whole or in part) the unused portion of the aggregate Term Commitments. Any such notice with respect to the Revolving Facility or the Term Facility may state that such notice is conditioned upon the effectiveness of other credit facilities or capital raising or a Change of Control or the occurrence of any other transaction, in which case such notice may be revoked by the Borrower (by notice to the Administrative Agent on or prior to the specified effective date) if such condition is not satisfied, and upon such revocation according to the foregoing terms neither Facility shall be terminated or reduced as provided in such notice.</w:t>
      </w:r>
    </w:p>
    <w:p>
      <w:pPr>
        <w:spacing w:after="0" w:line="169" w:lineRule="exact"/>
        <w:rPr>
          <w:rFonts w:ascii="Arial" w:cs="Arial" w:eastAsia="Arial" w:hAnsi="Arial"/>
          <w:sz w:val="16"/>
          <w:szCs w:val="16"/>
          <w:color w:val="auto"/>
        </w:rPr>
      </w:pPr>
    </w:p>
    <w:p>
      <w:pPr>
        <w:ind w:right="220" w:firstLine="464"/>
        <w:spacing w:after="0" w:line="277" w:lineRule="auto"/>
        <w:tabs>
          <w:tab w:leader="none" w:pos="71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xml:space="preserve">. The aggregate Term Commitments shall be automatically and permanently reduced to zero on the </w:t>
      </w:r>
      <w:r>
        <w:rPr>
          <w:rFonts w:ascii="Arial" w:cs="Arial" w:eastAsia="Arial" w:hAnsi="Arial"/>
          <w:sz w:val="18"/>
          <w:szCs w:val="18"/>
          <w:color w:val="auto"/>
          <w:strike w:val="1"/>
        </w:rPr>
        <w:t>last day of the Availability Period</w:t>
      </w:r>
      <w:r>
        <w:rPr>
          <w:rFonts w:ascii="Arial" w:cs="Arial" w:eastAsia="Arial" w:hAnsi="Arial"/>
          <w:sz w:val="18"/>
          <w:szCs w:val="18"/>
          <w:color w:val="auto"/>
        </w:rPr>
        <w:t xml:space="preserve"> </w:t>
      </w:r>
      <w:r>
        <w:rPr>
          <w:rFonts w:ascii="Arial" w:cs="Arial" w:eastAsia="Arial" w:hAnsi="Arial"/>
          <w:sz w:val="18"/>
          <w:szCs w:val="18"/>
          <w:color w:val="auto"/>
          <w:strike w:val="1"/>
        </w:rPr>
        <w:t>for</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the Term </w:t>
      </w:r>
      <w:r>
        <w:rPr>
          <w:rFonts w:ascii="Arial" w:cs="Arial" w:eastAsia="Arial" w:hAnsi="Arial"/>
          <w:sz w:val="18"/>
          <w:szCs w:val="18"/>
          <w:color w:val="auto"/>
          <w:strike w:val="1"/>
        </w:rPr>
        <w:t>Facility</w:t>
      </w:r>
      <w:r>
        <w:rPr>
          <w:rFonts w:ascii="Arial" w:cs="Arial" w:eastAsia="Arial" w:hAnsi="Arial"/>
          <w:sz w:val="18"/>
          <w:szCs w:val="18"/>
          <w:u w:val="single" w:color="auto"/>
          <w:color w:val="auto"/>
        </w:rPr>
        <w:t>Borrowing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80" w:firstLine="443"/>
        <w:spacing w:after="0" w:line="259" w:lineRule="auto"/>
        <w:tabs>
          <w:tab w:leader="none" w:pos="1113"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Lenders of any termination or reduction of the Revolving Commitment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Upon any reduction of the Revolving Commitments, the Revolving Commitment of each Revolving Lender shall be reduced by such Lender’s Applicable Revolving Percentage of such reduction amount. All fees in respect of the Revolving Facility accrued until the effective date of any termination of the Revolving Facility shall be paid on the effective date of such termination.</w:t>
      </w:r>
    </w:p>
    <w:p>
      <w:pPr>
        <w:spacing w:after="0" w:line="78" w:lineRule="exact"/>
        <w:rPr>
          <w:rFonts w:ascii="Arial" w:cs="Arial" w:eastAsia="Arial" w:hAnsi="Arial"/>
          <w:sz w:val="18"/>
          <w:szCs w:val="18"/>
          <w:color w:val="auto"/>
        </w:rPr>
      </w:pPr>
    </w:p>
    <w:p>
      <w:pPr>
        <w:ind w:left="460" w:right="40" w:firstLine="443"/>
        <w:spacing w:after="0" w:line="279" w:lineRule="auto"/>
        <w:tabs>
          <w:tab w:leader="none" w:pos="1163"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The Administrative Agent will promptly notify the Lenders of any termination or reduction of the unused portion of the aggregate Term Commitments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Upon any reduction of the unused portion of the aggregate Term Commitments, the Term Commitment of each Term Lender shall be reduced by such Lender’s ratable portion of such reduction amount. All fees in respect of the Term Facility accrued until the effective date of any termination of the Term Facility shall be paid on the effective date of such termination.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27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2.05 </w:t>
      </w:r>
      <w:r>
        <w:rPr>
          <w:rFonts w:ascii="Arial" w:cs="Arial" w:eastAsia="Arial" w:hAnsi="Arial"/>
          <w:sz w:val="18"/>
          <w:szCs w:val="18"/>
          <w:b w:val="1"/>
          <w:bCs w:val="1"/>
          <w:u w:val="single" w:color="auto"/>
          <w:color w:val="auto"/>
        </w:rPr>
        <w:t>Repayment of Loans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64"/>
        <w:spacing w:after="0" w:line="264" w:lineRule="auto"/>
        <w:tabs>
          <w:tab w:leader="none" w:pos="70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The Borrower shall repay to the Term Lenders the aggregate principal amount of all Term Loans outstanding on the following dates in the respective amounts set forth opposite such dates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unless accelerated sooner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p>
      <w:pPr>
        <w:spacing w:after="0" w:line="366" w:lineRule="exact"/>
        <w:rPr>
          <w:sz w:val="20"/>
          <w:szCs w:val="20"/>
          <w:color w:val="auto"/>
        </w:rPr>
      </w:pPr>
    </w:p>
    <w:p>
      <w:pPr>
        <w:jc w:val="center"/>
        <w:ind w:left="20"/>
        <w:spacing w:after="0"/>
        <w:rPr>
          <w:sz w:val="20"/>
          <w:szCs w:val="20"/>
          <w:color w:val="auto"/>
        </w:rPr>
      </w:pPr>
      <w:r>
        <w:rPr>
          <w:rFonts w:ascii="Arial" w:cs="Arial" w:eastAsia="Arial" w:hAnsi="Arial"/>
          <w:sz w:val="14"/>
          <w:szCs w:val="14"/>
          <w:u w:val="single" w:color="auto"/>
          <w:color w:val="auto"/>
        </w:rPr>
        <w:t>Payment Dates</w:t>
      </w:r>
    </w:p>
    <w:p>
      <w:pPr>
        <w:spacing w:after="0" w:line="8"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On June 30, 2018 and on each</w:t>
      </w:r>
      <w:r>
        <w:rPr>
          <w:rFonts w:ascii="Arial" w:cs="Arial" w:eastAsia="Arial" w:hAnsi="Arial"/>
          <w:sz w:val="18"/>
          <w:szCs w:val="18"/>
          <w:color w:val="auto"/>
        </w:rPr>
        <w:t xml:space="preserve"> September 30, </w:t>
      </w:r>
      <w:r>
        <w:rPr>
          <w:rFonts w:ascii="Arial" w:cs="Arial" w:eastAsia="Arial" w:hAnsi="Arial"/>
          <w:sz w:val="18"/>
          <w:szCs w:val="18"/>
          <w:color w:val="auto"/>
          <w:strike w:val="1"/>
        </w:rPr>
        <w:t>2016</w:t>
      </w:r>
      <w:r>
        <w:rPr>
          <w:rFonts w:ascii="Arial" w:cs="Arial" w:eastAsia="Arial" w:hAnsi="Arial"/>
          <w:sz w:val="18"/>
          <w:szCs w:val="18"/>
          <w:color w:val="auto"/>
        </w:rPr>
        <w:t xml:space="preserve"> and on each December 31, March 31</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June </w:t>
      </w:r>
      <w:r>
        <w:rPr>
          <w:rFonts w:ascii="Arial" w:cs="Arial" w:eastAsia="Arial" w:hAnsi="Arial"/>
          <w:sz w:val="18"/>
          <w:szCs w:val="18"/>
          <w:color w:val="auto"/>
          <w:strike w:val="1"/>
        </w:rPr>
        <w:t>30 and September</w:t>
      </w:r>
      <w:r>
        <w:rPr>
          <w:rFonts w:ascii="Arial" w:cs="Arial" w:eastAsia="Arial" w:hAnsi="Arial"/>
          <w:sz w:val="18"/>
          <w:szCs w:val="18"/>
          <w:color w:val="auto"/>
        </w:rPr>
        <w:t xml:space="preserve"> 30 thereafter until the Maturity Date or, if sooner, until repaid in full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Principal Repayment</w:t>
      </w:r>
    </w:p>
    <w:p>
      <w:pPr>
        <w:jc w:val="center"/>
        <w:spacing w:after="0"/>
        <w:rPr>
          <w:sz w:val="20"/>
          <w:szCs w:val="20"/>
          <w:color w:val="auto"/>
        </w:rPr>
      </w:pPr>
      <w:r>
        <w:rPr>
          <w:rFonts w:ascii="Arial" w:cs="Arial" w:eastAsia="Arial" w:hAnsi="Arial"/>
          <w:sz w:val="14"/>
          <w:szCs w:val="14"/>
          <w:color w:val="auto"/>
        </w:rPr>
        <w:t>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404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center"/>
        <w:ind w:righ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strike w:val="1"/>
        </w:rPr>
        <w:t>3,400,000</w:t>
      </w:r>
      <w:r>
        <w:rPr>
          <w:rFonts w:ascii="Arial" w:cs="Arial" w:eastAsia="Arial" w:hAnsi="Arial"/>
          <w:sz w:val="16"/>
          <w:szCs w:val="16"/>
          <w:u w:val="single" w:color="auto"/>
          <w:color w:val="auto"/>
        </w:rPr>
        <w:t>812,500</w:t>
      </w:r>
      <w:r>
        <w:rPr>
          <w:rFonts w:ascii="Arial" w:cs="Arial" w:eastAsia="Arial" w:hAnsi="Arial"/>
          <w:sz w:val="16"/>
          <w:szCs w:val="16"/>
          <w:color w:val="auto"/>
        </w:rPr>
        <w:t xml:space="preserve"> (or such lesser amount as may then be outstanding)</w:t>
      </w:r>
    </w:p>
    <w:p>
      <w:pPr>
        <w:spacing w:after="0" w:line="664" w:lineRule="exact"/>
        <w:rPr>
          <w:sz w:val="20"/>
          <w:szCs w:val="20"/>
          <w:color w:val="auto"/>
        </w:rPr>
      </w:pPr>
    </w:p>
    <w:p>
      <w:pPr>
        <w:sectPr>
          <w:pgSz w:w="11900" w:h="16838" w:orient="portrait"/>
          <w:cols w:equalWidth="0" w:num="2">
            <w:col w:w="5820" w:space="240"/>
            <w:col w:w="5360"/>
          </w:cols>
          <w:pgMar w:left="240" w:top="270" w:right="239" w:bottom="1440" w:gutter="0" w:footer="0" w:header="0"/>
          <w:type w:val="continuous"/>
        </w:sectPr>
      </w:pPr>
    </w:p>
    <w:p>
      <w:pPr>
        <w:spacing w:after="0" w:line="25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final principal repayment installment of the Term Loans shall be repaid on the Maturity Date for the Term Facility and in any event shall be in an amount equal to the aggregate principal amount of all Term Loans outstanding on such date and (ii) (A) if any principal repayment installment to be made by the Borrower (other than principal repayment installments on Eurodollar Rate Loans) shall come due on a day other than a Business Day, such principal repayment installment shall be due on the next succeeding Business Day, and such extension of time shall be reflected in computing interest or fees, as the case may be, and (B) if any principal repayment installment to be made by the Borrower on a Eurodollar Rate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spacing w:after="0" w:line="192" w:lineRule="exact"/>
        <w:rPr>
          <w:sz w:val="20"/>
          <w:szCs w:val="20"/>
          <w:color w:val="auto"/>
        </w:rPr>
      </w:pPr>
    </w:p>
    <w:p>
      <w:pPr>
        <w:ind w:right="500" w:firstLine="464"/>
        <w:spacing w:after="0" w:line="277"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Borrower shall repay to the Revolving Lenders on the Maturity Date for the Revolving Facility the aggregate principal amount of all Revolving Loans outstanding on such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2.06 </w:t>
      </w:r>
      <w:r>
        <w:rPr>
          <w:rFonts w:ascii="Arial" w:cs="Arial" w:eastAsia="Arial" w:hAnsi="Arial"/>
          <w:sz w:val="18"/>
          <w:szCs w:val="18"/>
          <w:b w:val="1"/>
          <w:bCs w:val="1"/>
          <w:u w:val="single" w:color="auto"/>
          <w:color w:val="auto"/>
        </w:rPr>
        <w:t>Interest and Default Rate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64"/>
        <w:spacing w:after="0" w:line="297" w:lineRule="auto"/>
        <w:tabs>
          <w:tab w:leader="none" w:pos="70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2.06(b)</w:t>
      </w:r>
      <w:r>
        <w:rPr>
          <w:rFonts w:ascii="Arial" w:cs="Arial" w:eastAsia="Arial" w:hAnsi="Arial"/>
          <w:sz w:val="16"/>
          <w:szCs w:val="16"/>
          <w:color w:val="auto"/>
        </w:rPr>
        <w:t>, (i) each Eurodollar Rate Loan under a Facility shall bear interest on the outstanding principal amount thereof for each Interest Period from the applicable borrowing date at a rate per annum equal to the Eurodollar Rate for such Interest Period plus the Applicable Rate; and (ii) each Base Rate Loan under a Facility shall bear interest on the outstanding principal amount thereof from the applicable borrowing date at a rate per annum equal to the Base Rate plus the Applicable Rate. To the extent that any calculation of interest or any fee required to be paid under this Agreement shall be based on (or result in) a rate that is less than zero, such rate shall be deemed zero for purposes of this Agreement.</w:t>
      </w:r>
    </w:p>
    <w:p>
      <w:pPr>
        <w:spacing w:after="0" w:line="158" w:lineRule="exact"/>
        <w:rPr>
          <w:rFonts w:ascii="Arial" w:cs="Arial" w:eastAsia="Arial" w:hAnsi="Arial"/>
          <w:sz w:val="16"/>
          <w:szCs w:val="16"/>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40" w:firstLine="443"/>
        <w:spacing w:after="0" w:line="264" w:lineRule="auto"/>
        <w:tabs>
          <w:tab w:leader="none" w:pos="11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type w:val="continuous"/>
        </w:sectPr>
      </w:pPr>
    </w:p>
    <w:bookmarkStart w:id="59" w:name="page60"/>
    <w:bookmarkEnd w:id="59"/>
    <w:p>
      <w:pPr>
        <w:ind w:left="460" w:right="80" w:firstLine="443"/>
        <w:spacing w:after="0" w:line="259" w:lineRule="auto"/>
        <w:tabs>
          <w:tab w:leader="none" w:pos="1163"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8" w:lineRule="exact"/>
        <w:rPr>
          <w:rFonts w:ascii="Arial" w:cs="Arial" w:eastAsia="Arial" w:hAnsi="Arial"/>
          <w:sz w:val="18"/>
          <w:szCs w:val="18"/>
          <w:color w:val="auto"/>
        </w:rPr>
      </w:pPr>
    </w:p>
    <w:p>
      <w:pPr>
        <w:ind w:left="460" w:right="120" w:firstLine="443"/>
        <w:spacing w:after="0" w:line="308" w:lineRule="auto"/>
        <w:tabs>
          <w:tab w:leader="none" w:pos="1213" w:val="left"/>
        </w:tabs>
        <w:numPr>
          <w:ilvl w:val="1"/>
          <w:numId w:val="47"/>
        </w:numPr>
        <w:rPr>
          <w:rFonts w:ascii="Arial" w:cs="Arial" w:eastAsia="Arial" w:hAnsi="Arial"/>
          <w:sz w:val="17"/>
          <w:szCs w:val="17"/>
          <w:color w:val="auto"/>
        </w:rPr>
      </w:pPr>
      <w:r>
        <w:rPr>
          <w:rFonts w:ascii="Arial" w:cs="Arial" w:eastAsia="Arial" w:hAnsi="Arial"/>
          <w:sz w:val="17"/>
          <w:szCs w:val="17"/>
          <w:color w:val="auto"/>
        </w:rPr>
        <w:t>Upon the request of the Required Lenders, while any Event of Default exists (including a payment default), all outstanding Obligations may accrue at a fluctuating interest rate per annum at all times equal to the Default Rate to the fullest extent permitted by applicable Laws.</w:t>
      </w:r>
    </w:p>
    <w:p>
      <w:pPr>
        <w:spacing w:after="0" w:line="38" w:lineRule="exact"/>
        <w:rPr>
          <w:rFonts w:ascii="Arial" w:cs="Arial" w:eastAsia="Arial" w:hAnsi="Arial"/>
          <w:sz w:val="17"/>
          <w:szCs w:val="17"/>
          <w:color w:val="auto"/>
        </w:rPr>
      </w:pPr>
    </w:p>
    <w:p>
      <w:pPr>
        <w:ind w:left="1200" w:hanging="297"/>
        <w:spacing w:after="0"/>
        <w:tabs>
          <w:tab w:leader="none" w:pos="12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236" w:lineRule="exact"/>
        <w:rPr>
          <w:rFonts w:ascii="Arial" w:cs="Arial" w:eastAsia="Arial" w:hAnsi="Arial"/>
          <w:sz w:val="17"/>
          <w:szCs w:val="17"/>
          <w:color w:val="auto"/>
        </w:rPr>
      </w:pPr>
    </w:p>
    <w:p>
      <w:pPr>
        <w:ind w:right="180" w:firstLine="464"/>
        <w:spacing w:after="0" w:line="264"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Interest Payments</w:t>
      </w:r>
      <w:r>
        <w:rPr>
          <w:rFonts w:ascii="Arial" w:cs="Arial" w:eastAsia="Arial" w:hAnsi="Arial"/>
          <w:sz w:val="18"/>
          <w:szCs w:val="18"/>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2.07 </w:t>
      </w:r>
      <w:r>
        <w:rPr>
          <w:rFonts w:ascii="Arial" w:cs="Arial" w:eastAsia="Arial" w:hAnsi="Arial"/>
          <w:sz w:val="18"/>
          <w:szCs w:val="18"/>
          <w:b w:val="1"/>
          <w:bCs w:val="1"/>
          <w:u w:val="single" w:color="auto"/>
          <w:color w:val="auto"/>
        </w:rPr>
        <w:t>Fees</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464"/>
        <w:spacing w:after="0" w:line="277" w:lineRule="auto"/>
        <w:tabs>
          <w:tab w:leader="none" w:pos="701" w:val="left"/>
        </w:tabs>
        <w:numPr>
          <w:ilvl w:val="0"/>
          <w:numId w:val="49"/>
        </w:numPr>
        <w:rPr>
          <w:rFonts w:ascii="Arial" w:cs="Arial" w:eastAsia="Arial" w:hAnsi="Arial"/>
          <w:sz w:val="18"/>
          <w:szCs w:val="18"/>
          <w:color w:val="auto"/>
          <w:strike w:val="1"/>
        </w:rPr>
      </w:pPr>
      <w:r>
        <w:rPr>
          <w:rFonts w:ascii="Arial" w:cs="Arial" w:eastAsia="Arial" w:hAnsi="Arial"/>
          <w:sz w:val="18"/>
          <w:szCs w:val="18"/>
          <w:color w:val="auto"/>
          <w:strike w:val="1"/>
        </w:rPr>
        <w:t>The Company shall pay to the Administrative Agent and the Arranger for its own account fees in the amounts and at the times specified in the Fee Letter. Such fees shall be fully earned when paid and shall not be refundable for any reason whatsoever.</w:t>
      </w:r>
    </w:p>
    <w:p>
      <w:pPr>
        <w:spacing w:after="0" w:line="166" w:lineRule="exact"/>
        <w:rPr>
          <w:sz w:val="20"/>
          <w:szCs w:val="20"/>
          <w:color w:val="auto"/>
        </w:rPr>
      </w:pPr>
    </w:p>
    <w:p>
      <w:pPr>
        <w:ind w:left="700" w:hanging="236"/>
        <w:spacing w:after="0"/>
        <w:tabs>
          <w:tab w:leader="none" w:pos="700" w:val="left"/>
        </w:tabs>
        <w:numPr>
          <w:ilvl w:val="0"/>
          <w:numId w:val="50"/>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[Reserved].</w:t>
      </w:r>
    </w:p>
    <w:p>
      <w:pPr>
        <w:spacing w:after="0" w:line="229" w:lineRule="exact"/>
        <w:rPr>
          <w:rFonts w:ascii="Arial" w:cs="Arial" w:eastAsia="Arial" w:hAnsi="Arial"/>
          <w:sz w:val="18"/>
          <w:szCs w:val="18"/>
          <w:u w:val="single" w:color="auto"/>
          <w:color w:val="auto"/>
        </w:rPr>
      </w:pPr>
    </w:p>
    <w:p>
      <w:pPr>
        <w:ind w:right="160" w:firstLine="464"/>
        <w:spacing w:after="0" w:line="277" w:lineRule="auto"/>
        <w:tabs>
          <w:tab w:leader="none" w:pos="7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70" w:lineRule="exact"/>
        <w:rPr>
          <w:rFonts w:ascii="Arial" w:cs="Arial" w:eastAsia="Arial" w:hAnsi="Arial"/>
          <w:sz w:val="18"/>
          <w:szCs w:val="18"/>
          <w:color w:val="auto"/>
        </w:rPr>
      </w:pPr>
    </w:p>
    <w:p>
      <w:pPr>
        <w:ind w:right="240" w:firstLine="464"/>
        <w:spacing w:after="0" w:line="259" w:lineRule="auto"/>
        <w:tabs>
          <w:tab w:leader="none" w:pos="7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Borrower shall pay to the Administrative Agent, for the account of each Lender in accordance with its Applicable Percentage, a commitment fee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equal to the product of (i) the Applicable Rate for a Commitment Fee times (ii) the average daily unused portion of the Commitments. The Commitment Fee shall be due and payable quarterly in arrears on the last Business Day of each of March, June, September and December, commencing with the first such date after the </w:t>
      </w:r>
      <w:r>
        <w:rPr>
          <w:rFonts w:ascii="Arial" w:cs="Arial" w:eastAsia="Arial" w:hAnsi="Arial"/>
          <w:sz w:val="18"/>
          <w:szCs w:val="18"/>
          <w:u w:val="single" w:color="auto"/>
          <w:color w:val="auto"/>
        </w:rPr>
        <w:t>Fifth Amendment</w:t>
      </w:r>
      <w:r>
        <w:rPr>
          <w:rFonts w:ascii="Arial" w:cs="Arial" w:eastAsia="Arial" w:hAnsi="Arial"/>
          <w:sz w:val="18"/>
          <w:szCs w:val="18"/>
          <w:color w:val="auto"/>
        </w:rPr>
        <w:t xml:space="preserve"> Effective Date.</w:t>
      </w:r>
    </w:p>
    <w:p>
      <w:pPr>
        <w:spacing w:after="0" w:line="186" w:lineRule="exact"/>
        <w:rPr>
          <w:rFonts w:ascii="Arial" w:cs="Arial" w:eastAsia="Arial" w:hAnsi="Arial"/>
          <w:sz w:val="18"/>
          <w:szCs w:val="18"/>
          <w:color w:val="auto"/>
        </w:rPr>
      </w:pPr>
    </w:p>
    <w:p>
      <w:pPr>
        <w:ind w:firstLine="464"/>
        <w:spacing w:after="0" w:line="290" w:lineRule="auto"/>
        <w:tabs>
          <w:tab w:leader="none" w:pos="711" w:val="left"/>
        </w:tabs>
        <w:numPr>
          <w:ilvl w:val="0"/>
          <w:numId w:val="50"/>
        </w:numPr>
        <w:rPr>
          <w:rFonts w:ascii="Arial" w:cs="Arial" w:eastAsia="Arial" w:hAnsi="Arial"/>
          <w:sz w:val="16"/>
          <w:szCs w:val="16"/>
          <w:color w:val="auto"/>
          <w:strike w:val="1"/>
        </w:rPr>
      </w:pPr>
      <w:r>
        <w:rPr>
          <w:rFonts w:ascii="Arial" w:cs="Arial" w:eastAsia="Arial" w:hAnsi="Arial"/>
          <w:sz w:val="16"/>
          <w:szCs w:val="16"/>
          <w:color w:val="auto"/>
          <w:strike w:val="1"/>
        </w:rPr>
        <w:t>Solely to the extent that Fabrinet Thailand is not joined as a Guarantor on or prior to the date that is one hundred eighty</w:t>
      </w:r>
      <w:r>
        <w:rPr>
          <w:rFonts w:ascii="Arial" w:cs="Arial" w:eastAsia="Arial" w:hAnsi="Arial"/>
          <w:sz w:val="16"/>
          <w:szCs w:val="16"/>
          <w:color w:val="auto"/>
        </w:rPr>
        <w:t xml:space="preserve"> (180) </w:t>
      </w:r>
      <w:r>
        <w:rPr>
          <w:rFonts w:ascii="Arial" w:cs="Arial" w:eastAsia="Arial" w:hAnsi="Arial"/>
          <w:sz w:val="16"/>
          <w:szCs w:val="16"/>
          <w:color w:val="auto"/>
          <w:strike w:val="1"/>
        </w:rPr>
        <w:t>days after the Closing</w:t>
      </w:r>
      <w:r>
        <w:rPr>
          <w:rFonts w:ascii="Arial" w:cs="Arial" w:eastAsia="Arial" w:hAnsi="Arial"/>
          <w:sz w:val="16"/>
          <w:szCs w:val="16"/>
          <w:color w:val="auto"/>
        </w:rPr>
        <w:t xml:space="preserve"> </w:t>
      </w:r>
      <w:r>
        <w:rPr>
          <w:rFonts w:ascii="Arial" w:cs="Arial" w:eastAsia="Arial" w:hAnsi="Arial"/>
          <w:sz w:val="16"/>
          <w:szCs w:val="16"/>
          <w:color w:val="auto"/>
          <w:strike w:val="1"/>
        </w:rPr>
        <w:t>Date, the Borrower shall pay to the Administrative Agent, for the account of each Lender in accordance with its Applicable Percentage, the following (collectively, the “Fabrinet Thailand Alternative Fees”): (i) on the date that is one hundred eighty-one (181) days after the Closing Date (the “Fabrinet Thailand Alternative Fee Date”), an additional upfront fee equal to one-quarter of one percent (0.25%) of the Commitments, which such fee shall be (A) fully earned and payable on the Fabrinet Thailand Alternative Fee Date, (B) nonrefundable for any reason whatsoever and (C) in addition to any other fees, costs and expenses payable pursuant to the Loan Documents, including any other Fabrinet Thailand Alternative Fees, and (ii) commencing on the Fabrinet Thailand Alternative Fee Date and continuing to but excluding the date upon which Fabrinet Thailand is joined as a Guarantor, the Applicable Rate and Commitment Fee corresponding to the rate per annum set forth below opposite the applicable Level then in effect (based on the Consolidated Total Leverage Ratio):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20" w:type="dxa"/>
            <w:vAlign w:val="bottom"/>
          </w:tcPr>
          <w:p>
            <w:pPr>
              <w:ind w:left="400"/>
              <w:spacing w:after="0"/>
              <w:rPr>
                <w:sz w:val="20"/>
                <w:szCs w:val="20"/>
                <w:color w:val="auto"/>
              </w:rPr>
            </w:pPr>
            <w:r>
              <w:rPr>
                <w:rFonts w:ascii="Arial" w:cs="Arial" w:eastAsia="Arial" w:hAnsi="Arial"/>
                <w:sz w:val="14"/>
                <w:szCs w:val="14"/>
                <w:b w:val="1"/>
                <w:bCs w:val="1"/>
                <w:color w:val="auto"/>
                <w:strike w:val="1"/>
              </w:rPr>
              <w:t>Applicable Rate</w:t>
            </w:r>
          </w:p>
        </w:tc>
        <w:tc>
          <w:tcPr>
            <w:tcW w:w="2400" w:type="dxa"/>
            <w:vAlign w:val="bottom"/>
            <w:vMerge w:val="restart"/>
          </w:tcPr>
          <w:p>
            <w:pPr>
              <w:jc w:val="center"/>
              <w:ind w:left="99"/>
              <w:spacing w:after="0"/>
              <w:rPr>
                <w:sz w:val="20"/>
                <w:szCs w:val="20"/>
                <w:color w:val="auto"/>
              </w:rPr>
            </w:pPr>
            <w:r>
              <w:rPr>
                <w:rFonts w:ascii="Arial" w:cs="Arial" w:eastAsia="Arial" w:hAnsi="Arial"/>
                <w:sz w:val="14"/>
                <w:szCs w:val="14"/>
                <w:b w:val="1"/>
                <w:bCs w:val="1"/>
                <w:color w:val="auto"/>
                <w:strike w:val="1"/>
                <w:w w:val="93"/>
              </w:rPr>
              <w:t>Commitment Fee (if the</w:t>
            </w:r>
          </w:p>
        </w:tc>
        <w:tc>
          <w:tcPr>
            <w:tcW w:w="2000" w:type="dxa"/>
            <w:vAlign w:val="bottom"/>
            <w:vMerge w:val="restart"/>
          </w:tcPr>
          <w:p>
            <w:pPr>
              <w:jc w:val="center"/>
              <w:ind w:left="159"/>
              <w:spacing w:after="0"/>
              <w:rPr>
                <w:sz w:val="20"/>
                <w:szCs w:val="20"/>
                <w:color w:val="auto"/>
              </w:rPr>
            </w:pPr>
            <w:r>
              <w:rPr>
                <w:rFonts w:ascii="Arial" w:cs="Arial" w:eastAsia="Arial" w:hAnsi="Arial"/>
                <w:sz w:val="14"/>
                <w:szCs w:val="14"/>
                <w:b w:val="1"/>
                <w:bCs w:val="1"/>
                <w:color w:val="auto"/>
                <w:strike w:val="1"/>
                <w:w w:val="95"/>
              </w:rPr>
              <w:t>Commitment Fee (if the</w:t>
            </w:r>
          </w:p>
        </w:tc>
        <w:tc>
          <w:tcPr>
            <w:tcW w:w="0" w:type="dxa"/>
            <w:vAlign w:val="bottom"/>
          </w:tcPr>
          <w:p>
            <w:pPr>
              <w:spacing w:after="0"/>
              <w:rPr>
                <w:sz w:val="1"/>
                <w:szCs w:val="1"/>
                <w:color w:val="auto"/>
              </w:rPr>
            </w:pPr>
          </w:p>
        </w:tc>
      </w:tr>
      <w:tr>
        <w:trPr>
          <w:trHeight w:val="111"/>
        </w:trPr>
        <w:tc>
          <w:tcPr>
            <w:tcW w:w="5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1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strike w:val="1"/>
                <w:w w:val="92"/>
              </w:rPr>
              <w:t>Consolidated Total</w:t>
            </w:r>
          </w:p>
        </w:tc>
        <w:tc>
          <w:tcPr>
            <w:tcW w:w="2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0" w:type="dxa"/>
            <w:vAlign w:val="bottom"/>
          </w:tcPr>
          <w:p>
            <w:pPr>
              <w:jc w:val="center"/>
              <w:ind w:left="99"/>
              <w:spacing w:after="0" w:line="149" w:lineRule="exact"/>
              <w:rPr>
                <w:sz w:val="20"/>
                <w:szCs w:val="20"/>
                <w:color w:val="auto"/>
              </w:rPr>
            </w:pPr>
            <w:r>
              <w:rPr>
                <w:rFonts w:ascii="Arial" w:cs="Arial" w:eastAsia="Arial" w:hAnsi="Arial"/>
                <w:sz w:val="14"/>
                <w:szCs w:val="14"/>
                <w:b w:val="1"/>
                <w:bCs w:val="1"/>
                <w:color w:val="auto"/>
                <w:strike w:val="1"/>
                <w:w w:val="91"/>
              </w:rPr>
              <w:t>average daily unused</w:t>
            </w:r>
          </w:p>
        </w:tc>
        <w:tc>
          <w:tcPr>
            <w:tcW w:w="2000" w:type="dxa"/>
            <w:vAlign w:val="bottom"/>
          </w:tcPr>
          <w:p>
            <w:pPr>
              <w:jc w:val="center"/>
              <w:ind w:left="159"/>
              <w:spacing w:after="0" w:line="149" w:lineRule="exact"/>
              <w:rPr>
                <w:sz w:val="20"/>
                <w:szCs w:val="20"/>
                <w:color w:val="auto"/>
              </w:rPr>
            </w:pPr>
            <w:r>
              <w:rPr>
                <w:rFonts w:ascii="Arial" w:cs="Arial" w:eastAsia="Arial" w:hAnsi="Arial"/>
                <w:sz w:val="14"/>
                <w:szCs w:val="14"/>
                <w:b w:val="1"/>
                <w:bCs w:val="1"/>
                <w:color w:val="auto"/>
                <w:strike w:val="1"/>
                <w:w w:val="89"/>
              </w:rPr>
              <w:t>average daily unused</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0" w:type="dxa"/>
            <w:vAlign w:val="bottom"/>
          </w:tcPr>
          <w:p>
            <w:pPr>
              <w:jc w:val="center"/>
              <w:ind w:left="99"/>
              <w:spacing w:after="0" w:line="149" w:lineRule="exact"/>
              <w:rPr>
                <w:sz w:val="20"/>
                <w:szCs w:val="20"/>
                <w:color w:val="auto"/>
              </w:rPr>
            </w:pPr>
            <w:r>
              <w:rPr>
                <w:rFonts w:ascii="Arial" w:cs="Arial" w:eastAsia="Arial" w:hAnsi="Arial"/>
                <w:sz w:val="14"/>
                <w:szCs w:val="14"/>
                <w:b w:val="1"/>
                <w:bCs w:val="1"/>
                <w:color w:val="auto"/>
                <w:strike w:val="1"/>
                <w:w w:val="92"/>
              </w:rPr>
              <w:t>portion of the Commitments</w:t>
            </w:r>
          </w:p>
        </w:tc>
        <w:tc>
          <w:tcPr>
            <w:tcW w:w="2000" w:type="dxa"/>
            <w:vAlign w:val="bottom"/>
          </w:tcPr>
          <w:p>
            <w:pPr>
              <w:jc w:val="center"/>
              <w:ind w:left="159"/>
              <w:spacing w:after="0" w:line="149" w:lineRule="exact"/>
              <w:rPr>
                <w:sz w:val="20"/>
                <w:szCs w:val="20"/>
                <w:color w:val="auto"/>
              </w:rPr>
            </w:pPr>
            <w:r>
              <w:rPr>
                <w:rFonts w:ascii="Arial" w:cs="Arial" w:eastAsia="Arial" w:hAnsi="Arial"/>
                <w:sz w:val="14"/>
                <w:szCs w:val="14"/>
                <w:b w:val="1"/>
                <w:bCs w:val="1"/>
                <w:color w:val="auto"/>
                <w:strike w:val="1"/>
                <w:w w:val="93"/>
              </w:rPr>
              <w:t>portion of the Commitments</w:t>
            </w:r>
          </w:p>
        </w:tc>
        <w:tc>
          <w:tcPr>
            <w:tcW w:w="0" w:type="dxa"/>
            <w:vAlign w:val="bottom"/>
          </w:tcPr>
          <w:p>
            <w:pPr>
              <w:spacing w:after="0"/>
              <w:rPr>
                <w:sz w:val="1"/>
                <w:szCs w:val="1"/>
                <w:color w:val="auto"/>
              </w:rPr>
            </w:pPr>
          </w:p>
        </w:tc>
      </w:tr>
      <w:tr>
        <w:trPr>
          <w:trHeight w:val="184"/>
        </w:trPr>
        <w:tc>
          <w:tcPr>
            <w:tcW w:w="520" w:type="dxa"/>
            <w:vAlign w:val="bottom"/>
          </w:tcPr>
          <w:p>
            <w:pPr>
              <w:jc w:val="center"/>
              <w:ind w:right="94"/>
              <w:spacing w:after="0"/>
              <w:rPr>
                <w:sz w:val="20"/>
                <w:szCs w:val="20"/>
                <w:color w:val="auto"/>
              </w:rPr>
            </w:pPr>
            <w:r>
              <w:rPr>
                <w:rFonts w:ascii="Arial" w:cs="Arial" w:eastAsia="Arial" w:hAnsi="Arial"/>
                <w:sz w:val="14"/>
                <w:szCs w:val="14"/>
                <w:b w:val="1"/>
                <w:bCs w:val="1"/>
                <w:u w:val="single" w:color="auto"/>
                <w:color w:val="auto"/>
                <w:strike w:val="1"/>
                <w:w w:val="94"/>
              </w:rPr>
              <w:t>Level</w:t>
            </w:r>
          </w:p>
        </w:tc>
        <w:tc>
          <w:tcPr>
            <w:tcW w:w="2100" w:type="dxa"/>
            <w:vAlign w:val="bottom"/>
          </w:tcPr>
          <w:p>
            <w:pPr>
              <w:jc w:val="center"/>
              <w:ind w:right="116"/>
              <w:spacing w:after="0"/>
              <w:rPr>
                <w:sz w:val="20"/>
                <w:szCs w:val="20"/>
                <w:color w:val="auto"/>
              </w:rPr>
            </w:pPr>
            <w:r>
              <w:rPr>
                <w:rFonts w:ascii="Arial" w:cs="Arial" w:eastAsia="Arial" w:hAnsi="Arial"/>
                <w:sz w:val="14"/>
                <w:szCs w:val="14"/>
                <w:b w:val="1"/>
                <w:bCs w:val="1"/>
                <w:color w:val="auto"/>
                <w:strike w:val="1"/>
                <w:w w:val="93"/>
              </w:rPr>
              <w:t>Leverage Ratio</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strike w:val="1"/>
                <w:w w:val="95"/>
              </w:rPr>
              <w:t>Eurodollar Rate Loans</w:t>
            </w:r>
          </w:p>
        </w:tc>
        <w:tc>
          <w:tcPr>
            <w:tcW w:w="2020" w:type="dxa"/>
            <w:vAlign w:val="bottom"/>
          </w:tcPr>
          <w:p>
            <w:pPr>
              <w:jc w:val="center"/>
              <w:ind w:left="76"/>
              <w:spacing w:after="0"/>
              <w:rPr>
                <w:sz w:val="20"/>
                <w:szCs w:val="20"/>
                <w:color w:val="auto"/>
              </w:rPr>
            </w:pPr>
            <w:r>
              <w:rPr>
                <w:rFonts w:ascii="Arial" w:cs="Arial" w:eastAsia="Arial" w:hAnsi="Arial"/>
                <w:sz w:val="14"/>
                <w:szCs w:val="14"/>
                <w:b w:val="1"/>
                <w:bCs w:val="1"/>
                <w:color w:val="auto"/>
                <w:strike w:val="1"/>
                <w:w w:val="90"/>
              </w:rPr>
              <w:t>Base Rate Loans</w:t>
            </w:r>
          </w:p>
        </w:tc>
        <w:tc>
          <w:tcPr>
            <w:tcW w:w="2400" w:type="dxa"/>
            <w:vAlign w:val="bottom"/>
          </w:tcPr>
          <w:p>
            <w:pPr>
              <w:jc w:val="center"/>
              <w:ind w:left="99"/>
              <w:spacing w:after="0"/>
              <w:rPr>
                <w:sz w:val="20"/>
                <w:szCs w:val="20"/>
                <w:color w:val="auto"/>
              </w:rPr>
            </w:pPr>
            <w:r>
              <w:rPr>
                <w:rFonts w:ascii="Arial" w:cs="Arial" w:eastAsia="Arial" w:hAnsi="Arial"/>
                <w:sz w:val="14"/>
                <w:szCs w:val="14"/>
                <w:b w:val="1"/>
                <w:bCs w:val="1"/>
                <w:color w:val="auto"/>
                <w:strike w:val="1"/>
              </w:rPr>
              <w:t>&lt; 50%)</w:t>
            </w:r>
          </w:p>
        </w:tc>
        <w:tc>
          <w:tcPr>
            <w:tcW w:w="2000" w:type="dxa"/>
            <w:vAlign w:val="bottom"/>
          </w:tcPr>
          <w:p>
            <w:pPr>
              <w:jc w:val="center"/>
              <w:ind w:left="159"/>
              <w:spacing w:after="0"/>
              <w:rPr>
                <w:sz w:val="20"/>
                <w:szCs w:val="20"/>
                <w:color w:val="auto"/>
              </w:rPr>
            </w:pPr>
            <w:r>
              <w:rPr>
                <w:rFonts w:ascii="Arial" w:cs="Arial" w:eastAsia="Arial" w:hAnsi="Arial"/>
                <w:sz w:val="14"/>
                <w:szCs w:val="14"/>
                <w:b w:val="1"/>
                <w:bCs w:val="1"/>
                <w:u w:val="single" w:color="auto"/>
                <w:color w:val="auto"/>
                <w:strike w:val="1"/>
                <w:w w:val="98"/>
              </w:rPr>
              <w:t xml:space="preserve">&gt; </w:t>
            </w:r>
            <w:r>
              <w:rPr>
                <w:rFonts w:ascii="Arial" w:cs="Arial" w:eastAsia="Arial" w:hAnsi="Arial"/>
                <w:sz w:val="14"/>
                <w:szCs w:val="14"/>
                <w:b w:val="1"/>
                <w:bCs w:val="1"/>
                <w:color w:val="auto"/>
                <w:strike w:val="1"/>
                <w:w w:val="98"/>
              </w:rPr>
              <w:t>50%)</w:t>
            </w:r>
          </w:p>
        </w:tc>
        <w:tc>
          <w:tcPr>
            <w:tcW w:w="0" w:type="dxa"/>
            <w:vAlign w:val="bottom"/>
          </w:tcPr>
          <w:p>
            <w:pPr>
              <w:spacing w:after="0"/>
              <w:rPr>
                <w:sz w:val="1"/>
                <w:szCs w:val="1"/>
                <w:color w:val="auto"/>
              </w:rPr>
            </w:pPr>
          </w:p>
        </w:tc>
      </w:tr>
      <w:tr>
        <w:trPr>
          <w:trHeight w:val="216"/>
        </w:trPr>
        <w:tc>
          <w:tcPr>
            <w:tcW w:w="520" w:type="dxa"/>
            <w:vAlign w:val="bottom"/>
          </w:tcPr>
          <w:p>
            <w:pPr>
              <w:jc w:val="center"/>
              <w:ind w:right="74"/>
              <w:spacing w:after="0"/>
              <w:rPr>
                <w:sz w:val="20"/>
                <w:szCs w:val="20"/>
                <w:color w:val="auto"/>
              </w:rPr>
            </w:pPr>
            <w:r>
              <w:rPr>
                <w:rFonts w:ascii="Arial" w:cs="Arial" w:eastAsia="Arial" w:hAnsi="Arial"/>
                <w:sz w:val="18"/>
                <w:szCs w:val="18"/>
                <w:color w:val="auto"/>
                <w:strike w:val="1"/>
                <w:w w:val="79"/>
              </w:rPr>
              <w:t>1</w:t>
            </w:r>
          </w:p>
        </w:tc>
        <w:tc>
          <w:tcPr>
            <w:tcW w:w="2100" w:type="dxa"/>
            <w:vAlign w:val="bottom"/>
          </w:tcPr>
          <w:p>
            <w:pPr>
              <w:jc w:val="right"/>
              <w:ind w:right="756"/>
              <w:spacing w:after="0"/>
              <w:rPr>
                <w:sz w:val="20"/>
                <w:szCs w:val="20"/>
                <w:color w:val="auto"/>
              </w:rPr>
            </w:pPr>
            <w:r>
              <w:rPr>
                <w:rFonts w:ascii="Arial" w:cs="Arial" w:eastAsia="Arial" w:hAnsi="Arial"/>
                <w:sz w:val="18"/>
                <w:szCs w:val="18"/>
                <w:color w:val="auto"/>
                <w:strike w:val="1"/>
              </w:rPr>
              <w:t>&lt; 1.0:1.0</w:t>
            </w:r>
          </w:p>
        </w:tc>
        <w:tc>
          <w:tcPr>
            <w:tcW w:w="2200" w:type="dxa"/>
            <w:vAlign w:val="bottom"/>
          </w:tcPr>
          <w:p>
            <w:pPr>
              <w:jc w:val="center"/>
              <w:spacing w:after="0"/>
              <w:rPr>
                <w:sz w:val="20"/>
                <w:szCs w:val="20"/>
                <w:color w:val="auto"/>
              </w:rPr>
            </w:pPr>
            <w:r>
              <w:rPr>
                <w:rFonts w:ascii="Arial" w:cs="Arial" w:eastAsia="Arial" w:hAnsi="Arial"/>
                <w:sz w:val="18"/>
                <w:szCs w:val="18"/>
                <w:color w:val="auto"/>
                <w:strike w:val="1"/>
                <w:w w:val="90"/>
              </w:rPr>
              <w:t>2.25%</w:t>
            </w:r>
          </w:p>
        </w:tc>
        <w:tc>
          <w:tcPr>
            <w:tcW w:w="2020" w:type="dxa"/>
            <w:vAlign w:val="bottom"/>
          </w:tcPr>
          <w:p>
            <w:pPr>
              <w:jc w:val="center"/>
              <w:ind w:left="76"/>
              <w:spacing w:after="0"/>
              <w:rPr>
                <w:sz w:val="20"/>
                <w:szCs w:val="20"/>
                <w:color w:val="auto"/>
              </w:rPr>
            </w:pPr>
            <w:r>
              <w:rPr>
                <w:rFonts w:ascii="Arial" w:cs="Arial" w:eastAsia="Arial" w:hAnsi="Arial"/>
                <w:sz w:val="18"/>
                <w:szCs w:val="18"/>
                <w:color w:val="auto"/>
                <w:strike w:val="1"/>
                <w:w w:val="90"/>
              </w:rPr>
              <w:t>1.25%</w:t>
            </w:r>
          </w:p>
        </w:tc>
        <w:tc>
          <w:tcPr>
            <w:tcW w:w="2400" w:type="dxa"/>
            <w:vAlign w:val="bottom"/>
          </w:tcPr>
          <w:p>
            <w:pPr>
              <w:jc w:val="center"/>
              <w:ind w:left="99"/>
              <w:spacing w:after="0"/>
              <w:rPr>
                <w:sz w:val="20"/>
                <w:szCs w:val="20"/>
                <w:color w:val="auto"/>
              </w:rPr>
            </w:pPr>
            <w:r>
              <w:rPr>
                <w:rFonts w:ascii="Arial" w:cs="Arial" w:eastAsia="Arial" w:hAnsi="Arial"/>
                <w:sz w:val="18"/>
                <w:szCs w:val="18"/>
                <w:color w:val="auto"/>
                <w:strike w:val="1"/>
                <w:w w:val="90"/>
              </w:rPr>
              <w:t>0.45%</w:t>
            </w:r>
          </w:p>
        </w:tc>
        <w:tc>
          <w:tcPr>
            <w:tcW w:w="2000" w:type="dxa"/>
            <w:vAlign w:val="bottom"/>
          </w:tcPr>
          <w:p>
            <w:pPr>
              <w:jc w:val="center"/>
              <w:ind w:left="159"/>
              <w:spacing w:after="0"/>
              <w:rPr>
                <w:sz w:val="20"/>
                <w:szCs w:val="20"/>
                <w:color w:val="auto"/>
              </w:rPr>
            </w:pPr>
            <w:r>
              <w:rPr>
                <w:rFonts w:ascii="Arial" w:cs="Arial" w:eastAsia="Arial" w:hAnsi="Arial"/>
                <w:sz w:val="18"/>
                <w:szCs w:val="18"/>
                <w:color w:val="auto"/>
                <w:strike w:val="1"/>
                <w:w w:val="93"/>
              </w:rPr>
              <w:t>0.55%</w:t>
            </w:r>
          </w:p>
        </w:tc>
        <w:tc>
          <w:tcPr>
            <w:tcW w:w="0" w:type="dxa"/>
            <w:vAlign w:val="bottom"/>
          </w:tcPr>
          <w:p>
            <w:pPr>
              <w:spacing w:after="0"/>
              <w:rPr>
                <w:sz w:val="1"/>
                <w:szCs w:val="1"/>
                <w:color w:val="auto"/>
              </w:rPr>
            </w:pPr>
          </w:p>
        </w:tc>
      </w:tr>
      <w:tr>
        <w:trPr>
          <w:trHeight w:val="216"/>
        </w:trPr>
        <w:tc>
          <w:tcPr>
            <w:tcW w:w="520" w:type="dxa"/>
            <w:vAlign w:val="bottom"/>
          </w:tcPr>
          <w:p>
            <w:pPr>
              <w:jc w:val="center"/>
              <w:ind w:right="74"/>
              <w:spacing w:after="0"/>
              <w:rPr>
                <w:sz w:val="20"/>
                <w:szCs w:val="20"/>
                <w:color w:val="auto"/>
              </w:rPr>
            </w:pPr>
            <w:r>
              <w:rPr>
                <w:rFonts w:ascii="Arial" w:cs="Arial" w:eastAsia="Arial" w:hAnsi="Arial"/>
                <w:sz w:val="18"/>
                <w:szCs w:val="18"/>
                <w:color w:val="auto"/>
                <w:strike w:val="1"/>
                <w:w w:val="79"/>
              </w:rPr>
              <w:t>2</w:t>
            </w:r>
          </w:p>
        </w:tc>
        <w:tc>
          <w:tcPr>
            <w:tcW w:w="2100" w:type="dxa"/>
            <w:vAlign w:val="bottom"/>
          </w:tcPr>
          <w:p>
            <w:pPr>
              <w:jc w:val="center"/>
              <w:ind w:right="136"/>
              <w:spacing w:after="0"/>
              <w:rPr>
                <w:sz w:val="20"/>
                <w:szCs w:val="20"/>
                <w:color w:val="auto"/>
              </w:rPr>
            </w:pPr>
            <w:r>
              <w:rPr>
                <w:rFonts w:ascii="Arial" w:cs="Arial" w:eastAsia="Arial" w:hAnsi="Arial"/>
                <w:sz w:val="18"/>
                <w:szCs w:val="18"/>
                <w:color w:val="auto"/>
                <w:strike w:val="1"/>
                <w:w w:val="90"/>
              </w:rPr>
              <w:t>³ 1.0:1.0 but &lt; 1.5:1.0</w:t>
            </w:r>
          </w:p>
        </w:tc>
        <w:tc>
          <w:tcPr>
            <w:tcW w:w="2200" w:type="dxa"/>
            <w:vAlign w:val="bottom"/>
          </w:tcPr>
          <w:p>
            <w:pPr>
              <w:jc w:val="center"/>
              <w:spacing w:after="0"/>
              <w:rPr>
                <w:sz w:val="20"/>
                <w:szCs w:val="20"/>
                <w:color w:val="auto"/>
              </w:rPr>
            </w:pPr>
            <w:r>
              <w:rPr>
                <w:rFonts w:ascii="Arial" w:cs="Arial" w:eastAsia="Arial" w:hAnsi="Arial"/>
                <w:sz w:val="18"/>
                <w:szCs w:val="18"/>
                <w:color w:val="auto"/>
                <w:strike w:val="1"/>
                <w:w w:val="90"/>
              </w:rPr>
              <w:t>2.50%</w:t>
            </w:r>
          </w:p>
        </w:tc>
        <w:tc>
          <w:tcPr>
            <w:tcW w:w="2020" w:type="dxa"/>
            <w:vAlign w:val="bottom"/>
          </w:tcPr>
          <w:p>
            <w:pPr>
              <w:jc w:val="center"/>
              <w:ind w:left="76"/>
              <w:spacing w:after="0"/>
              <w:rPr>
                <w:sz w:val="20"/>
                <w:szCs w:val="20"/>
                <w:color w:val="auto"/>
              </w:rPr>
            </w:pPr>
            <w:r>
              <w:rPr>
                <w:rFonts w:ascii="Arial" w:cs="Arial" w:eastAsia="Arial" w:hAnsi="Arial"/>
                <w:sz w:val="18"/>
                <w:szCs w:val="18"/>
                <w:color w:val="auto"/>
                <w:strike w:val="1"/>
                <w:w w:val="90"/>
              </w:rPr>
              <w:t>1.50%</w:t>
            </w:r>
          </w:p>
        </w:tc>
        <w:tc>
          <w:tcPr>
            <w:tcW w:w="2400" w:type="dxa"/>
            <w:vAlign w:val="bottom"/>
          </w:tcPr>
          <w:p>
            <w:pPr>
              <w:jc w:val="center"/>
              <w:ind w:left="99"/>
              <w:spacing w:after="0"/>
              <w:rPr>
                <w:sz w:val="20"/>
                <w:szCs w:val="20"/>
                <w:color w:val="auto"/>
              </w:rPr>
            </w:pPr>
            <w:r>
              <w:rPr>
                <w:rFonts w:ascii="Arial" w:cs="Arial" w:eastAsia="Arial" w:hAnsi="Arial"/>
                <w:sz w:val="18"/>
                <w:szCs w:val="18"/>
                <w:color w:val="auto"/>
                <w:strike w:val="1"/>
                <w:w w:val="90"/>
              </w:rPr>
              <w:t>0.50%</w:t>
            </w:r>
          </w:p>
        </w:tc>
        <w:tc>
          <w:tcPr>
            <w:tcW w:w="2000" w:type="dxa"/>
            <w:vAlign w:val="bottom"/>
          </w:tcPr>
          <w:p>
            <w:pPr>
              <w:jc w:val="center"/>
              <w:ind w:left="159"/>
              <w:spacing w:after="0"/>
              <w:rPr>
                <w:sz w:val="20"/>
                <w:szCs w:val="20"/>
                <w:color w:val="auto"/>
              </w:rPr>
            </w:pPr>
            <w:r>
              <w:rPr>
                <w:rFonts w:ascii="Arial" w:cs="Arial" w:eastAsia="Arial" w:hAnsi="Arial"/>
                <w:sz w:val="18"/>
                <w:szCs w:val="18"/>
                <w:color w:val="auto"/>
                <w:strike w:val="1"/>
                <w:w w:val="93"/>
              </w:rPr>
              <w:t>0.60%</w:t>
            </w:r>
          </w:p>
        </w:tc>
        <w:tc>
          <w:tcPr>
            <w:tcW w:w="0" w:type="dxa"/>
            <w:vAlign w:val="bottom"/>
          </w:tcPr>
          <w:p>
            <w:pPr>
              <w:spacing w:after="0"/>
              <w:rPr>
                <w:sz w:val="1"/>
                <w:szCs w:val="1"/>
                <w:color w:val="auto"/>
              </w:rPr>
            </w:pPr>
          </w:p>
        </w:tc>
      </w:tr>
      <w:tr>
        <w:trPr>
          <w:trHeight w:val="216"/>
        </w:trPr>
        <w:tc>
          <w:tcPr>
            <w:tcW w:w="520" w:type="dxa"/>
            <w:vAlign w:val="bottom"/>
          </w:tcPr>
          <w:p>
            <w:pPr>
              <w:jc w:val="center"/>
              <w:ind w:right="74"/>
              <w:spacing w:after="0"/>
              <w:rPr>
                <w:sz w:val="20"/>
                <w:szCs w:val="20"/>
                <w:color w:val="auto"/>
              </w:rPr>
            </w:pPr>
            <w:r>
              <w:rPr>
                <w:rFonts w:ascii="Arial" w:cs="Arial" w:eastAsia="Arial" w:hAnsi="Arial"/>
                <w:sz w:val="18"/>
                <w:szCs w:val="18"/>
                <w:color w:val="auto"/>
                <w:strike w:val="1"/>
                <w:w w:val="79"/>
              </w:rPr>
              <w:t>3</w:t>
            </w:r>
          </w:p>
        </w:tc>
        <w:tc>
          <w:tcPr>
            <w:tcW w:w="2100" w:type="dxa"/>
            <w:vAlign w:val="bottom"/>
          </w:tcPr>
          <w:p>
            <w:pPr>
              <w:jc w:val="center"/>
              <w:ind w:right="136"/>
              <w:spacing w:after="0"/>
              <w:rPr>
                <w:sz w:val="20"/>
                <w:szCs w:val="20"/>
                <w:color w:val="auto"/>
              </w:rPr>
            </w:pPr>
            <w:r>
              <w:rPr>
                <w:rFonts w:ascii="Arial" w:cs="Arial" w:eastAsia="Arial" w:hAnsi="Arial"/>
                <w:sz w:val="18"/>
                <w:szCs w:val="18"/>
                <w:color w:val="auto"/>
                <w:strike w:val="1"/>
                <w:w w:val="90"/>
              </w:rPr>
              <w:t>³ 1.5:1.0 but &lt; 2.0:1.0</w:t>
            </w:r>
          </w:p>
        </w:tc>
        <w:tc>
          <w:tcPr>
            <w:tcW w:w="2200" w:type="dxa"/>
            <w:vAlign w:val="bottom"/>
          </w:tcPr>
          <w:p>
            <w:pPr>
              <w:jc w:val="center"/>
              <w:spacing w:after="0"/>
              <w:rPr>
                <w:sz w:val="20"/>
                <w:szCs w:val="20"/>
                <w:color w:val="auto"/>
              </w:rPr>
            </w:pPr>
            <w:r>
              <w:rPr>
                <w:rFonts w:ascii="Arial" w:cs="Arial" w:eastAsia="Arial" w:hAnsi="Arial"/>
                <w:sz w:val="18"/>
                <w:szCs w:val="18"/>
                <w:color w:val="auto"/>
                <w:strike w:val="1"/>
                <w:w w:val="90"/>
              </w:rPr>
              <w:t>2.75%</w:t>
            </w:r>
          </w:p>
        </w:tc>
        <w:tc>
          <w:tcPr>
            <w:tcW w:w="2020" w:type="dxa"/>
            <w:vAlign w:val="bottom"/>
          </w:tcPr>
          <w:p>
            <w:pPr>
              <w:jc w:val="center"/>
              <w:ind w:left="76"/>
              <w:spacing w:after="0"/>
              <w:rPr>
                <w:sz w:val="20"/>
                <w:szCs w:val="20"/>
                <w:color w:val="auto"/>
              </w:rPr>
            </w:pPr>
            <w:r>
              <w:rPr>
                <w:rFonts w:ascii="Arial" w:cs="Arial" w:eastAsia="Arial" w:hAnsi="Arial"/>
                <w:sz w:val="18"/>
                <w:szCs w:val="18"/>
                <w:color w:val="auto"/>
                <w:strike w:val="1"/>
                <w:w w:val="90"/>
              </w:rPr>
              <w:t>1.75%</w:t>
            </w:r>
          </w:p>
        </w:tc>
        <w:tc>
          <w:tcPr>
            <w:tcW w:w="2400" w:type="dxa"/>
            <w:vAlign w:val="bottom"/>
          </w:tcPr>
          <w:p>
            <w:pPr>
              <w:jc w:val="center"/>
              <w:ind w:left="99"/>
              <w:spacing w:after="0"/>
              <w:rPr>
                <w:sz w:val="20"/>
                <w:szCs w:val="20"/>
                <w:color w:val="auto"/>
              </w:rPr>
            </w:pPr>
            <w:r>
              <w:rPr>
                <w:rFonts w:ascii="Arial" w:cs="Arial" w:eastAsia="Arial" w:hAnsi="Arial"/>
                <w:sz w:val="18"/>
                <w:szCs w:val="18"/>
                <w:color w:val="auto"/>
                <w:strike w:val="1"/>
                <w:w w:val="90"/>
              </w:rPr>
              <w:t>0.55%</w:t>
            </w:r>
          </w:p>
        </w:tc>
        <w:tc>
          <w:tcPr>
            <w:tcW w:w="2000" w:type="dxa"/>
            <w:vAlign w:val="bottom"/>
          </w:tcPr>
          <w:p>
            <w:pPr>
              <w:jc w:val="center"/>
              <w:ind w:left="159"/>
              <w:spacing w:after="0"/>
              <w:rPr>
                <w:sz w:val="20"/>
                <w:szCs w:val="20"/>
                <w:color w:val="auto"/>
              </w:rPr>
            </w:pPr>
            <w:r>
              <w:rPr>
                <w:rFonts w:ascii="Arial" w:cs="Arial" w:eastAsia="Arial" w:hAnsi="Arial"/>
                <w:sz w:val="18"/>
                <w:szCs w:val="18"/>
                <w:color w:val="auto"/>
                <w:strike w:val="1"/>
                <w:w w:val="93"/>
              </w:rPr>
              <w:t>0.65%</w:t>
            </w:r>
          </w:p>
        </w:tc>
        <w:tc>
          <w:tcPr>
            <w:tcW w:w="0" w:type="dxa"/>
            <w:vAlign w:val="bottom"/>
          </w:tcPr>
          <w:p>
            <w:pPr>
              <w:spacing w:after="0"/>
              <w:rPr>
                <w:sz w:val="1"/>
                <w:szCs w:val="1"/>
                <w:color w:val="auto"/>
              </w:rPr>
            </w:pPr>
          </w:p>
        </w:tc>
      </w:tr>
      <w:tr>
        <w:trPr>
          <w:trHeight w:val="230"/>
        </w:trPr>
        <w:tc>
          <w:tcPr>
            <w:tcW w:w="520" w:type="dxa"/>
            <w:vAlign w:val="bottom"/>
          </w:tcPr>
          <w:p>
            <w:pPr>
              <w:jc w:val="center"/>
              <w:ind w:right="74"/>
              <w:spacing w:after="0"/>
              <w:rPr>
                <w:sz w:val="20"/>
                <w:szCs w:val="20"/>
                <w:color w:val="auto"/>
              </w:rPr>
            </w:pPr>
            <w:r>
              <w:rPr>
                <w:rFonts w:ascii="Arial" w:cs="Arial" w:eastAsia="Arial" w:hAnsi="Arial"/>
                <w:sz w:val="18"/>
                <w:szCs w:val="18"/>
                <w:color w:val="auto"/>
                <w:strike w:val="1"/>
                <w:w w:val="79"/>
              </w:rPr>
              <w:t>4</w:t>
            </w:r>
          </w:p>
        </w:tc>
        <w:tc>
          <w:tcPr>
            <w:tcW w:w="2100" w:type="dxa"/>
            <w:vAlign w:val="bottom"/>
          </w:tcPr>
          <w:p>
            <w:pPr>
              <w:jc w:val="right"/>
              <w:ind w:right="776"/>
              <w:spacing w:after="0"/>
              <w:rPr>
                <w:sz w:val="20"/>
                <w:szCs w:val="20"/>
                <w:color w:val="auto"/>
              </w:rPr>
            </w:pPr>
            <w:r>
              <w:rPr>
                <w:rFonts w:ascii="Arial" w:cs="Arial" w:eastAsia="Arial" w:hAnsi="Arial"/>
                <w:sz w:val="18"/>
                <w:szCs w:val="18"/>
                <w:color w:val="auto"/>
                <w:strike w:val="1"/>
              </w:rPr>
              <w:t>³ 2.0:1.0</w:t>
            </w:r>
          </w:p>
        </w:tc>
        <w:tc>
          <w:tcPr>
            <w:tcW w:w="2200" w:type="dxa"/>
            <w:vAlign w:val="bottom"/>
          </w:tcPr>
          <w:p>
            <w:pPr>
              <w:jc w:val="center"/>
              <w:spacing w:after="0"/>
              <w:rPr>
                <w:sz w:val="20"/>
                <w:szCs w:val="20"/>
                <w:color w:val="auto"/>
              </w:rPr>
            </w:pPr>
            <w:r>
              <w:rPr>
                <w:rFonts w:ascii="Arial" w:cs="Arial" w:eastAsia="Arial" w:hAnsi="Arial"/>
                <w:sz w:val="18"/>
                <w:szCs w:val="18"/>
                <w:color w:val="auto"/>
                <w:strike w:val="1"/>
                <w:w w:val="90"/>
              </w:rPr>
              <w:t>3.00%</w:t>
            </w:r>
          </w:p>
        </w:tc>
        <w:tc>
          <w:tcPr>
            <w:tcW w:w="2020" w:type="dxa"/>
            <w:vAlign w:val="bottom"/>
          </w:tcPr>
          <w:p>
            <w:pPr>
              <w:jc w:val="center"/>
              <w:ind w:left="76"/>
              <w:spacing w:after="0"/>
              <w:rPr>
                <w:sz w:val="20"/>
                <w:szCs w:val="20"/>
                <w:color w:val="auto"/>
              </w:rPr>
            </w:pPr>
            <w:r>
              <w:rPr>
                <w:rFonts w:ascii="Arial" w:cs="Arial" w:eastAsia="Arial" w:hAnsi="Arial"/>
                <w:sz w:val="18"/>
                <w:szCs w:val="18"/>
                <w:color w:val="auto"/>
                <w:strike w:val="1"/>
                <w:w w:val="90"/>
              </w:rPr>
              <w:t>2.00%</w:t>
            </w:r>
          </w:p>
        </w:tc>
        <w:tc>
          <w:tcPr>
            <w:tcW w:w="2400" w:type="dxa"/>
            <w:vAlign w:val="bottom"/>
          </w:tcPr>
          <w:p>
            <w:pPr>
              <w:jc w:val="center"/>
              <w:ind w:left="99"/>
              <w:spacing w:after="0"/>
              <w:rPr>
                <w:sz w:val="20"/>
                <w:szCs w:val="20"/>
                <w:color w:val="auto"/>
              </w:rPr>
            </w:pPr>
            <w:r>
              <w:rPr>
                <w:rFonts w:ascii="Arial" w:cs="Arial" w:eastAsia="Arial" w:hAnsi="Arial"/>
                <w:sz w:val="18"/>
                <w:szCs w:val="18"/>
                <w:color w:val="auto"/>
                <w:strike w:val="1"/>
                <w:w w:val="90"/>
              </w:rPr>
              <w:t>0.60%</w:t>
            </w:r>
          </w:p>
        </w:tc>
        <w:tc>
          <w:tcPr>
            <w:tcW w:w="2000" w:type="dxa"/>
            <w:vAlign w:val="bottom"/>
          </w:tcPr>
          <w:p>
            <w:pPr>
              <w:jc w:val="center"/>
              <w:ind w:left="159"/>
              <w:spacing w:after="0"/>
              <w:rPr>
                <w:sz w:val="20"/>
                <w:szCs w:val="20"/>
                <w:color w:val="auto"/>
              </w:rPr>
            </w:pPr>
            <w:r>
              <w:rPr>
                <w:rFonts w:ascii="Arial" w:cs="Arial" w:eastAsia="Arial" w:hAnsi="Arial"/>
                <w:sz w:val="18"/>
                <w:szCs w:val="18"/>
                <w:color w:val="auto"/>
                <w:strike w:val="1"/>
                <w:w w:val="93"/>
              </w:rPr>
              <w:t>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-556895</wp:posOffset>
            </wp:positionV>
            <wp:extent cx="6997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8" w:lineRule="exact"/>
        <w:rPr>
          <w:sz w:val="20"/>
          <w:szCs w:val="20"/>
          <w:color w:val="auto"/>
        </w:rPr>
      </w:pPr>
    </w:p>
    <w:p>
      <w:pPr>
        <w:ind w:right="100" w:firstLine="464"/>
        <w:spacing w:after="0" w:line="302" w:lineRule="auto"/>
        <w:tabs>
          <w:tab w:leader="none" w:pos="701" w:val="left"/>
        </w:tabs>
        <w:numPr>
          <w:ilvl w:val="0"/>
          <w:numId w:val="51"/>
        </w:numPr>
        <w:rPr>
          <w:rFonts w:ascii="Arial" w:cs="Arial" w:eastAsia="Arial" w:hAnsi="Arial"/>
          <w:sz w:val="16"/>
          <w:szCs w:val="16"/>
          <w:color w:val="auto"/>
          <w:strike w:val="1"/>
        </w:rPr>
      </w:pPr>
      <w:r>
        <w:rPr>
          <w:rFonts w:ascii="Arial" w:cs="Arial" w:eastAsia="Arial" w:hAnsi="Arial"/>
          <w:sz w:val="16"/>
          <w:szCs w:val="16"/>
          <w:color w:val="auto"/>
          <w:strike w:val="1"/>
        </w:rPr>
        <w:t>The Borrower shall pay to the Administrative Agent, for the account of each Lender in accordance with its Applicable Percentage, an additional commitment fee equal to the product of (i) one twentieth of one percent (0.05%) times (ii) the unused portion of the Term Commitments on the Term Loan Alternate Fee Date, which such fee shall be (A) fully earned and payable on the Term Loan Alternate Fee Date, (B) nonrefundable for any reason whatsoever and (C) in addition to any other fees, costs and expenses payable pursuant to the Loan Documents, including any other Commitment Fees.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2.08 </w:t>
      </w:r>
      <w:r>
        <w:rPr>
          <w:rFonts w:ascii="Arial" w:cs="Arial" w:eastAsia="Arial" w:hAnsi="Arial"/>
          <w:sz w:val="18"/>
          <w:szCs w:val="18"/>
          <w:b w:val="1"/>
          <w:bCs w:val="1"/>
          <w:u w:val="single" w:color="auto"/>
          <w:color w:val="auto"/>
        </w:rPr>
        <w:t>Computation of Interest and Fees; Retroactive Adjustments of Applicable Rate</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55" w:lineRule="auto"/>
        <w:tabs>
          <w:tab w:leader="none" w:pos="70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2.10(a), bear interest for one (1) day. Each determination by the Administrative Agent of an interest rate or fee hereunder shall be conclusive and binding for all purposes, absent manifest error.</w:t>
      </w:r>
    </w:p>
    <w:p>
      <w:pPr>
        <w:spacing w:after="0" w:line="189" w:lineRule="exact"/>
        <w:rPr>
          <w:rFonts w:ascii="Arial" w:cs="Arial" w:eastAsia="Arial" w:hAnsi="Arial"/>
          <w:sz w:val="18"/>
          <w:szCs w:val="18"/>
          <w:color w:val="auto"/>
        </w:rPr>
      </w:pPr>
    </w:p>
    <w:p>
      <w:pPr>
        <w:ind w:right="100" w:firstLine="464"/>
        <w:spacing w:after="0" w:line="270" w:lineRule="auto"/>
        <w:tabs>
          <w:tab w:leader="none" w:pos="711"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Financial Statement Adjustments or Restatements</w:t>
      </w:r>
      <w:r>
        <w:rPr>
          <w:rFonts w:ascii="Arial" w:cs="Arial" w:eastAsia="Arial" w:hAnsi="Arial"/>
          <w:sz w:val="17"/>
          <w:szCs w:val="17"/>
          <w:color w:val="auto"/>
        </w:rPr>
        <w:t>. If, as a result of any restatement of or other adjustment to the financial statements of the Company and its Subsidiaries or for any other reason, the Company, or the Lenders determine that (i) the Consolidated Total Leverage Ratio as calculated by the Company as of any applicable date was inaccurate and (ii) a proper calculation of the Consolidated Total Leverage Ratio would have resulted in higher pricing for such period, the Company shall immediately and retroactively be obligated to pay to the Administrative Agent for the account of the applicable Lenders promptly on demand by the Administrative Agent (or, after the occurrence of an actual or deemed entry of an order for relief with respect to the Company under the Bankruptcy Code of the United States or Cayman Islands, automatically and without further action by the Administrative Agent or any Lender), an amount equal to the excess of the amount of interest and fees that should have been paid for such period over the amount of interest and fees actually paid for such period. This paragraph shall not limit the rights of the Administrative Agent or any Lender under any provision of this Agreement to payment of any Obligations hereunder at the Default Rate or under Article VIII. The Company’s obligations under this paragraph shall survive the termination of the Aggregate Commitments and the repayment of all other Obligations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6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2.09 </w:t>
      </w:r>
      <w:r>
        <w:rPr>
          <w:rFonts w:ascii="Arial" w:cs="Arial" w:eastAsia="Arial" w:hAnsi="Arial"/>
          <w:sz w:val="18"/>
          <w:szCs w:val="18"/>
          <w:b w:val="1"/>
          <w:bCs w:val="1"/>
          <w:u w:val="single" w:color="auto"/>
          <w:color w:val="auto"/>
        </w:rPr>
        <w:t>Evidence of Debt</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b w:val="1"/>
          <w:bCs w:val="1"/>
          <w:u w:val="single" w:color="auto"/>
          <w:color w:val="auto"/>
        </w:rPr>
        <w:t>Payments Generally; Administrative Agent’s Clawback</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70" w:lineRule="auto"/>
        <w:tabs>
          <w:tab w:leader="none" w:pos="70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73" w:lineRule="exact"/>
        <w:rPr>
          <w:rFonts w:ascii="Arial" w:cs="Arial" w:eastAsia="Arial" w:hAnsi="Arial"/>
          <w:sz w:val="17"/>
          <w:szCs w:val="17"/>
          <w:color w:val="auto"/>
        </w:rPr>
      </w:pPr>
    </w:p>
    <w:p>
      <w:pPr>
        <w:ind w:left="460" w:firstLine="4"/>
        <w:spacing w:after="0" w:line="267" w:lineRule="auto"/>
        <w:tabs>
          <w:tab w:leader="none" w:pos="7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received notice from a Lender prior to the proposed date of any Credit Extension of Eurodollar Rate Loans (or, in the case of any Credit Extension of Base Rate Loans, prior to 12:00 noon on the date of such Credit Extension) that such Lender will not make available to the Administrative Agent such Lender’s share of such Credit Extension,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Credit Extension of Base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and may, in reliance upon such assumption, make available to the Borrower a corresponding amount. In such event, if a Lender has not in fact made its share of the applicable Credit Extension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Credit Extension to the Administrative Agent, then the amount so paid shall constitute such Lender’s Loan included in such Credit Extension. Any payment by the Borrower shall be without prejudice to any claim the Borrower may have against a Lender that shall have failed to make such payment to the Administrative Agent.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0" w:right="259" w:bottom="1440" w:gutter="0" w:footer="0" w:header="0"/>
        </w:sectPr>
      </w:pPr>
    </w:p>
    <w:bookmarkStart w:id="62" w:name="page63"/>
    <w:bookmarkEnd w:id="62"/>
    <w:p>
      <w:pPr>
        <w:ind w:left="460" w:right="40" w:firstLine="443"/>
        <w:spacing w:after="0" w:line="271" w:lineRule="auto"/>
        <w:tabs>
          <w:tab w:leader="none" w:pos="116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by Borrower; Presumptions by Administrative Agent</w:t>
      </w:r>
      <w:r>
        <w:rPr>
          <w:rFonts w:ascii="Arial" w:cs="Arial" w:eastAsia="Arial" w:hAnsi="Arial"/>
          <w:sz w:val="17"/>
          <w:szCs w:val="17"/>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Appropriate Lenders the amount due. In such event, if the Borrower has not in fact made such payment, then each of the Appropriate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be conclusive, absent manifest error.</w:t>
      </w:r>
    </w:p>
    <w:p>
      <w:pPr>
        <w:spacing w:after="0" w:line="170" w:lineRule="exact"/>
        <w:rPr>
          <w:sz w:val="20"/>
          <w:szCs w:val="20"/>
          <w:color w:val="auto"/>
        </w:rPr>
      </w:pPr>
    </w:p>
    <w:p>
      <w:pPr>
        <w:ind w:right="60" w:firstLine="464"/>
        <w:spacing w:after="0" w:line="279" w:lineRule="auto"/>
        <w:tabs>
          <w:tab w:leader="none" w:pos="70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If any Lender makes available to the Administrative Agent funds for any Loan to be made by such Lender as provided in the foregoing provisions of this Article II, and such funds are not made available to the Borrower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ind w:right="280" w:firstLine="464"/>
        <w:spacing w:after="0" w:line="279" w:lineRule="auto"/>
        <w:tabs>
          <w:tab w:leader="none" w:pos="71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Term Loans and Revolving Loans and to make payments pursuant to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are several and not joint. The failure of any Lender to make any Loan or to make any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320" w:firstLine="464"/>
        <w:spacing w:after="0" w:line="308" w:lineRule="auto"/>
        <w:tabs>
          <w:tab w:leader="none" w:pos="70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6" w:lineRule="exact"/>
        <w:rPr>
          <w:rFonts w:ascii="Arial" w:cs="Arial" w:eastAsia="Arial" w:hAnsi="Arial"/>
          <w:sz w:val="17"/>
          <w:szCs w:val="17"/>
          <w:color w:val="auto"/>
        </w:rPr>
      </w:pPr>
    </w:p>
    <w:p>
      <w:pPr>
        <w:ind w:firstLine="464"/>
        <w:spacing w:after="0" w:line="271" w:lineRule="auto"/>
        <w:tabs>
          <w:tab w:leader="none" w:pos="68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Pro Rata Treatment</w:t>
      </w:r>
      <w:r>
        <w:rPr>
          <w:rFonts w:ascii="Arial" w:cs="Arial" w:eastAsia="Arial" w:hAnsi="Arial"/>
          <w:sz w:val="17"/>
          <w:szCs w:val="17"/>
          <w:color w:val="auto"/>
        </w:rPr>
        <w:t xml:space="preserve">. Except to the extent otherwise provided herein: (i) each Credit Extension shall be made from the Appropriate Lenders, each payment of fees under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shall be made for account of the Appropriate Lenders, and each termination or reduction of the amount of the Commitments shall be applied to the respective Commitments of the Lenders, pro rata according to the amounts of their respective Commitments; (ii) each Credit Extension shall be allocated pro rata among the Lenders according to the amounts of their respective Commitments or their respective Loans that are to be included in such Credit Extension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2.11 </w:t>
      </w:r>
      <w:r>
        <w:rPr>
          <w:rFonts w:ascii="Arial" w:cs="Arial" w:eastAsia="Arial" w:hAnsi="Arial"/>
          <w:sz w:val="18"/>
          <w:szCs w:val="18"/>
          <w:b w:val="1"/>
          <w:bCs w:val="1"/>
          <w:u w:val="single" w:color="auto"/>
          <w:color w:val="auto"/>
        </w:rPr>
        <w:t>Sharing of Payments by Lenders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w:t>
      </w:r>
    </w:p>
    <w:p>
      <w:pPr>
        <w:spacing w:after="0" w:line="2" w:lineRule="exact"/>
        <w:rPr>
          <w:sz w:val="20"/>
          <w:szCs w:val="20"/>
          <w:color w:val="auto"/>
        </w:rPr>
      </w:pPr>
    </w:p>
    <w:p>
      <w:pPr>
        <w:jc w:val="both"/>
        <w:ind w:right="20" w:firstLine="8"/>
        <w:spacing w:after="0" w:line="281" w:lineRule="auto"/>
        <w:tabs>
          <w:tab w:leader="none" w:pos="2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w:t>
      </w:r>
    </w:p>
    <w:p>
      <w:pPr>
        <w:spacing w:after="0" w:line="1" w:lineRule="exact"/>
        <w:rPr>
          <w:rFonts w:ascii="Arial" w:cs="Arial" w:eastAsia="Arial" w:hAnsi="Arial"/>
          <w:sz w:val="16"/>
          <w:szCs w:val="16"/>
          <w:color w:val="auto"/>
        </w:rPr>
      </w:pPr>
    </w:p>
    <w:p>
      <w:pPr>
        <w:ind w:right="120" w:firstLine="8"/>
        <w:spacing w:after="0" w:line="269" w:lineRule="auto"/>
        <w:tabs>
          <w:tab w:leader="none" w:pos="265"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2" w:lineRule="exact"/>
        <w:rPr>
          <w:rFonts w:ascii="Arial" w:cs="Arial" w:eastAsia="Arial" w:hAnsi="Arial"/>
          <w:sz w:val="17"/>
          <w:szCs w:val="17"/>
          <w:color w:val="auto"/>
        </w:rPr>
      </w:pPr>
    </w:p>
    <w:p>
      <w:pPr>
        <w:ind w:left="460" w:right="380" w:firstLine="443"/>
        <w:spacing w:after="0" w:line="277" w:lineRule="auto"/>
        <w:tabs>
          <w:tab w:leader="none" w:pos="1153"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62" w:lineRule="exact"/>
        <w:rPr>
          <w:rFonts w:ascii="Arial" w:cs="Arial" w:eastAsia="Arial" w:hAnsi="Arial"/>
          <w:sz w:val="18"/>
          <w:szCs w:val="18"/>
          <w:color w:val="auto"/>
        </w:rPr>
      </w:pPr>
    </w:p>
    <w:p>
      <w:pPr>
        <w:ind w:left="460" w:right="140" w:firstLine="443"/>
        <w:spacing w:after="0" w:line="279" w:lineRule="auto"/>
        <w:tabs>
          <w:tab w:leader="none" w:pos="1153"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any Loan Party or any Affiliate thereof (as to which the provisions of this Section shall apply).</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Defaulting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240" w:firstLine="464"/>
        <w:spacing w:after="0" w:line="277" w:lineRule="auto"/>
        <w:tabs>
          <w:tab w:leader="none" w:pos="70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13"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140" w:firstLine="443"/>
        <w:spacing w:after="0" w:line="308" w:lineRule="auto"/>
        <w:tabs>
          <w:tab w:leader="none" w:pos="1163"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or received by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64" w:name="page65"/>
    <w:bookmarkEnd w:id="64"/>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such Defaulting Lender or as otherwise as may be required under the Loan Documents in connection with any Lien conferred thereunder or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(1) such payment is a payment of the principal amount of any Loans in respect of which such Defaulting Lender has not fully funded its appropriate share, and (2) such Loans were made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(or held) to pay amounts owed by a Defaulting Lender pursuant to this </w:t>
      </w:r>
      <w:r>
        <w:rPr>
          <w:rFonts w:ascii="Arial" w:cs="Arial" w:eastAsia="Arial" w:hAnsi="Arial"/>
          <w:sz w:val="16"/>
          <w:szCs w:val="16"/>
          <w:u w:val="single" w:color="auto"/>
          <w:color w:val="auto"/>
        </w:rPr>
        <w:t>Section 2.12(a)(ii)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69" w:lineRule="exact"/>
        <w:rPr>
          <w:sz w:val="20"/>
          <w:szCs w:val="20"/>
          <w:color w:val="auto"/>
        </w:rPr>
      </w:pPr>
    </w:p>
    <w:p>
      <w:pPr>
        <w:ind w:right="120" w:firstLine="464"/>
        <w:spacing w:after="0" w:line="271" w:lineRule="auto"/>
        <w:tabs>
          <w:tab w:leader="none" w:pos="711"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Applicable Percentages,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u w:val="single" w:color="auto"/>
          <w:color w:val="auto"/>
        </w:rPr>
        <w:t>Designated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of the Administrative Agent and each Lender at its option may make any Credit Extension or otherwise perform its obligations hereunder through any Lending Office (each, a “</w:t>
      </w:r>
      <w:r>
        <w:rPr>
          <w:rFonts w:ascii="Arial" w:cs="Arial" w:eastAsia="Arial" w:hAnsi="Arial"/>
          <w:sz w:val="18"/>
          <w:szCs w:val="18"/>
          <w:u w:val="single" w:color="auto"/>
          <w:color w:val="auto"/>
        </w:rPr>
        <w:t>Designated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such Borrower to repay any Credit Extension in accordance with the terms of this Agreement. Any Designated Lender shall be considered a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the case of an Affiliate or branch of a Lender, all provisions applicable to a Lender shall apply to such Affiliate or branch of such Lender to the same extent as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only of voting in connection with any Loan Document, any participation by ay Designated Lender in any outstanding Credit Extension shall be deemed a participation of such Lender.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2.14 </w:t>
      </w:r>
      <w:r>
        <w:rPr>
          <w:rFonts w:ascii="Arial" w:cs="Arial" w:eastAsia="Arial" w:hAnsi="Arial"/>
          <w:sz w:val="18"/>
          <w:szCs w:val="18"/>
          <w:b w:val="1"/>
          <w:bCs w:val="1"/>
          <w:u w:val="single" w:color="auto"/>
          <w:color w:val="auto"/>
        </w:rPr>
        <w:t>Increase in Revolving Facility</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64"/>
        <w:spacing w:after="0" w:line="293" w:lineRule="auto"/>
        <w:tabs>
          <w:tab w:leader="none" w:pos="70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Request for Increase</w:t>
      </w:r>
      <w:r>
        <w:rPr>
          <w:rFonts w:ascii="Arial" w:cs="Arial" w:eastAsia="Arial" w:hAnsi="Arial"/>
          <w:sz w:val="16"/>
          <w:szCs w:val="16"/>
          <w:color w:val="auto"/>
        </w:rPr>
        <w:t>. Provided there exists no Default, upon notice to the Administrative Agent (which shall promptly notify the Revolving Lenders), the Company may from time to time request an increase in the Revolving Facility by an amount (for all such increases that become effective) not exceeding $</w:t>
      </w:r>
      <w:r>
        <w:rPr>
          <w:rFonts w:ascii="Arial" w:cs="Arial" w:eastAsia="Arial" w:hAnsi="Arial"/>
          <w:sz w:val="16"/>
          <w:szCs w:val="16"/>
          <w:color w:val="auto"/>
          <w:strike w:val="1"/>
        </w:rPr>
        <w:t>100,000,000</w:t>
      </w:r>
      <w:r>
        <w:rPr>
          <w:rFonts w:ascii="Arial" w:cs="Arial" w:eastAsia="Arial" w:hAnsi="Arial"/>
          <w:sz w:val="16"/>
          <w:szCs w:val="16"/>
          <w:u w:val="single" w:color="auto"/>
          <w:color w:val="auto"/>
        </w:rPr>
        <w:t>200,000,000</w:t>
      </w:r>
      <w:r>
        <w:rPr>
          <w:rFonts w:ascii="Arial" w:cs="Arial" w:eastAsia="Arial" w:hAnsi="Arial"/>
          <w:sz w:val="16"/>
          <w:szCs w:val="16"/>
          <w:color w:val="auto"/>
        </w:rPr>
        <w:t xml:space="preserve"> (an “</w:t>
      </w:r>
      <w:r>
        <w:rPr>
          <w:rFonts w:ascii="Arial" w:cs="Arial" w:eastAsia="Arial" w:hAnsi="Arial"/>
          <w:sz w:val="16"/>
          <w:szCs w:val="16"/>
          <w:u w:val="single" w:color="auto"/>
          <w:color w:val="auto"/>
        </w:rPr>
        <w:t>Incremental Facility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request for an Incremental Facility shall be in a minimum amount of $25,000,000 and in increments of $5,000,000 in excess thereof, or, if less, the entire remaining unused amount of the Incremental Facility. At the time of sending such notice, the Company (in consultation with the Administrative Agent) shall specify the time period within which each Revolving Lender is requested to respond (which shall in no event be less than ten (10) Business Days from the date of delivery of such notice to the Revolving Lenders).</w:t>
      </w:r>
    </w:p>
    <w:p>
      <w:pPr>
        <w:spacing w:after="0" w:line="164" w:lineRule="exact"/>
        <w:rPr>
          <w:rFonts w:ascii="Arial" w:cs="Arial" w:eastAsia="Arial" w:hAnsi="Arial"/>
          <w:sz w:val="16"/>
          <w:szCs w:val="16"/>
          <w:color w:val="auto"/>
        </w:rPr>
      </w:pPr>
    </w:p>
    <w:p>
      <w:pPr>
        <w:ind w:right="140" w:firstLine="464"/>
        <w:spacing w:after="0" w:line="312" w:lineRule="auto"/>
        <w:tabs>
          <w:tab w:leader="none" w:pos="71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Lender Elections to Increase</w:t>
      </w:r>
      <w:r>
        <w:rPr>
          <w:rFonts w:ascii="Arial" w:cs="Arial" w:eastAsia="Arial" w:hAnsi="Arial"/>
          <w:sz w:val="16"/>
          <w:szCs w:val="16"/>
          <w:color w:val="auto"/>
        </w:rPr>
        <w:t>. Each Revolving Lender shall notify the Administrative Agent within such time period whether or not it agrees to increase its Revolving Commitment and, if so, whether by an amount equal to, greater than, or less than its Applicable Revolving Percentage of such requested increase. Any Revolving Lender not responding within such time period shall be deemed to have declined to increase its Revolving Commitment.</w:t>
      </w:r>
    </w:p>
    <w:p>
      <w:pPr>
        <w:spacing w:after="0" w:line="146" w:lineRule="exact"/>
        <w:rPr>
          <w:rFonts w:ascii="Arial" w:cs="Arial" w:eastAsia="Arial" w:hAnsi="Arial"/>
          <w:sz w:val="16"/>
          <w:szCs w:val="16"/>
          <w:color w:val="auto"/>
        </w:rPr>
      </w:pPr>
    </w:p>
    <w:p>
      <w:pPr>
        <w:ind w:right="220" w:firstLine="464"/>
        <w:spacing w:after="0" w:line="259" w:lineRule="auto"/>
        <w:tabs>
          <w:tab w:leader="none" w:pos="70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 Additional Revolving Lenders</w:t>
      </w:r>
      <w:r>
        <w:rPr>
          <w:rFonts w:ascii="Arial" w:cs="Arial" w:eastAsia="Arial" w:hAnsi="Arial"/>
          <w:sz w:val="18"/>
          <w:szCs w:val="18"/>
          <w:color w:val="auto"/>
        </w:rPr>
        <w:t>. To achieve the full amount of a requested increase, and subject to the approval of the Administrative Agent (which shall not be unreasonably withheld, delayed or conditioned), the Company may also invite additional Eligible Assignees to become Revolving Lenders pursuant to a joinder agreement (“</w:t>
      </w:r>
      <w:r>
        <w:rPr>
          <w:rFonts w:ascii="Arial" w:cs="Arial" w:eastAsia="Arial" w:hAnsi="Arial"/>
          <w:sz w:val="18"/>
          <w:szCs w:val="18"/>
          <w:u w:val="single" w:color="auto"/>
          <w:color w:val="auto"/>
        </w:rPr>
        <w:t>New Revolving Lenders</w:t>
      </w:r>
      <w:r>
        <w:rPr>
          <w:rFonts w:ascii="Arial" w:cs="Arial" w:eastAsia="Arial" w:hAnsi="Arial"/>
          <w:sz w:val="18"/>
          <w:szCs w:val="18"/>
          <w:color w:val="auto"/>
        </w:rPr>
        <w:t>”) in form and substance satisfactory to the Administrative Agent and its counsel.</w:t>
      </w:r>
    </w:p>
    <w:p>
      <w:pPr>
        <w:spacing w:after="0" w:line="186" w:lineRule="exact"/>
        <w:rPr>
          <w:rFonts w:ascii="Arial" w:cs="Arial" w:eastAsia="Arial" w:hAnsi="Arial"/>
          <w:sz w:val="18"/>
          <w:szCs w:val="18"/>
          <w:color w:val="auto"/>
        </w:rPr>
      </w:pPr>
    </w:p>
    <w:p>
      <w:pPr>
        <w:ind w:right="80" w:firstLine="464"/>
        <w:spacing w:after="0" w:line="259"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If the Revolving Facility is increased in accordance with this Section, the Administrative Agent and the Company shall determine the effective date (the “</w:t>
      </w:r>
      <w:r>
        <w:rPr>
          <w:rFonts w:ascii="Arial" w:cs="Arial" w:eastAsia="Arial" w:hAnsi="Arial"/>
          <w:sz w:val="18"/>
          <w:szCs w:val="18"/>
          <w:u w:val="single" w:color="auto"/>
          <w:color w:val="auto"/>
        </w:rPr>
        <w:t>Revolving Increase Effective Date</w:t>
      </w:r>
      <w:r>
        <w:rPr>
          <w:rFonts w:ascii="Arial" w:cs="Arial" w:eastAsia="Arial" w:hAnsi="Arial"/>
          <w:sz w:val="18"/>
          <w:szCs w:val="18"/>
          <w:color w:val="auto"/>
        </w:rPr>
        <w:t>”) and the final allocation of such increase. The Administrative Agent shall promptly notify the Company and the Revolving Lenders and the New Revolving Lenders of the final allocation of such increase and the Revolving Increase Effective Date.</w:t>
      </w:r>
    </w:p>
    <w:p>
      <w:pPr>
        <w:spacing w:after="0" w:line="186" w:lineRule="exact"/>
        <w:rPr>
          <w:rFonts w:ascii="Arial" w:cs="Arial" w:eastAsia="Arial" w:hAnsi="Arial"/>
          <w:sz w:val="18"/>
          <w:szCs w:val="18"/>
          <w:color w:val="auto"/>
        </w:rPr>
      </w:pPr>
    </w:p>
    <w:p>
      <w:pPr>
        <w:ind w:firstLine="464"/>
        <w:spacing w:after="0" w:line="286" w:lineRule="auto"/>
        <w:tabs>
          <w:tab w:leader="none" w:pos="70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xml:space="preserve">. As a condition precedent to such increase, the Company shall deliver to the Administrative Agent a certificate of each Loan Party dated as of the Revolving Increase Effective Date (in sufficient copies for each Lender) signed by a Responsible Officer of such Loan Party (i) certifying and attaching the resolutions adopted by such Loan Party approving or consenting to such increase, and (ii) in the case of the Company, certifying that, before and after giving effect to such increase, (A)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in the case of representations and warranties that contain a materiality qualification, or true and correct in all material respects in the case of representations and warranties that do not contain a materiality qualification, on and as of the Revolving Increase Effective Date (except to the extent such representations and warranties relate to an earlier date, in which case such representations and warranties shall be true and correct, or true and correct in all material respects, as applicable, as of such earlier date), and except that for purposes of this Section, the representations and warranties contained in subsections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both before and after giving effect to the Incremental Facility, no Default exists. The Company shall deliver or cause to be delivered any other customary documents, (including, without limitation, legal opinions) as reasonably requested by the Administrative Agent in connection with any Incremental Facility. The Company shall prepay any Revolving Loans outstanding on the Revolving Increase Effective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to the extent necessary to keep the outstanding Revolving Loans ratable with any revised Applicable Revolving Percentages arising from any nonratable increase in the Revolving Commitments under this Section.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0" w:right="259" w:bottom="1440" w:gutter="0" w:footer="0" w:header="0"/>
        </w:sectPr>
      </w:pPr>
    </w:p>
    <w:bookmarkStart w:id="66" w:name="page67"/>
    <w:bookmarkEnd w:id="66"/>
    <w:p>
      <w:pPr>
        <w:ind w:left="680" w:hanging="216"/>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225"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Incremental Facility</w:t>
      </w:r>
      <w:r>
        <w:rPr>
          <w:rFonts w:ascii="Arial" w:cs="Arial" w:eastAsia="Arial" w:hAnsi="Arial"/>
          <w:sz w:val="18"/>
          <w:szCs w:val="18"/>
          <w:color w:val="auto"/>
        </w:rPr>
        <w:t>. Except as otherwise specifically set forth herein, all of the other terms and conditions applicable to such Incremental Facility shall be identical to the terms and conditions applicable to the Revolving Facility.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b w:val="1"/>
          <w:bCs w:val="1"/>
          <w:u w:val="single" w:color="auto"/>
          <w:color w:val="auto"/>
        </w:rPr>
        <w:t>Designated Borrowers</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86" w:lineRule="auto"/>
        <w:tabs>
          <w:tab w:leader="none" w:pos="70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Designated Borrowers.</w:t>
      </w:r>
      <w:r>
        <w:rPr>
          <w:rFonts w:ascii="Arial" w:cs="Arial" w:eastAsia="Arial" w:hAnsi="Arial"/>
          <w:sz w:val="16"/>
          <w:szCs w:val="16"/>
          <w:color w:val="auto"/>
        </w:rPr>
        <w:t xml:space="preserve"> The Company may at any time, upon not less than fifteen (15) Business Days’ notice from the Company to the Administrative Agent (or such shorter period as may be agreed by the Administrative Agent in its sole discretion), request to designate any additional Subsidiary of the Company (an “</w:t>
      </w:r>
      <w:r>
        <w:rPr>
          <w:rFonts w:ascii="Arial" w:cs="Arial" w:eastAsia="Arial" w:hAnsi="Arial"/>
          <w:sz w:val="16"/>
          <w:szCs w:val="16"/>
          <w:u w:val="single" w:color="auto"/>
          <w:color w:val="auto"/>
        </w:rPr>
        <w:t>Applicant Borrower</w:t>
      </w:r>
      <w:r>
        <w:rPr>
          <w:rFonts w:ascii="Arial" w:cs="Arial" w:eastAsia="Arial" w:hAnsi="Arial"/>
          <w:sz w:val="16"/>
          <w:szCs w:val="16"/>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Arial" w:cs="Arial" w:eastAsia="Arial" w:hAnsi="Arial"/>
          <w:sz w:val="16"/>
          <w:szCs w:val="16"/>
          <w:u w:val="single" w:color="auto"/>
          <w:color w:val="auto"/>
        </w:rPr>
        <w:t>Exhibit P</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Borrower Request and Assumption Agreement</w:t>
      </w:r>
      <w:r>
        <w:rPr>
          <w:rFonts w:ascii="Arial" w:cs="Arial" w:eastAsia="Arial" w:hAnsi="Arial"/>
          <w:sz w:val="16"/>
          <w:szCs w:val="16"/>
          <w:color w:val="auto"/>
        </w:rPr>
        <w:t>”). The parties hereto acknowledge and agree that prior to any Applicant Borrower becoming entitled to utilize the credit facilities provided for herein (i) the Administrative Agent and the Lenders that are to provide Commitments and/or Loans in favor of an Applicant Borrower must each agree to such Applicant Borrower becoming a Designated Borrower and (ii) the Administrative Agent and such Lenders shall have received such supporting resolutions, incumbency certificates, opinions of counsel and other documents or information, in form, content and scope reasonably satisfactory to the Administrative Agent, as may be required by the Administrative Agent, and Notes signed by such new Borrowers to the extent any Lender so requires (the requirements in clauses (i) and (ii) hereof, the “</w:t>
      </w:r>
      <w:r>
        <w:rPr>
          <w:rFonts w:ascii="Arial" w:cs="Arial" w:eastAsia="Arial" w:hAnsi="Arial"/>
          <w:sz w:val="16"/>
          <w:szCs w:val="16"/>
          <w:u w:val="single" w:color="auto"/>
          <w:color w:val="auto"/>
        </w:rPr>
        <w:t>Designated Borrower Requirements</w:t>
      </w:r>
      <w:r>
        <w:rPr>
          <w:rFonts w:ascii="Arial" w:cs="Arial" w:eastAsia="Arial" w:hAnsi="Arial"/>
          <w:sz w:val="16"/>
          <w:szCs w:val="16"/>
          <w:color w:val="auto"/>
        </w:rPr>
        <w:t xml:space="preserve">”). If the Designated Borrower Requirements are met, the Administrative Agent shall send a notice in substantially the form of </w:t>
      </w:r>
      <w:r>
        <w:rPr>
          <w:rFonts w:ascii="Arial" w:cs="Arial" w:eastAsia="Arial" w:hAnsi="Arial"/>
          <w:sz w:val="16"/>
          <w:szCs w:val="16"/>
          <w:u w:val="single" w:color="auto"/>
          <w:color w:val="auto"/>
        </w:rPr>
        <w:t>Exhibit Q</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Notice</w:t>
      </w:r>
      <w:r>
        <w:rPr>
          <w:rFonts w:ascii="Arial" w:cs="Arial" w:eastAsia="Arial" w:hAnsi="Arial"/>
          <w:sz w:val="16"/>
          <w:szCs w:val="16"/>
          <w:color w:val="auto"/>
        </w:rPr>
        <w:t xml:space="preserve">”) to the Company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Borrower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Loan Notice may be submitted by or on behalf of such Designated Borrower until the date five (5) Business Days after such effective date.</w:t>
      </w:r>
    </w:p>
    <w:p>
      <w:pPr>
        <w:spacing w:after="0" w:line="168" w:lineRule="exact"/>
        <w:rPr>
          <w:rFonts w:ascii="Arial" w:cs="Arial" w:eastAsia="Arial" w:hAnsi="Arial"/>
          <w:sz w:val="16"/>
          <w:szCs w:val="16"/>
          <w:color w:val="auto"/>
        </w:rPr>
      </w:pPr>
    </w:p>
    <w:p>
      <w:pPr>
        <w:ind w:right="20" w:firstLine="464"/>
        <w:spacing w:after="0" w:line="302" w:lineRule="auto"/>
        <w:tabs>
          <w:tab w:leader="none" w:pos="71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Except as specifically provided herein, the Secured Obligations of the Company and each of the Borrowers shall be joint and several in nature (unless such joint and several liability is not permitted by any Law applicable to such Designated Borrower, in which case, the liability of such Designated Borrower shall be several in nature) regardless of which such Person actually receives Credit Extensions hereunder or the amount of such Credit Extensions received or the manner in which the Administrative Agent or any Lender accounts for such Credit Extensions on its books and records.</w:t>
      </w:r>
    </w:p>
    <w:p>
      <w:pPr>
        <w:spacing w:after="0" w:line="154" w:lineRule="exact"/>
        <w:rPr>
          <w:rFonts w:ascii="Arial" w:cs="Arial" w:eastAsia="Arial" w:hAnsi="Arial"/>
          <w:sz w:val="16"/>
          <w:szCs w:val="16"/>
          <w:color w:val="auto"/>
        </w:rPr>
      </w:pPr>
    </w:p>
    <w:p>
      <w:pPr>
        <w:ind w:right="40" w:firstLine="464"/>
        <w:spacing w:after="0" w:line="293" w:lineRule="auto"/>
        <w:tabs>
          <w:tab w:leader="none" w:pos="70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Appointment</w:t>
      </w:r>
      <w:r>
        <w:rPr>
          <w:rFonts w:ascii="Arial" w:cs="Arial" w:eastAsia="Arial" w:hAnsi="Arial"/>
          <w:sz w:val="16"/>
          <w:szCs w:val="16"/>
          <w:color w:val="auto"/>
        </w:rPr>
        <w:t xml:space="preserve">. Each Subsidiary of the Company that is or becomes a “Designated Borrower”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hereby irrevocably appoints the Company to act as its agent for all purposes of this Agreement and the other Loan Documents and agrees that (i) the Company may execute such documents on behalf of such Designated Borrower as the Company deems appropriate in its sole discretion and each Designated Borrower shall be obligated by all of the terms of any such document executed on its behalf, (ii) any notice or communication delivered by the Administrative Agent or the Lender to the Company shall be deemed delivered to each Designated Borrower and (iii) the Administrative Agent or the Lenders may accept, and be permitted to rely on, any document, instrument or agreement executed by the Company on behalf of each of the Loan Parties.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21" w:lineRule="exact"/>
        <w:rPr>
          <w:sz w:val="20"/>
          <w:szCs w:val="20"/>
          <w:color w:val="auto"/>
        </w:rPr>
      </w:pPr>
    </w:p>
    <w:p>
      <w:pPr>
        <w:ind w:left="700" w:hanging="23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257" w:lineRule="auto"/>
        <w:tabs>
          <w:tab w:leader="none" w:pos="111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subsection (e) below.</w:t>
      </w:r>
    </w:p>
    <w:p>
      <w:pPr>
        <w:spacing w:after="0" w:line="80" w:lineRule="exact"/>
        <w:rPr>
          <w:rFonts w:ascii="Arial" w:cs="Arial" w:eastAsia="Arial" w:hAnsi="Arial"/>
          <w:sz w:val="18"/>
          <w:szCs w:val="18"/>
          <w:color w:val="auto"/>
        </w:rPr>
      </w:pPr>
    </w:p>
    <w:p>
      <w:pPr>
        <w:ind w:left="460" w:firstLine="443"/>
        <w:spacing w:after="0" w:line="288" w:lineRule="auto"/>
        <w:tabs>
          <w:tab w:leader="none" w:pos="1163"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subsection (e) below,</w:t>
      </w:r>
    </w:p>
    <w:p>
      <w:pPr>
        <w:ind w:left="460" w:right="1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83" w:lineRule="exact"/>
        <w:rPr>
          <w:rFonts w:ascii="Arial" w:cs="Arial" w:eastAsia="Arial" w:hAnsi="Arial"/>
          <w:sz w:val="16"/>
          <w:szCs w:val="16"/>
          <w:color w:val="auto"/>
        </w:rPr>
      </w:pPr>
    </w:p>
    <w:p>
      <w:pPr>
        <w:ind w:left="460" w:right="60" w:firstLine="443"/>
        <w:spacing w:after="0" w:line="271" w:lineRule="auto"/>
        <w:tabs>
          <w:tab w:leader="none" w:pos="1213"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subsection (e)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8" w:lineRule="exact"/>
        <w:rPr>
          <w:rFonts w:ascii="Arial" w:cs="Arial" w:eastAsia="Arial" w:hAnsi="Arial"/>
          <w:sz w:val="17"/>
          <w:szCs w:val="17"/>
          <w:color w:val="auto"/>
        </w:rPr>
      </w:pPr>
    </w:p>
    <w:p>
      <w:pPr>
        <w:ind w:right="140" w:firstLine="46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to the relevant Governmental Authority in accordance with applicable law, or at the option of the Administrative Agent timely reimburse it for the payment of, any Other Taxes.</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60" w:firstLine="443"/>
        <w:spacing w:after="0" w:line="272" w:lineRule="auto"/>
        <w:tabs>
          <w:tab w:leader="none" w:pos="1113"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Each of the Loan Parties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0" w:right="239" w:bottom="1440" w:gutter="0" w:footer="0" w:header="0"/>
        </w:sectPr>
      </w:pPr>
    </w:p>
    <w:bookmarkStart w:id="68" w:name="page69"/>
    <w:bookmarkEnd w:id="68"/>
    <w:p>
      <w:pPr>
        <w:ind w:left="44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shall also, and does hereby, jointly and severally indemnify the Administrative Agent, and shall make payment in respect thereof within ten (10) days after demand therefor, for any amount which a Lender for any reason fails to pay indefeasibly to the Administrative Agent as required pursuant to </w:t>
      </w:r>
      <w:r>
        <w:rPr>
          <w:rFonts w:ascii="Arial" w:cs="Arial" w:eastAsia="Arial" w:hAnsi="Arial"/>
          <w:sz w:val="18"/>
          <w:szCs w:val="18"/>
          <w:u w:val="single" w:color="auto"/>
          <w:color w:val="auto"/>
        </w:rPr>
        <w:t>Section 3.01(c)(ii)</w:t>
      </w:r>
      <w:r>
        <w:rPr>
          <w:rFonts w:ascii="Arial" w:cs="Arial" w:eastAsia="Arial" w:hAnsi="Arial"/>
          <w:sz w:val="18"/>
          <w:szCs w:val="18"/>
          <w:color w:val="auto"/>
        </w:rPr>
        <w:t xml:space="preserve"> below.</w:t>
      </w:r>
    </w:p>
    <w:p>
      <w:pPr>
        <w:spacing w:after="0" w:line="73" w:lineRule="exact"/>
        <w:rPr>
          <w:sz w:val="20"/>
          <w:szCs w:val="20"/>
          <w:color w:val="auto"/>
        </w:rPr>
      </w:pPr>
    </w:p>
    <w:p>
      <w:pPr>
        <w:ind w:left="440" w:right="40" w:firstLine="443"/>
        <w:spacing w:after="0" w:line="269" w:lineRule="auto"/>
        <w:tabs>
          <w:tab w:leader="none" w:pos="1143"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Each Lender shall, and does hereby,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Arial" w:cs="Arial" w:eastAsia="Arial" w:hAnsi="Arial"/>
          <w:sz w:val="17"/>
          <w:szCs w:val="17"/>
          <w:u w:val="single" w:color="auto"/>
          <w:color w:val="auto"/>
        </w:rPr>
        <w:t>Section 11.06(d)</w:t>
      </w:r>
      <w:r>
        <w:rPr>
          <w:rFonts w:ascii="Arial" w:cs="Arial" w:eastAsia="Arial" w:hAnsi="Arial"/>
          <w:sz w:val="17"/>
          <w:szCs w:val="17"/>
          <w:color w:val="auto"/>
        </w:rPr>
        <w:t xml:space="preserve"> relating to the maintenance of a Participant Register and (C) the Administrative Agent and the Loan Parties, as applicable, against any Excluded Taxes attributable to such Lender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clause (ii).</w:t>
      </w:r>
    </w:p>
    <w:p>
      <w:pPr>
        <w:spacing w:after="0" w:line="182" w:lineRule="exact"/>
        <w:rPr>
          <w:rFonts w:ascii="Arial" w:cs="Arial" w:eastAsia="Arial" w:hAnsi="Arial"/>
          <w:sz w:val="17"/>
          <w:szCs w:val="17"/>
          <w:color w:val="auto"/>
        </w:rPr>
      </w:pPr>
    </w:p>
    <w:p>
      <w:pPr>
        <w:ind w:left="-20" w:firstLine="464"/>
        <w:spacing w:after="0" w:line="276" w:lineRule="auto"/>
        <w:tabs>
          <w:tab w:leader="none" w:pos="691"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w:t>
      </w:r>
      <w:r>
        <w:rPr>
          <w:rFonts w:ascii="Arial" w:cs="Arial" w:eastAsia="Arial" w:hAnsi="Arial"/>
          <w:sz w:val="17"/>
          <w:szCs w:val="17"/>
          <w:color w:val="auto"/>
          <w:strike w:val="1"/>
        </w:rPr>
        <w:t>Upon request by the Borrower or the Administrative Agent, as the case may be,</w:t>
      </w:r>
      <w:r>
        <w:rPr>
          <w:rFonts w:ascii="Arial" w:cs="Arial" w:eastAsia="Arial" w:hAnsi="Arial"/>
          <w:sz w:val="17"/>
          <w:szCs w:val="17"/>
          <w:u w:val="single" w:color="auto"/>
          <w:color w:val="auto"/>
        </w:rPr>
        <w:t>As soon as practicable</w:t>
      </w:r>
      <w:r>
        <w:rPr>
          <w:rFonts w:ascii="Arial" w:cs="Arial" w:eastAsia="Arial" w:hAnsi="Arial"/>
          <w:sz w:val="17"/>
          <w:szCs w:val="17"/>
          <w:color w:val="auto"/>
        </w:rPr>
        <w:t xml:space="preserve"> after any payment of Taxes by any Loan Party </w:t>
      </w:r>
      <w:r>
        <w:rPr>
          <w:rFonts w:ascii="Arial" w:cs="Arial" w:eastAsia="Arial" w:hAnsi="Arial"/>
          <w:sz w:val="17"/>
          <w:szCs w:val="17"/>
          <w:color w:val="auto"/>
          <w:strike w:val="1"/>
        </w:rPr>
        <w:t>or by the Administrative Agent</w:t>
      </w:r>
      <w:r>
        <w:rPr>
          <w:rFonts w:ascii="Arial" w:cs="Arial" w:eastAsia="Arial" w:hAnsi="Arial"/>
          <w:sz w:val="17"/>
          <w:szCs w:val="17"/>
          <w:color w:val="auto"/>
        </w:rPr>
        <w:t xml:space="preserve"> to a Governmental Authority</w:t>
      </w:r>
      <w:r>
        <w:rPr>
          <w:rFonts w:ascii="Arial" w:cs="Arial" w:eastAsia="Arial" w:hAnsi="Arial"/>
          <w:sz w:val="17"/>
          <w:szCs w:val="17"/>
          <w:u w:val="single" w:color="auto"/>
          <w:color w:val="auto"/>
        </w:rPr>
        <w:t>,</w:t>
      </w:r>
      <w:r>
        <w:rPr>
          <w:rFonts w:ascii="Arial" w:cs="Arial" w:eastAsia="Arial" w:hAnsi="Arial"/>
          <w:sz w:val="17"/>
          <w:szCs w:val="17"/>
          <w:color w:val="auto"/>
        </w:rPr>
        <w:t xml:space="preserve">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the Borrower shall deliver to the Administrative Agent </w:t>
      </w:r>
      <w:r>
        <w:rPr>
          <w:rFonts w:ascii="Arial" w:cs="Arial" w:eastAsia="Arial" w:hAnsi="Arial"/>
          <w:sz w:val="17"/>
          <w:szCs w:val="17"/>
          <w:color w:val="auto"/>
          <w:strike w:val="1"/>
        </w:rPr>
        <w:t>or the Administrative Agent shall deliver to the Borrower, as the case may be,</w:t>
      </w:r>
      <w:r>
        <w:rPr>
          <w:rFonts w:ascii="Arial" w:cs="Arial" w:eastAsia="Arial" w:hAnsi="Arial"/>
          <w:sz w:val="17"/>
          <w:szCs w:val="17"/>
          <w:color w:val="auto"/>
        </w:rPr>
        <w:t xml:space="preserve"> the original or a certified copy of a receipt issued by such Governmental Authority evidencing such payment, a copy of any return </w:t>
      </w:r>
      <w:r>
        <w:rPr>
          <w:rFonts w:ascii="Arial" w:cs="Arial" w:eastAsia="Arial" w:hAnsi="Arial"/>
          <w:sz w:val="17"/>
          <w:szCs w:val="17"/>
          <w:color w:val="auto"/>
          <w:strike w:val="1"/>
        </w:rPr>
        <w:t>required by Laws to report such payment or other evidence of</w:t>
      </w:r>
      <w:r>
        <w:rPr>
          <w:rFonts w:ascii="Arial" w:cs="Arial" w:eastAsia="Arial" w:hAnsi="Arial"/>
          <w:sz w:val="17"/>
          <w:szCs w:val="17"/>
          <w:u w:val="single" w:color="auto"/>
          <w:color w:val="auto"/>
        </w:rPr>
        <w:t>reporting</w:t>
      </w:r>
      <w:r>
        <w:rPr>
          <w:rFonts w:ascii="Arial" w:cs="Arial" w:eastAsia="Arial" w:hAnsi="Arial"/>
          <w:sz w:val="17"/>
          <w:szCs w:val="17"/>
          <w:color w:val="auto"/>
        </w:rPr>
        <w:t xml:space="preserve"> such payment reasonably satisfactory to the </w:t>
      </w:r>
      <w:r>
        <w:rPr>
          <w:rFonts w:ascii="Arial" w:cs="Arial" w:eastAsia="Arial" w:hAnsi="Arial"/>
          <w:sz w:val="17"/>
          <w:szCs w:val="17"/>
          <w:color w:val="auto"/>
          <w:strike w:val="1"/>
        </w:rPr>
        <w:t>Borrower or the</w:t>
      </w:r>
      <w:r>
        <w:rPr>
          <w:rFonts w:ascii="Arial" w:cs="Arial" w:eastAsia="Arial" w:hAnsi="Arial"/>
          <w:sz w:val="17"/>
          <w:szCs w:val="17"/>
          <w:color w:val="auto"/>
        </w:rPr>
        <w:t xml:space="preserve"> Administrative Agent</w:t>
      </w:r>
      <w:r>
        <w:rPr>
          <w:rFonts w:ascii="Arial" w:cs="Arial" w:eastAsia="Arial" w:hAnsi="Arial"/>
          <w:sz w:val="17"/>
          <w:szCs w:val="17"/>
          <w:color w:val="auto"/>
          <w:strike w:val="1"/>
        </w:rPr>
        <w:t>, as the case may be</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680" w:hanging="236"/>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43"/>
        <w:spacing w:after="0" w:line="286" w:lineRule="auto"/>
        <w:tabs>
          <w:tab w:leader="none" w:pos="1093"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w:t>
      </w:r>
      <w:r>
        <w:rPr>
          <w:rFonts w:ascii="Arial" w:cs="Arial" w:eastAsia="Arial" w:hAnsi="Arial"/>
          <w:sz w:val="16"/>
          <w:szCs w:val="16"/>
          <w:color w:val="auto"/>
          <w:strike w:val="1"/>
        </w:rPr>
        <w:t>(including, without limitation, Forms W-9 and W-8)</w:t>
      </w:r>
      <w:r>
        <w:rPr>
          <w:rFonts w:ascii="Arial" w:cs="Arial" w:eastAsia="Arial" w:hAnsi="Arial"/>
          <w:sz w:val="16"/>
          <w:szCs w:val="16"/>
          <w:color w:val="auto"/>
        </w:rPr>
        <w:t xml:space="preserve">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w:t>
      </w:r>
      <w:r>
        <w:rPr>
          <w:rFonts w:ascii="Arial" w:cs="Arial" w:eastAsia="Arial" w:hAnsi="Arial"/>
          <w:sz w:val="16"/>
          <w:szCs w:val="16"/>
          <w:u w:val="single" w:color="auto"/>
          <w:color w:val="auto"/>
        </w:rPr>
        <w:t>(other than such documentation set forth in Section 3.01(e)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(ii)(A), (ii)(B) and (ii)(D) below)</w:t>
      </w:r>
      <w:r>
        <w:rPr>
          <w:rFonts w:ascii="Arial" w:cs="Arial" w:eastAsia="Arial" w:hAnsi="Arial"/>
          <w:sz w:val="16"/>
          <w:szCs w:val="16"/>
          <w:color w:val="auto"/>
        </w:rPr>
        <w:t xml:space="preserve"> shall not be required if in the Lender’s reasonable judgment such completion, execution or submission would subject such Lender to any material unreimbursed cost or expense or would materially prejudice the legal or commercial position of such Lender. For purposes of determining withholding Taxes imposed under FATCA, from and after the effective date of the Second Amendment, the Borrower and the Administrative Agent shall treat (and the Lenders hereby authorize the Administrative Agent to treat) this Agreement as not qualifying as a “grandfathered obligation” within the meaning of Treasury Regulation Section 1.1471-2(b)(2)(i).</w:t>
      </w:r>
    </w:p>
    <w:p>
      <w:pPr>
        <w:spacing w:after="0" w:line="66" w:lineRule="exact"/>
        <w:rPr>
          <w:rFonts w:ascii="Arial" w:cs="Arial" w:eastAsia="Arial" w:hAnsi="Arial"/>
          <w:sz w:val="16"/>
          <w:szCs w:val="16"/>
          <w:color w:val="auto"/>
        </w:rPr>
      </w:pPr>
    </w:p>
    <w:p>
      <w:pPr>
        <w:ind w:left="2140" w:hanging="271"/>
        <w:spacing w:after="0"/>
        <w:tabs>
          <w:tab w:leader="none" w:pos="2140" w:val="left"/>
        </w:tabs>
        <w:numPr>
          <w:ilvl w:val="2"/>
          <w:numId w:val="6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Without limiting the generality of the foregoing, in the event that the Borrower is a U.S. Person,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60" w:top="274" w:right="259" w:bottom="1440" w:gutter="0" w:footer="0" w:header="0"/>
        </w:sectPr>
      </w:pPr>
    </w:p>
    <w:bookmarkStart w:id="69" w:name="page70"/>
    <w:bookmarkEnd w:id="69"/>
    <w:p>
      <w:pPr>
        <w:ind w:left="-280" w:right="460" w:firstLine="421"/>
        <w:spacing w:after="0" w:line="312" w:lineRule="auto"/>
        <w:tabs>
          <w:tab w:leader="none" w:pos="435" w:val="left"/>
        </w:tabs>
        <w:numPr>
          <w:ilvl w:val="0"/>
          <w:numId w:val="6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38" w:lineRule="exact"/>
        <w:rPr>
          <w:rFonts w:ascii="Arial" w:cs="Arial" w:eastAsia="Arial" w:hAnsi="Arial"/>
          <w:sz w:val="16"/>
          <w:szCs w:val="16"/>
          <w:u w:val="single" w:color="auto"/>
          <w:color w:val="auto"/>
        </w:rPr>
      </w:pPr>
    </w:p>
    <w:p>
      <w:pPr>
        <w:ind w:left="-280" w:right="380" w:firstLine="421"/>
        <w:spacing w:after="0" w:line="259" w:lineRule="auto"/>
        <w:tabs>
          <w:tab w:leader="none" w:pos="425" w:val="left"/>
        </w:tabs>
        <w:numPr>
          <w:ilvl w:val="0"/>
          <w:numId w:val="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u w:val="single" w:color="auto"/>
          <w:color w:val="auto"/>
        </w:rPr>
      </w:pPr>
    </w:p>
    <w:p>
      <w:pPr>
        <w:ind w:left="300" w:right="360" w:firstLine="389"/>
        <w:spacing w:after="0" w:line="288" w:lineRule="auto"/>
        <w:tabs>
          <w:tab w:leader="none" w:pos="952" w:val="left"/>
        </w:tabs>
        <w:numPr>
          <w:ilvl w:val="2"/>
          <w:numId w:val="6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w:t>
      </w:r>
    </w:p>
    <w:p>
      <w:pPr>
        <w:ind w:left="300" w:hanging="8"/>
        <w:spacing w:after="0" w:line="255" w:lineRule="auto"/>
        <w:tabs>
          <w:tab w:leader="none" w:pos="555" w:val="left"/>
        </w:tabs>
        <w:numPr>
          <w:ilvl w:val="1"/>
          <w:numId w:val="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82" w:lineRule="exact"/>
        <w:rPr>
          <w:rFonts w:ascii="Arial" w:cs="Arial" w:eastAsia="Arial" w:hAnsi="Arial"/>
          <w:sz w:val="18"/>
          <w:szCs w:val="18"/>
          <w:u w:val="single" w:color="auto"/>
          <w:color w:val="auto"/>
        </w:rPr>
      </w:pPr>
    </w:p>
    <w:p>
      <w:pPr>
        <w:ind w:left="940" w:hanging="251"/>
        <w:spacing w:after="0"/>
        <w:tabs>
          <w:tab w:leader="none" w:pos="940" w:val="left"/>
        </w:tabs>
        <w:numPr>
          <w:ilvl w:val="2"/>
          <w:numId w:val="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executed originals of IRS Form W-8ECI;</w:t>
      </w:r>
    </w:p>
    <w:p>
      <w:pPr>
        <w:spacing w:after="0" w:line="117" w:lineRule="exact"/>
        <w:rPr>
          <w:rFonts w:ascii="Arial" w:cs="Arial" w:eastAsia="Arial" w:hAnsi="Arial"/>
          <w:sz w:val="18"/>
          <w:szCs w:val="18"/>
          <w:u w:val="single" w:color="auto"/>
          <w:color w:val="auto"/>
        </w:rPr>
      </w:pPr>
    </w:p>
    <w:p>
      <w:pPr>
        <w:ind w:left="940" w:hanging="251"/>
        <w:spacing w:after="0"/>
        <w:tabs>
          <w:tab w:leader="none" w:pos="940" w:val="left"/>
        </w:tabs>
        <w:numPr>
          <w:ilvl w:val="2"/>
          <w:numId w:val="6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u w:val="single" w:color="auto"/>
          <w:color w:val="auto"/>
        </w:rPr>
      </w:pPr>
    </w:p>
    <w:p>
      <w:pPr>
        <w:ind w:left="300" w:hanging="8"/>
        <w:spacing w:after="0" w:line="254" w:lineRule="auto"/>
        <w:tabs>
          <w:tab w:leader="none" w:pos="555" w:val="left"/>
        </w:tabs>
        <w:numPr>
          <w:ilvl w:val="1"/>
          <w:numId w:val="6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 certificate substantially in the form of Exhibit M-1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executed copies of IRS Form W-8BEN-E (or W-8BEN, as applicable); or</w:t>
      </w:r>
    </w:p>
    <w:p>
      <w:pPr>
        <w:spacing w:after="0" w:line="81" w:lineRule="exact"/>
        <w:rPr>
          <w:rFonts w:ascii="Arial" w:cs="Arial" w:eastAsia="Arial" w:hAnsi="Arial"/>
          <w:sz w:val="18"/>
          <w:szCs w:val="18"/>
          <w:u w:val="single" w:color="auto"/>
          <w:color w:val="auto"/>
        </w:rPr>
      </w:pPr>
    </w:p>
    <w:p>
      <w:pPr>
        <w:ind w:left="300" w:right="80" w:firstLine="389"/>
        <w:spacing w:after="0" w:line="255" w:lineRule="auto"/>
        <w:tabs>
          <w:tab w:leader="none" w:pos="952" w:val="left"/>
        </w:tabs>
        <w:numPr>
          <w:ilvl w:val="2"/>
          <w:numId w:val="6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to the extent a Foreign Lender is not the beneficial owner, executed copies of IRS Form W-8IMY, accompanied by IRS Form W-8ECI, IRS Form W-8BEN-E (or W-8BEN, as applicable), a U.S. Tax Compliance Certificate substantially in the form of Exhibit M-2 or Exhibit M-3,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M-4 on behalf of each such direct and indirect partner;</w:t>
      </w:r>
    </w:p>
    <w:p>
      <w:pPr>
        <w:spacing w:after="0" w:line="1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00"/>
          </w:cols>
          <w:pgMar w:left="1440" w:top="274" w:right="259" w:bottom="1440" w:gutter="0" w:footer="0" w:header="0"/>
        </w:sectPr>
      </w:pPr>
    </w:p>
    <w:bookmarkStart w:id="70" w:name="page71"/>
    <w:bookmarkEnd w:id="70"/>
    <w:p>
      <w:pPr>
        <w:ind w:left="900" w:right="380" w:firstLine="421"/>
        <w:spacing w:after="0" w:line="273" w:lineRule="auto"/>
        <w:tabs>
          <w:tab w:leader="none" w:pos="1605" w:val="left"/>
        </w:tabs>
        <w:numPr>
          <w:ilvl w:val="0"/>
          <w:numId w:val="6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70" w:lineRule="exact"/>
        <w:rPr>
          <w:rFonts w:ascii="Arial" w:cs="Arial" w:eastAsia="Arial" w:hAnsi="Arial"/>
          <w:sz w:val="17"/>
          <w:szCs w:val="17"/>
          <w:u w:val="single" w:color="auto"/>
          <w:color w:val="auto"/>
        </w:rPr>
      </w:pPr>
    </w:p>
    <w:p>
      <w:pPr>
        <w:ind w:left="900" w:firstLine="421"/>
        <w:spacing w:after="0" w:line="253" w:lineRule="auto"/>
        <w:tabs>
          <w:tab w:leader="none" w:pos="1615" w:val="left"/>
        </w:tabs>
        <w:numPr>
          <w:ilvl w:val="0"/>
          <w:numId w:val="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89" w:lineRule="exact"/>
        <w:rPr>
          <w:sz w:val="20"/>
          <w:szCs w:val="20"/>
          <w:color w:val="auto"/>
        </w:rPr>
      </w:pPr>
    </w:p>
    <w:p>
      <w:pPr>
        <w:ind w:left="440" w:right="6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ii</w:t>
      </w:r>
      <w:r>
        <w:rPr>
          <w:rFonts w:ascii="Arial" w:cs="Arial" w:eastAsia="Arial" w:hAnsi="Arial"/>
          <w:sz w:val="18"/>
          <w:szCs w:val="18"/>
          <w:u w:val="single" w:color="auto"/>
          <w:color w:val="auto"/>
        </w:rPr>
        <w:t>iii</w:t>
      </w:r>
      <w:r>
        <w:rPr>
          <w:rFonts w:ascii="Arial" w:cs="Arial" w:eastAsia="Arial" w:hAnsi="Arial"/>
          <w:sz w:val="18"/>
          <w:szCs w:val="18"/>
          <w:color w:val="auto"/>
        </w:rPr>
        <w:t>) Each Lender agrees that if any form or certification it previously delivered pursuant to this Section 3.01 expires or becomes obsolete or inaccurate in any respect, it shall update such form or certification or promptly notify the Borrower and the Administrative Agent in writing of its legal inability to do so.</w:t>
      </w:r>
    </w:p>
    <w:p>
      <w:pPr>
        <w:spacing w:after="0" w:line="73" w:lineRule="exact"/>
        <w:rPr>
          <w:sz w:val="20"/>
          <w:szCs w:val="20"/>
          <w:color w:val="auto"/>
        </w:rPr>
      </w:pPr>
    </w:p>
    <w:p>
      <w:pPr>
        <w:ind w:left="-20" w:firstLine="464"/>
        <w:spacing w:after="0" w:line="269" w:lineRule="auto"/>
        <w:tabs>
          <w:tab w:leader="none" w:pos="661"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it shall pay to such Loan Party an amount equal to such refund (but only to the extent of indemnity payments made, or additional amounts paid, by such Loan Party under this Section 3.01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60" w:top="274" w:right="259" w:bottom="1440" w:gutter="0" w:footer="0" w:header="0"/>
        </w:sectPr>
      </w:pPr>
    </w:p>
    <w:bookmarkStart w:id="71" w:name="page72"/>
    <w:bookmarkEnd w:id="71"/>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73" w:lineRule="exact"/>
        <w:rPr>
          <w:sz w:val="20"/>
          <w:szCs w:val="20"/>
          <w:color w:val="auto"/>
        </w:rPr>
      </w:pPr>
    </w:p>
    <w:p>
      <w:pPr>
        <w:ind w:right="640" w:firstLine="464"/>
        <w:spacing w:after="0" w:line="264" w:lineRule="auto"/>
        <w:tabs>
          <w:tab w:leader="none" w:pos="71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w:t>
      </w:r>
      <w:r>
        <w:rPr>
          <w:rFonts w:ascii="Arial" w:cs="Arial" w:eastAsia="Arial" w:hAnsi="Arial"/>
          <w:sz w:val="18"/>
          <w:szCs w:val="18"/>
          <w:color w:val="auto"/>
          <w:strike w:val="1"/>
        </w:rPr>
        <w:t>,</w:t>
      </w:r>
      <w:r>
        <w:rPr>
          <w:rFonts w:ascii="Arial" w:cs="Arial" w:eastAsia="Arial" w:hAnsi="Arial"/>
          <w:sz w:val="18"/>
          <w:szCs w:val="18"/>
          <w:color w:val="auto"/>
        </w:rPr>
        <w:t xml:space="preserve"> the termination of the Commitments and the repayment, satisfaction or discharge of all other Obligations.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3.02 </w:t>
      </w:r>
      <w:r>
        <w:rPr>
          <w:rFonts w:ascii="Arial" w:cs="Arial" w:eastAsia="Arial" w:hAnsi="Arial"/>
          <w:sz w:val="18"/>
          <w:szCs w:val="18"/>
          <w:b w:val="1"/>
          <w:bCs w:val="1"/>
          <w:u w:val="single" w:color="auto"/>
          <w:color w:val="auto"/>
        </w:rPr>
        <w:t>Illegality and Designated Lenders</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85" w:lineRule="auto"/>
        <w:tabs>
          <w:tab w:leader="none" w:pos="701" w:val="left"/>
        </w:tabs>
        <w:numPr>
          <w:ilvl w:val="1"/>
          <w:numId w:val="72"/>
        </w:numPr>
        <w:rPr>
          <w:rFonts w:ascii="Arial" w:cs="Arial" w:eastAsia="Arial" w:hAnsi="Arial"/>
          <w:sz w:val="16"/>
          <w:szCs w:val="16"/>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Lending Office to perform any of its obligations hereunder or to make, maintain or fund or charge interest with respect to any Credit Extension,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issue, make, maintain, fund or charge interest with respect to any such Credit Extension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(A)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(B)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72" w:lineRule="exact"/>
        <w:rPr>
          <w:rFonts w:ascii="Arial" w:cs="Arial" w:eastAsia="Arial" w:hAnsi="Arial"/>
          <w:sz w:val="16"/>
          <w:szCs w:val="16"/>
          <w:color w:val="auto"/>
        </w:rPr>
      </w:pPr>
    </w:p>
    <w:p>
      <w:pPr>
        <w:ind w:right="100" w:firstLine="464"/>
        <w:spacing w:after="0" w:line="291" w:lineRule="auto"/>
        <w:tabs>
          <w:tab w:leader="none" w:pos="711" w:val="left"/>
        </w:tabs>
        <w:numPr>
          <w:ilvl w:val="1"/>
          <w:numId w:val="72"/>
        </w:numPr>
        <w:rPr>
          <w:rFonts w:ascii="Arial" w:cs="Arial" w:eastAsia="Arial" w:hAnsi="Arial"/>
          <w:sz w:val="16"/>
          <w:szCs w:val="16"/>
          <w:color w:val="auto"/>
        </w:rPr>
      </w:pPr>
      <w:r>
        <w:rPr>
          <w:rFonts w:ascii="Arial" w:cs="Arial" w:eastAsia="Arial" w:hAnsi="Arial"/>
          <w:sz w:val="16"/>
          <w:szCs w:val="16"/>
          <w:color w:val="auto"/>
        </w:rPr>
        <w:t>If, in any applicable jurisdiction, the Administrative Agent or any Lender or any Designated Lender determines that any Law has made it unlawful, or that any Governmental Authority has asserted that it is unlawful, for the Administrative Agent, or any Lender or its applicable Designated Lender to</w:t>
      </w:r>
    </w:p>
    <w:p>
      <w:pPr>
        <w:ind w:firstLine="8"/>
        <w:spacing w:after="0" w:line="252" w:lineRule="auto"/>
        <w:tabs>
          <w:tab w:leader="none" w:pos="2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 any of its obligations hereunder or under any other Loan Document, (ii) to fund or maintain its participation in any Loan or (iii) issue, make, maintain, fund or charge interest or fees with respect to any Credit Extension, such Person shall promptly notify the Administrative Agent, then, upon the Administrative Agent notifying the Company, and until such notice by such Person is revoked, any obligation of such Person to issue, make, maintain, fund or charge interest or fees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72" w:name="page73"/>
    <w:bookmarkEnd w:id="72"/>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has notified the Company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81" w:lineRule="exact"/>
        <w:rPr>
          <w:sz w:val="20"/>
          <w:szCs w:val="20"/>
          <w:color w:val="auto"/>
        </w:rPr>
      </w:pPr>
    </w:p>
    <w:p>
      <w:pPr>
        <w:ind w:firstLine="464"/>
        <w:spacing w:after="0" w:line="290" w:lineRule="auto"/>
        <w:tabs>
          <w:tab w:leader="none" w:pos="701"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Each Lender at its option may make any Credit Extension to Borrower through a Designated Lender and the provisions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shall apply to such Designated Lender to the same extent as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Credit Extension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any Lender or any Designated Lender determines that any Law has made it unlawful, or that any Governmental Authority has asserted that it is unlawful, for any Lender or its applicable Designated Lender to perform its obligations hereunder or to issue, make, maintain, fund or charge interest with respect to any Credit Extension to the Borrower then, on notice thereof by such Lender to the Borrower through the Administrative Agent, and until such notice by such Lender is revoked, any obligation of such Lender to issue, make, maintain, fund or charge interest with respect to any such Credit Extension shall be suspended. Upon receipt of such notice, the Loan Parties shall take all reasonable actions requested by such Lender to mitigate or avoid such illegality.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auto"/>
          <w:strike w:val="1"/>
        </w:rPr>
        <w:t>a</w:t>
      </w:r>
      <w:r>
        <w:rPr>
          <w:rFonts w:ascii="Arial" w:cs="Arial" w:eastAsia="Arial" w:hAnsi="Arial"/>
          <w:sz w:val="16"/>
          <w:szCs w:val="16"/>
          <w:u w:val="single" w:color="auto"/>
          <w:color w:val="auto"/>
        </w:rPr>
        <w:t>a</w:t>
      </w:r>
      <w:r>
        <w:rPr>
          <w:rFonts w:ascii="Arial" w:cs="Arial" w:eastAsia="Arial" w:hAnsi="Arial"/>
          <w:sz w:val="16"/>
          <w:szCs w:val="16"/>
          <w:color w:val="auto"/>
        </w:rPr>
        <w:t>) If in connection with any request for a Eurodollar Rate Loan or a conversion to or continuation thereof, (i) the Administrative Agent determines that (A) Dollar deposits are not being offered to banks in the London interbank eurodollar market for the applicable amount and Interest Period of such Eurodollar Rate Loan or (B) adequate and reasonable means do not exist for determining the Eurodollar Rate for any requested Interest Period with respect to a proposed Eurodollar Rate Loan or in connection with an existing or proposed Base Rate Loan (in each case with respect to clause (i), “</w:t>
      </w:r>
      <w:r>
        <w:rPr>
          <w:rFonts w:ascii="Arial" w:cs="Arial" w:eastAsia="Arial" w:hAnsi="Arial"/>
          <w:sz w:val="16"/>
          <w:szCs w:val="16"/>
          <w:u w:val="single" w:color="auto"/>
          <w:color w:val="auto"/>
        </w:rPr>
        <w:t>Impacted Loans</w:t>
      </w:r>
      <w:r>
        <w:rPr>
          <w:rFonts w:ascii="Arial" w:cs="Arial" w:eastAsia="Arial" w:hAnsi="Arial"/>
          <w:sz w:val="16"/>
          <w:szCs w:val="16"/>
          <w:color w:val="auto"/>
        </w:rPr>
        <w:t>”), or</w:t>
      </w:r>
    </w:p>
    <w:p>
      <w:pPr>
        <w:spacing w:after="0" w:line="2" w:lineRule="exact"/>
        <w:rPr>
          <w:sz w:val="20"/>
          <w:szCs w:val="20"/>
          <w:color w:val="auto"/>
        </w:rPr>
      </w:pPr>
    </w:p>
    <w:p>
      <w:pPr>
        <w:ind w:right="80" w:firstLine="8"/>
        <w:spacing w:after="0" w:line="268" w:lineRule="auto"/>
        <w:tabs>
          <w:tab w:leader="none" w:pos="26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Administrative Agent or the Required Lenders determine that for any reason the Eurodollar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Credit Extension of, conversion to or continuation of Eurodollar Rate Loans (to the extent of the affected Eurodollar Rate Loans or Interest Periods) or, failing that, will be deemed to have converted such request into a request for a Credit Extension of Base Rate Loans in the amount specified therein.</w:t>
      </w:r>
    </w:p>
    <w:p>
      <w:pPr>
        <w:spacing w:after="0" w:line="182" w:lineRule="exact"/>
        <w:rPr>
          <w:rFonts w:ascii="Arial" w:cs="Arial" w:eastAsia="Arial" w:hAnsi="Arial"/>
          <w:sz w:val="17"/>
          <w:szCs w:val="17"/>
          <w:color w:val="auto"/>
        </w:rPr>
      </w:pPr>
    </w:p>
    <w:p>
      <w:pPr>
        <w:ind w:right="20" w:firstLine="464"/>
        <w:spacing w:after="0" w:line="270" w:lineRule="auto"/>
        <w:tabs>
          <w:tab w:leader="none" w:pos="711" w:val="left"/>
        </w:tabs>
        <w:numPr>
          <w:ilvl w:val="1"/>
          <w:numId w:val="75"/>
        </w:numPr>
        <w:rPr>
          <w:rFonts w:ascii="Arial" w:cs="Arial" w:eastAsia="Arial" w:hAnsi="Arial"/>
          <w:sz w:val="17"/>
          <w:szCs w:val="17"/>
          <w:color w:val="auto"/>
        </w:rPr>
      </w:pPr>
      <w:r>
        <w:rPr>
          <w:rFonts w:ascii="Arial" w:cs="Arial" w:eastAsia="Arial" w:hAnsi="Arial"/>
          <w:sz w:val="17"/>
          <w:szCs w:val="17"/>
          <w:color w:val="auto"/>
        </w:rPr>
        <w:t>Notwithstanding the foregoing, if the Administrative Agent has made the determination described in clause (a)(i) of this Section, the Administrative Agent in consultation with the Borrower and the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clause (a)(i) of this Section, (ii) the Administrative Agent or the Required Lenders notify the Administrative Agent and the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3.04 </w:t>
      </w:r>
      <w:r>
        <w:rPr>
          <w:rFonts w:ascii="Arial" w:cs="Arial" w:eastAsia="Arial" w:hAnsi="Arial"/>
          <w:sz w:val="18"/>
          <w:szCs w:val="18"/>
          <w:b w:val="1"/>
          <w:bCs w:val="1"/>
          <w:u w:val="single" w:color="auto"/>
          <w:color w:val="auto"/>
        </w:rPr>
        <w:t>Increased Costs; Reserves on Eurodollar Rate Loans</w:t>
      </w:r>
      <w:r>
        <w:rPr>
          <w:rFonts w:ascii="Arial" w:cs="Arial" w:eastAsia="Arial" w:hAnsi="Arial"/>
          <w:sz w:val="18"/>
          <w:szCs w:val="18"/>
          <w:b w:val="1"/>
          <w:bCs w:val="1"/>
          <w:color w:val="auto"/>
        </w:rPr>
        <w:t>.</w:t>
      </w:r>
    </w:p>
    <w:p>
      <w:pPr>
        <w:spacing w:after="0" w:line="121" w:lineRule="exact"/>
        <w:rPr>
          <w:sz w:val="20"/>
          <w:szCs w:val="20"/>
          <w:color w:val="auto"/>
        </w:rPr>
      </w:pPr>
    </w:p>
    <w:p>
      <w:pPr>
        <w:ind w:left="700" w:hanging="23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60" w:right="120" w:firstLine="443"/>
        <w:spacing w:after="0" w:line="291" w:lineRule="auto"/>
        <w:tabs>
          <w:tab w:leader="none" w:pos="1113" w:val="left"/>
        </w:tabs>
        <w:numPr>
          <w:ilvl w:val="1"/>
          <w:numId w:val="76"/>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(except any reserve requirement contemplated by</w:t>
      </w: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Section 3.04(e)</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jc w:val="both"/>
        <w:ind w:left="460" w:right="300" w:firstLine="443"/>
        <w:spacing w:after="0" w:line="264" w:lineRule="auto"/>
        <w:tabs>
          <w:tab w:leader="none" w:pos="1163"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73" w:lineRule="exact"/>
        <w:rPr>
          <w:rFonts w:ascii="Arial" w:cs="Arial" w:eastAsia="Arial" w:hAnsi="Arial"/>
          <w:sz w:val="18"/>
          <w:szCs w:val="18"/>
          <w:color w:val="auto"/>
        </w:rPr>
      </w:pPr>
    </w:p>
    <w:p>
      <w:pPr>
        <w:ind w:left="460" w:right="320" w:firstLine="443"/>
        <w:spacing w:after="0" w:line="277" w:lineRule="auto"/>
        <w:tabs>
          <w:tab w:leader="none" w:pos="1213" w:val="left"/>
        </w:tabs>
        <w:numPr>
          <w:ilvl w:val="1"/>
          <w:numId w:val="76"/>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affecting this Agreement or Eurodollar Rate Loans made by such Lender;</w:t>
      </w:r>
    </w:p>
    <w:p>
      <w:pPr>
        <w:spacing w:after="0" w:line="170" w:lineRule="exact"/>
        <w:rPr>
          <w:sz w:val="20"/>
          <w:szCs w:val="20"/>
          <w:color w:val="auto"/>
        </w:rPr>
      </w:pPr>
    </w:p>
    <w:p>
      <w:pPr>
        <w:jc w:val="both"/>
        <w:ind w:right="540"/>
        <w:spacing w:after="0" w:line="302" w:lineRule="auto"/>
        <w:rPr>
          <w:sz w:val="20"/>
          <w:szCs w:val="20"/>
          <w:color w:val="auto"/>
        </w:rPr>
      </w:pPr>
      <w:r>
        <w:rPr>
          <w:rFonts w:ascii="Arial" w:cs="Arial" w:eastAsia="Arial" w:hAnsi="Arial"/>
          <w:sz w:val="16"/>
          <w:szCs w:val="16"/>
          <w:color w:val="auto"/>
        </w:rPr>
        <w:t>and the result of any of the foregoing shall be to increase the cost to such Lender of making, converting to, continuing or maintaining any Loan (or of maintaining its obligation to make any such Loan), or to reduce the amount of any sum received or receivable by such Lender hereunder (whether of principal, interest or any other amount) then, upon request of such Lender, the Borrower will pay to such Lender such additional amount or amounts (determined by such Lender in good faith) as will compensate such Lender for such additional costs incurred or reduction suffered.</w:t>
      </w:r>
    </w:p>
    <w:p>
      <w:pPr>
        <w:spacing w:after="0" w:line="154" w:lineRule="exact"/>
        <w:rPr>
          <w:sz w:val="20"/>
          <w:szCs w:val="20"/>
          <w:color w:val="auto"/>
        </w:rPr>
      </w:pPr>
    </w:p>
    <w:p>
      <w:pPr>
        <w:ind w:right="40" w:firstLine="464"/>
        <w:spacing w:after="0" w:line="272" w:lineRule="auto"/>
        <w:tabs>
          <w:tab w:leader="none" w:pos="711"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(determined by such Lender in good faith) as will compensate such Lender or such Lender’s holding company for any such reduction suffered.</w:t>
      </w:r>
    </w:p>
    <w:p>
      <w:pPr>
        <w:spacing w:after="0" w:line="177" w:lineRule="exact"/>
        <w:rPr>
          <w:rFonts w:ascii="Arial" w:cs="Arial" w:eastAsia="Arial" w:hAnsi="Arial"/>
          <w:sz w:val="17"/>
          <w:szCs w:val="17"/>
          <w:color w:val="auto"/>
        </w:rPr>
      </w:pPr>
    </w:p>
    <w:p>
      <w:pPr>
        <w:ind w:right="140" w:firstLine="464"/>
        <w:spacing w:after="0" w:line="264" w:lineRule="auto"/>
        <w:tabs>
          <w:tab w:leader="none" w:pos="70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Mandatory Costs</w:t>
      </w:r>
      <w:r>
        <w:rPr>
          <w:rFonts w:ascii="Arial" w:cs="Arial" w:eastAsia="Arial" w:hAnsi="Arial"/>
          <w:sz w:val="18"/>
          <w:szCs w:val="18"/>
          <w:color w:val="auto"/>
        </w:rPr>
        <w:t>. If any Lender incurs any Mandatory Costs attributable to the Obligations, then from time to time the Borrower will pay to such Lender such Mandatory Costs. Such amount shall be expressed as a percentage rate per annum and shall be payable on the full amount of the applicable Obligations of such Lender.</w:t>
      </w:r>
    </w:p>
    <w:p>
      <w:pPr>
        <w:spacing w:after="0" w:line="181" w:lineRule="exact"/>
        <w:rPr>
          <w:rFonts w:ascii="Arial" w:cs="Arial" w:eastAsia="Arial" w:hAnsi="Arial"/>
          <w:sz w:val="18"/>
          <w:szCs w:val="18"/>
          <w:color w:val="auto"/>
        </w:rPr>
      </w:pPr>
    </w:p>
    <w:p>
      <w:pPr>
        <w:ind w:firstLine="464"/>
        <w:spacing w:after="0" w:line="259" w:lineRule="auto"/>
        <w:tabs>
          <w:tab w:leader="none" w:pos="71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setting forth in reasonable detail the amount or amounts necessary to compensate such Lender or its holding company, as the case may be, as specified in subsection (a) or (b) of this Section and the reasons therefor and delivered to the Borrower shall be conclusive absent manifest error. The Borrower shall pay such Lender the amount shown as due on any such certificate within ten (10) days after receipt thereof.</w:t>
      </w:r>
    </w:p>
    <w:p>
      <w:pPr>
        <w:spacing w:after="0" w:line="186" w:lineRule="exact"/>
        <w:rPr>
          <w:rFonts w:ascii="Arial" w:cs="Arial" w:eastAsia="Arial" w:hAnsi="Arial"/>
          <w:sz w:val="18"/>
          <w:szCs w:val="18"/>
          <w:color w:val="auto"/>
        </w:rPr>
      </w:pPr>
    </w:p>
    <w:p>
      <w:pPr>
        <w:ind w:right="120" w:firstLine="464"/>
        <w:spacing w:after="0" w:line="342" w:lineRule="auto"/>
        <w:tabs>
          <w:tab w:leader="none" w:pos="701"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Reserves on Eurodollar Rate Loans</w:t>
      </w:r>
      <w:r>
        <w:rPr>
          <w:rFonts w:ascii="Arial" w:cs="Arial" w:eastAsia="Arial" w:hAnsi="Arial"/>
          <w:sz w:val="16"/>
          <w:szCs w:val="16"/>
          <w:color w:val="auto"/>
        </w:rPr>
        <w:t>. The Borrower shall pay to each Lender, (i) as long as such Lender shall be required to maintain reserves with respect to liabilities or assets consisting of or including eurocurrency funds or deposits (currently known as “Eurocurrency liabilities”), additional interest</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270" w:right="339" w:bottom="1440" w:gutter="0" w:footer="0" w:header="0"/>
        </w:sectPr>
      </w:pPr>
    </w:p>
    <w:bookmarkStart w:id="74" w:name="page75"/>
    <w:bookmarkEnd w:id="74"/>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unpaid principal amount of each Eurodollar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central banking or financial regulatory authority imposed in respect of the maintenance of the Commitments or the funding of the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provided the Borrower shall have received at least ten (10) days’ prior notice (with a copy to the Administrative Agent) of such additional interest or costs from such Lender setting forth in reasonable detail the calculation of the amounts so requested. If a Lender fails to give notice ten (10) days prior to the relevant Interest Payment Date, such additional interest shall be due and payable ten (10) days from receipt of such notice.</w:t>
      </w:r>
    </w:p>
    <w:p>
      <w:pPr>
        <w:spacing w:after="0" w:line="182" w:lineRule="exact"/>
        <w:rPr>
          <w:sz w:val="20"/>
          <w:szCs w:val="20"/>
          <w:color w:val="auto"/>
        </w:rPr>
      </w:pPr>
    </w:p>
    <w:p>
      <w:pPr>
        <w:ind w:right="160" w:firstLine="464"/>
        <w:spacing w:after="0" w:line="273" w:lineRule="auto"/>
        <w:tabs>
          <w:tab w:leader="none" w:pos="68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Failure or delay on the part of any Lender to demand compensation pursuant to the foregoing provisions of this Section 3.04 shall not constitute a waiver of such Lender’s right to demand such compensation, provided that the Borrower shall not be required to compensate a Lender pursuant to the foregoing provisions of this Section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3.05 </w:t>
      </w:r>
      <w:r>
        <w:rPr>
          <w:rFonts w:ascii="Arial" w:cs="Arial" w:eastAsia="Arial" w:hAnsi="Arial"/>
          <w:sz w:val="18"/>
          <w:szCs w:val="18"/>
          <w:b w:val="1"/>
          <w:bCs w:val="1"/>
          <w:u w:val="single" w:color="auto"/>
          <w:color w:val="auto"/>
        </w:rPr>
        <w:t>Compensation for Losses</w:t>
      </w:r>
      <w:r>
        <w:rPr>
          <w:rFonts w:ascii="Arial" w:cs="Arial" w:eastAsia="Arial" w:hAnsi="Arial"/>
          <w:sz w:val="18"/>
          <w:szCs w:val="18"/>
          <w:b w:val="1"/>
          <w:bCs w:val="1"/>
          <w:color w:val="auto"/>
        </w:rPr>
        <w: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70" w:lineRule="exact"/>
        <w:rPr>
          <w:sz w:val="20"/>
          <w:szCs w:val="20"/>
          <w:color w:val="auto"/>
        </w:rPr>
      </w:pPr>
    </w:p>
    <w:p>
      <w:pPr>
        <w:ind w:right="440" w:firstLine="464"/>
        <w:spacing w:after="0" w:line="277" w:lineRule="auto"/>
        <w:tabs>
          <w:tab w:leader="none" w:pos="7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70"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70" w:lineRule="exact"/>
        <w:rPr>
          <w:rFonts w:ascii="Arial" w:cs="Arial" w:eastAsia="Arial" w:hAnsi="Arial"/>
          <w:sz w:val="18"/>
          <w:szCs w:val="18"/>
          <w:color w:val="auto"/>
        </w:rPr>
      </w:pPr>
    </w:p>
    <w:p>
      <w:pPr>
        <w:ind w:right="280" w:firstLine="464"/>
        <w:spacing w:after="0" w:line="277" w:lineRule="auto"/>
        <w:tabs>
          <w:tab w:leader="none" w:pos="7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For purposes of calculating amounts payable by the Borrower to the Lenders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74" w:right="2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3.06 </w:t>
      </w:r>
      <w:r>
        <w:rPr>
          <w:rFonts w:ascii="Arial" w:cs="Arial" w:eastAsia="Arial" w:hAnsi="Arial"/>
          <w:sz w:val="18"/>
          <w:szCs w:val="18"/>
          <w:b w:val="1"/>
          <w:bCs w:val="1"/>
          <w:u w:val="single" w:color="auto"/>
          <w:color w:val="auto"/>
        </w:rPr>
        <w:t>Mitigation Obligations; Replacement of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64"/>
        <w:spacing w:after="0" w:line="271" w:lineRule="auto"/>
        <w:tabs>
          <w:tab w:leader="none" w:pos="701"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8" w:lineRule="exact"/>
        <w:rPr>
          <w:rFonts w:ascii="Arial" w:cs="Arial" w:eastAsia="Arial" w:hAnsi="Arial"/>
          <w:sz w:val="17"/>
          <w:szCs w:val="17"/>
          <w:color w:val="auto"/>
        </w:rPr>
      </w:pPr>
    </w:p>
    <w:p>
      <w:pPr>
        <w:jc w:val="both"/>
        <w:ind w:right="160" w:firstLine="464"/>
        <w:spacing w:after="0" w:line="259"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3.07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resignation of the Administrative Agent and the Facility Termination Date.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4.01 </w:t>
      </w:r>
      <w:r>
        <w:rPr>
          <w:rFonts w:ascii="Arial" w:cs="Arial" w:eastAsia="Arial" w:hAnsi="Arial"/>
          <w:sz w:val="18"/>
          <w:szCs w:val="18"/>
          <w:b w:val="1"/>
          <w:bCs w:val="1"/>
          <w:u w:val="single" w:color="auto"/>
          <w:color w:val="auto"/>
        </w:rPr>
        <w:t>Conditions of Initial Credit Extension</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 of each Lender to make its initial Credit Extension hereunder is subject to satisfaction of the following conditions precedent:</w:t>
      </w:r>
    </w:p>
    <w:p>
      <w:pPr>
        <w:spacing w:after="0" w:line="237" w:lineRule="exact"/>
        <w:rPr>
          <w:sz w:val="20"/>
          <w:szCs w:val="20"/>
          <w:color w:val="auto"/>
        </w:rPr>
      </w:pPr>
    </w:p>
    <w:p>
      <w:pPr>
        <w:ind w:right="100" w:firstLine="464"/>
        <w:spacing w:after="0" w:line="255" w:lineRule="auto"/>
        <w:tabs>
          <w:tab w:leader="none" w:pos="70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Execution of Credit Agreement; Loan Documents</w:t>
      </w:r>
      <w:r>
        <w:rPr>
          <w:rFonts w:ascii="Arial" w:cs="Arial" w:eastAsia="Arial" w:hAnsi="Arial"/>
          <w:sz w:val="18"/>
          <w:szCs w:val="18"/>
          <w:color w:val="auto"/>
        </w:rPr>
        <w:t>. The Administrative Agent shall have received (i) counterparts of this Agreement, executed by a Responsible Officer of each Loan Party and a duly authorized officer of each Lender, (ii) for the account of each Lender requesting a Note, a Note executed by a Responsible Officer of the Company, (iii) counterparts of the Security Agreement and each other Collateral Document, executed by a Responsible Officer of the applicable Loan Parties and a duly authorized officer of each other Person party thereto, as applicable and (iv) counterparts of any other Loan Document executed by a Responsible Officer of the applicable Loan Party and a duly authorized officer of each other Person party thereto, all of which shall be duly affixed with any applicable stamp duty.</w:t>
      </w:r>
    </w:p>
    <w:p>
      <w:pPr>
        <w:spacing w:after="0" w:line="193" w:lineRule="exact"/>
        <w:rPr>
          <w:rFonts w:ascii="Arial" w:cs="Arial" w:eastAsia="Arial" w:hAnsi="Arial"/>
          <w:sz w:val="18"/>
          <w:szCs w:val="18"/>
          <w:color w:val="auto"/>
        </w:rPr>
      </w:pPr>
    </w:p>
    <w:p>
      <w:pPr>
        <w:ind w:firstLine="464"/>
        <w:spacing w:after="0" w:line="255"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Administrative Agent shall have received an Officer’s Certificate of each Loan Party dated as of the Closing Date, certifying as to the Organization Documents of such Loan Party (which, to the extent filed with a Governmental Authority, shall be certified as of a recent date by such Governmental Authority), the resolutions of the Board of Directors of such Loan Party, the good standing, existence or its equivalent of such Loan Party (together with a certificate of good standing issued by the applicable Governmental Authority in such Loan Party’s jurisdiction of organization, incorporation or formation as of a recent date), if applicable, and of the incumbency (including specimen signatures) of the Responsible Officers of such Loan Party.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0" w:right="259" w:bottom="1440" w:gutter="0" w:footer="0" w:header="0"/>
        </w:sectPr>
      </w:pPr>
    </w:p>
    <w:bookmarkStart w:id="76" w:name="page77"/>
    <w:bookmarkEnd w:id="76"/>
    <w:p>
      <w:pPr>
        <w:jc w:val="both"/>
        <w:ind w:right="80" w:firstLine="464"/>
        <w:spacing w:after="0" w:line="264" w:lineRule="auto"/>
        <w:tabs>
          <w:tab w:leader="none" w:pos="70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Opinions of Counsel</w:t>
      </w:r>
      <w:r>
        <w:rPr>
          <w:rFonts w:ascii="Arial" w:cs="Arial" w:eastAsia="Arial" w:hAnsi="Arial"/>
          <w:sz w:val="18"/>
          <w:szCs w:val="18"/>
          <w:color w:val="auto"/>
        </w:rPr>
        <w:t>. The Administrative Agent shall have received opinions of New York, Cayman Islands, Mauritius and Thailand counsel for the Loan Parties, dated the Closing Date and addressed to the Administrative Agent and the Lenders or to the Administrative Agent (for the benefit of all Lenders), each in form and substance reasonably acceptable to the Administrative Agent.</w:t>
      </w:r>
    </w:p>
    <w:p>
      <w:pPr>
        <w:spacing w:after="0" w:line="181" w:lineRule="exact"/>
        <w:rPr>
          <w:rFonts w:ascii="Arial" w:cs="Arial" w:eastAsia="Arial" w:hAnsi="Arial"/>
          <w:sz w:val="18"/>
          <w:szCs w:val="18"/>
          <w:color w:val="auto"/>
        </w:rPr>
      </w:pPr>
    </w:p>
    <w:p>
      <w:pPr>
        <w:ind w:firstLine="464"/>
        <w:spacing w:after="0" w:line="277" w:lineRule="auto"/>
        <w:tabs>
          <w:tab w:leader="none" w:pos="71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Administrative Agent and the Lenders shall have received copies of the financial statements referred to in Section 5.05(a) and (b), each in form and substance satisfactory to each of them.</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Personal Property Collateral</w:t>
      </w:r>
      <w:r>
        <w:rPr>
          <w:rFonts w:ascii="Arial" w:cs="Arial" w:eastAsia="Arial" w:hAnsi="Arial"/>
          <w:sz w:val="16"/>
          <w:szCs w:val="16"/>
          <w:color w:val="auto"/>
        </w:rPr>
        <w:t>. The Administrative Agent shall have received, in form and substance reasonably satisfactory to the Administrative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102" w:lineRule="exact"/>
        <w:rPr>
          <w:rFonts w:ascii="Arial" w:cs="Arial" w:eastAsia="Arial" w:hAnsi="Arial"/>
          <w:sz w:val="16"/>
          <w:szCs w:val="16"/>
          <w:color w:val="auto"/>
        </w:rPr>
      </w:pPr>
    </w:p>
    <w:p>
      <w:pPr>
        <w:ind w:left="460" w:right="280" w:firstLine="443"/>
        <w:spacing w:after="0" w:line="259" w:lineRule="auto"/>
        <w:tabs>
          <w:tab w:leader="none" w:pos="1113"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searches of UCC filings in the jurisdiction of incorporation or formation, as applicable,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(if any and/or applicable), judgment and bankruptcy searches;</w:t>
      </w:r>
    </w:p>
    <w:p>
      <w:pPr>
        <w:spacing w:after="0" w:line="78" w:lineRule="exact"/>
        <w:rPr>
          <w:rFonts w:ascii="Arial" w:cs="Arial" w:eastAsia="Arial" w:hAnsi="Arial"/>
          <w:sz w:val="18"/>
          <w:szCs w:val="18"/>
          <w:color w:val="auto"/>
        </w:rPr>
      </w:pPr>
    </w:p>
    <w:p>
      <w:pPr>
        <w:ind w:left="460" w:firstLine="443"/>
        <w:spacing w:after="0" w:line="277" w:lineRule="auto"/>
        <w:tabs>
          <w:tab w:leader="none" w:pos="1163"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completed UCC financing statements for each appropriate jurisdiction as is necessary, in the Administrative Agent’s sole discretion, to perfect the Administrative Agent’s security interest in the Collateral;</w:t>
      </w:r>
    </w:p>
    <w:p>
      <w:pPr>
        <w:spacing w:after="0" w:line="62" w:lineRule="exact"/>
        <w:rPr>
          <w:rFonts w:ascii="Arial" w:cs="Arial" w:eastAsia="Arial" w:hAnsi="Arial"/>
          <w:sz w:val="18"/>
          <w:szCs w:val="18"/>
          <w:color w:val="auto"/>
        </w:rPr>
      </w:pPr>
    </w:p>
    <w:p>
      <w:pPr>
        <w:ind w:left="460" w:right="720" w:firstLine="443"/>
        <w:spacing w:after="0" w:line="277" w:lineRule="auto"/>
        <w:tabs>
          <w:tab w:leader="none" w:pos="1213"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certified copy of the annotated register of mortgages and charges of the Company updated to reflect the security created under the Collateral Documents;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203" w:val="left"/>
        </w:tabs>
        <w:numPr>
          <w:ilvl w:val="1"/>
          <w:numId w:val="82"/>
        </w:numPr>
        <w:rPr>
          <w:rFonts w:ascii="Arial" w:cs="Arial" w:eastAsia="Arial" w:hAnsi="Arial"/>
          <w:sz w:val="18"/>
          <w:szCs w:val="18"/>
          <w:color w:val="auto"/>
        </w:rPr>
      </w:pPr>
      <w:r>
        <w:rPr>
          <w:rFonts w:ascii="Arial" w:cs="Arial" w:eastAsia="Arial" w:hAnsi="Arial"/>
          <w:sz w:val="18"/>
          <w:szCs w:val="18"/>
          <w:color w:val="auto"/>
        </w:rPr>
        <w:t>stock, share or membership certificates, if any, evidencing the Pledged Equity and undated stock or transfer powers duly executed in blank, if any; in each case to the extent such Pledged Equity is certificated;</w:t>
      </w:r>
    </w:p>
    <w:p>
      <w:pPr>
        <w:spacing w:after="0" w:line="62" w:lineRule="exact"/>
        <w:rPr>
          <w:rFonts w:ascii="Arial" w:cs="Arial" w:eastAsia="Arial" w:hAnsi="Arial"/>
          <w:sz w:val="18"/>
          <w:szCs w:val="18"/>
          <w:color w:val="auto"/>
        </w:rPr>
      </w:pPr>
    </w:p>
    <w:p>
      <w:pPr>
        <w:ind w:left="460" w:right="180" w:firstLine="443"/>
        <w:spacing w:after="0" w:line="279" w:lineRule="auto"/>
        <w:tabs>
          <w:tab w:leader="none" w:pos="1153" w:val="left"/>
        </w:tabs>
        <w:numPr>
          <w:ilvl w:val="1"/>
          <w:numId w:val="82"/>
        </w:numPr>
        <w:rPr>
          <w:rFonts w:ascii="Arial" w:cs="Arial" w:eastAsia="Arial" w:hAnsi="Arial"/>
          <w:sz w:val="17"/>
          <w:szCs w:val="17"/>
          <w:color w:val="auto"/>
        </w:rPr>
      </w:pPr>
      <w:r>
        <w:rPr>
          <w:rFonts w:ascii="Arial" w:cs="Arial" w:eastAsia="Arial" w:hAnsi="Arial"/>
          <w:sz w:val="17"/>
          <w:szCs w:val="17"/>
          <w:color w:val="auto"/>
        </w:rPr>
        <w:t>to the extent required to be delivered, filed, registered or recorded pursuant to the terms and conditions of the Collateral Documents, all instruments, documents (including relevant page(s) of the share register book of any Person showing any pledge registration), notices and acknowledgements and chattel paper in the possession of the Company and/or any other Loan Party, together with allonges or assignments as may be necessary or appropriate to create and perfect the Administrative Agent’s security interest in the Collateral; and</w:t>
      </w:r>
    </w:p>
    <w:p>
      <w:pPr>
        <w:spacing w:after="0" w:line="63" w:lineRule="exact"/>
        <w:rPr>
          <w:rFonts w:ascii="Arial" w:cs="Arial" w:eastAsia="Arial" w:hAnsi="Arial"/>
          <w:sz w:val="17"/>
          <w:szCs w:val="17"/>
          <w:color w:val="auto"/>
        </w:rPr>
      </w:pPr>
    </w:p>
    <w:p>
      <w:pPr>
        <w:ind w:left="460" w:right="600" w:firstLine="443"/>
        <w:spacing w:after="0" w:line="277" w:lineRule="auto"/>
        <w:tabs>
          <w:tab w:leader="none" w:pos="1203"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Qualifying Control Agreements reasonably satisfactory to the Administrative Agent to the extent required to be delivered pursuant to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464"/>
        <w:spacing w:after="0" w:line="312" w:lineRule="auto"/>
        <w:tabs>
          <w:tab w:leader="none" w:pos="681"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Liability, Casualty, Property, Terrorism and Business Interruption Insurance</w:t>
      </w:r>
      <w:r>
        <w:rPr>
          <w:rFonts w:ascii="Arial" w:cs="Arial" w:eastAsia="Arial" w:hAnsi="Arial"/>
          <w:sz w:val="16"/>
          <w:szCs w:val="16"/>
          <w:color w:val="auto"/>
        </w:rPr>
        <w:t>. The Administrative Agent shall have received copies of insurance policies and/or certificates evidencing liability, casualty, property, terrorism and business interruption insurance meeting the requirements set forth herein or as required by the Administrative Agent. The Loan Parties shall have delivered to the Administrative Agent an Authorization to Share Insurance Information.</w:t>
      </w:r>
    </w:p>
    <w:p>
      <w:pPr>
        <w:spacing w:after="0" w:line="146" w:lineRule="exact"/>
        <w:rPr>
          <w:rFonts w:ascii="Arial" w:cs="Arial" w:eastAsia="Arial" w:hAnsi="Arial"/>
          <w:sz w:val="16"/>
          <w:szCs w:val="16"/>
          <w:color w:val="auto"/>
        </w:rPr>
      </w:pPr>
    </w:p>
    <w:p>
      <w:pPr>
        <w:ind w:right="220" w:firstLine="464"/>
        <w:spacing w:after="0" w:line="264" w:lineRule="auto"/>
        <w:tabs>
          <w:tab w:leader="none" w:pos="71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The Administrative Agent shall have received a Solvency Certificate signed by a Responsible Officer of the Company as to the financial condition, Solvency and related matters of the Company and Fabrinet Thailand individually and the Company and its Subsidiaries taken as a whole, in each case after giving effect to the transactions contemplated hereby.</w:t>
      </w:r>
    </w:p>
    <w:p>
      <w:pPr>
        <w:spacing w:after="0" w:line="181"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Financial Condition Certificate</w:t>
      </w:r>
      <w:r>
        <w:rPr>
          <w:rFonts w:ascii="Arial" w:cs="Arial" w:eastAsia="Arial" w:hAnsi="Arial"/>
          <w:sz w:val="18"/>
          <w:szCs w:val="18"/>
          <w:color w:val="auto"/>
        </w:rPr>
        <w:t xml:space="preserve">. The Administrative Agent shall have received a certificate or certificates executed by a Responsible Officer of the Company as of the Closing Date, as to certain financial matters,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77" w:name="page78"/>
    <w:bookmarkEnd w:id="77"/>
    <w:p>
      <w:pPr>
        <w:ind w:left="680" w:hanging="216"/>
        <w:spacing w:after="0"/>
        <w:tabs>
          <w:tab w:leader="none" w:pos="68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Notice</w:t>
      </w:r>
      <w:r>
        <w:rPr>
          <w:rFonts w:ascii="Arial" w:cs="Arial" w:eastAsia="Arial" w:hAnsi="Arial"/>
          <w:sz w:val="17"/>
          <w:szCs w:val="17"/>
          <w:color w:val="auto"/>
        </w:rPr>
        <w:t>. The Administrative Agent shall have received a Loan Notice with respect to the Loans, if any, to be made on the Effective Date.</w:t>
      </w:r>
    </w:p>
    <w:p>
      <w:pPr>
        <w:spacing w:after="0" w:line="236" w:lineRule="exact"/>
        <w:rPr>
          <w:rFonts w:ascii="Arial" w:cs="Arial" w:eastAsia="Arial" w:hAnsi="Arial"/>
          <w:sz w:val="17"/>
          <w:szCs w:val="17"/>
          <w:color w:val="auto"/>
        </w:rPr>
      </w:pPr>
    </w:p>
    <w:p>
      <w:pPr>
        <w:ind w:right="160" w:firstLine="464"/>
        <w:spacing w:after="0" w:line="264" w:lineRule="auto"/>
        <w:tabs>
          <w:tab w:leader="none" w:pos="67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Existing Indebtedness of the Loan Parties</w:t>
      </w:r>
      <w:r>
        <w:rPr>
          <w:rFonts w:ascii="Arial" w:cs="Arial" w:eastAsia="Arial" w:hAnsi="Arial"/>
          <w:sz w:val="18"/>
          <w:szCs w:val="18"/>
          <w:color w:val="auto"/>
        </w:rPr>
        <w:t xml:space="preserve">. All of the existing Indebtedness for borrowed money of the Company and its Subsidiaries (other than Indebtedness permitted to exist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shall be repaid in full and all security interests related thereto shall be terminated on or prior to the Closing Date.</w:t>
      </w:r>
    </w:p>
    <w:p>
      <w:pPr>
        <w:spacing w:after="0" w:line="181" w:lineRule="exact"/>
        <w:rPr>
          <w:rFonts w:ascii="Arial" w:cs="Arial" w:eastAsia="Arial" w:hAnsi="Arial"/>
          <w:sz w:val="18"/>
          <w:szCs w:val="18"/>
          <w:color w:val="auto"/>
        </w:rPr>
      </w:pPr>
    </w:p>
    <w:p>
      <w:pPr>
        <w:ind w:right="280" w:firstLine="464"/>
        <w:spacing w:after="0" w:line="308" w:lineRule="auto"/>
        <w:tabs>
          <w:tab w:leader="none" w:pos="71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The Administrative Agent shall have received evidence that all members, boards of directors, governmental, shareholder and material third party consents and approvals necessary in connection with the entering into of this Agreement have been obtained.</w:t>
      </w:r>
    </w:p>
    <w:p>
      <w:pPr>
        <w:spacing w:after="0" w:line="146" w:lineRule="exact"/>
        <w:rPr>
          <w:rFonts w:ascii="Arial" w:cs="Arial" w:eastAsia="Arial" w:hAnsi="Arial"/>
          <w:sz w:val="17"/>
          <w:szCs w:val="17"/>
          <w:color w:val="auto"/>
        </w:rPr>
      </w:pPr>
    </w:p>
    <w:p>
      <w:pPr>
        <w:ind w:right="160" w:firstLine="464"/>
        <w:spacing w:after="0" w:line="277" w:lineRule="auto"/>
        <w:tabs>
          <w:tab w:leader="none" w:pos="67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xml:space="preserve">. The Administrative Agent and the Lenders shall have received all fees and expenses, to the extent invoiced to the Company at least one (1) Business Day prior to the Effective Date, owing pursuant to the Fee Letter and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60" w:firstLine="464"/>
        <w:spacing w:after="0" w:line="277" w:lineRule="auto"/>
        <w:tabs>
          <w:tab w:leader="none" w:pos="76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Licensing Requirements</w:t>
      </w:r>
      <w:r>
        <w:rPr>
          <w:rFonts w:ascii="Arial" w:cs="Arial" w:eastAsia="Arial" w:hAnsi="Arial"/>
          <w:sz w:val="18"/>
          <w:szCs w:val="18"/>
          <w:color w:val="auto"/>
        </w:rPr>
        <w:t>. Each Lender shall have obtained all applicable licenses, consents, permits and approvals as deemed necessary by such Lender in order to execute and perform the transactions contemplated by the Loan Documents.</w:t>
      </w:r>
    </w:p>
    <w:p>
      <w:pPr>
        <w:spacing w:after="0" w:line="170" w:lineRule="exact"/>
        <w:rPr>
          <w:rFonts w:ascii="Arial" w:cs="Arial" w:eastAsia="Arial" w:hAnsi="Arial"/>
          <w:sz w:val="18"/>
          <w:szCs w:val="18"/>
          <w:color w:val="auto"/>
        </w:rPr>
      </w:pPr>
    </w:p>
    <w:p>
      <w:pPr>
        <w:ind w:right="380"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The Lenders shall have completed a due diligence investigation of the Company and its Subsidiaries in scope, and with results, satisfactory to the Lenders, including, without limitation, “know your customer” due diligence.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Other Documents</w:t>
      </w:r>
      <w:r>
        <w:rPr>
          <w:rFonts w:ascii="Arial" w:cs="Arial" w:eastAsia="Arial" w:hAnsi="Arial"/>
          <w:sz w:val="17"/>
          <w:szCs w:val="17"/>
          <w:color w:val="auto"/>
        </w:rPr>
        <w:t>. All other documents provided for herein or which the Administrative Agent or any other Lender may reasonably request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w:t>
      </w:r>
    </w:p>
    <w:p>
      <w:pPr>
        <w:spacing w:after="0" w:line="210" w:lineRule="exact"/>
        <w:rPr>
          <w:rFonts w:ascii="Arial" w:cs="Arial" w:eastAsia="Arial" w:hAnsi="Arial"/>
          <w:sz w:val="17"/>
          <w:szCs w:val="17"/>
          <w:color w:val="auto"/>
        </w:rPr>
      </w:pPr>
    </w:p>
    <w:p>
      <w:pPr>
        <w:ind w:left="720" w:hanging="256"/>
        <w:spacing w:after="0"/>
        <w:tabs>
          <w:tab w:leader="none" w:pos="72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Additional Information</w:t>
      </w:r>
      <w:r>
        <w:rPr>
          <w:rFonts w:ascii="Arial" w:cs="Arial" w:eastAsia="Arial" w:hAnsi="Arial"/>
          <w:sz w:val="16"/>
          <w:szCs w:val="16"/>
          <w:color w:val="auto"/>
        </w:rPr>
        <w:t>. Such additional information and materials which the Administrative Agent and/or any Lender shall reasonably request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210" w:lineRule="exact"/>
        <w:rPr>
          <w:rFonts w:ascii="Arial" w:cs="Arial" w:eastAsia="Arial" w:hAnsi="Arial"/>
          <w:sz w:val="16"/>
          <w:szCs w:val="16"/>
          <w:color w:val="auto"/>
        </w:rPr>
      </w:pPr>
    </w:p>
    <w:p>
      <w:pPr>
        <w:ind w:right="240"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June 28, 2013, there shall not have occurred any event or condition that has had or could reasonably be expected, either individually or in the aggregate, to have a Material Adverse Effect.</w:t>
      </w:r>
    </w:p>
    <w:p>
      <w:pPr>
        <w:spacing w:after="0" w:line="170" w:lineRule="exact"/>
        <w:rPr>
          <w:rFonts w:ascii="Arial" w:cs="Arial" w:eastAsia="Arial" w:hAnsi="Arial"/>
          <w:sz w:val="18"/>
          <w:szCs w:val="18"/>
          <w:color w:val="auto"/>
        </w:rPr>
      </w:pPr>
    </w:p>
    <w:p>
      <w:pPr>
        <w:ind w:firstLine="464"/>
        <w:spacing w:after="0" w:line="308" w:lineRule="auto"/>
        <w:tabs>
          <w:tab w:leader="none" w:pos="68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No Litigation</w:t>
      </w:r>
      <w:r>
        <w:rPr>
          <w:rFonts w:ascii="Arial" w:cs="Arial" w:eastAsia="Arial" w:hAnsi="Arial"/>
          <w:sz w:val="17"/>
          <w:szCs w:val="17"/>
          <w:color w:val="auto"/>
        </w:rPr>
        <w:t>. The absence of any action, suit, investigation or proceeding pending, or to the knowledge of the Loan Parties, threatened in writing in any court or before any arbitrator or Governmental Authority that could reasonably be expected to have a Material Adverse Effect.</w:t>
      </w:r>
    </w:p>
    <w:p>
      <w:pPr>
        <w:spacing w:after="0" w:line="14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for purposes of determining compliance with the conditions specified in this Section,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4"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4.02 </w:t>
      </w:r>
      <w:r>
        <w:rPr>
          <w:rFonts w:ascii="Arial" w:cs="Arial" w:eastAsia="Arial" w:hAnsi="Arial"/>
          <w:sz w:val="18"/>
          <w:szCs w:val="18"/>
          <w:b w:val="1"/>
          <w:bCs w:val="1"/>
          <w:u w:val="single" w:color="auto"/>
          <w:color w:val="auto"/>
        </w:rPr>
        <w:t>Conditions to all Credit Extensions</w:t>
      </w:r>
      <w:r>
        <w:rPr>
          <w:rFonts w:ascii="Arial" w:cs="Arial" w:eastAsia="Arial" w:hAnsi="Arial"/>
          <w:sz w:val="18"/>
          <w:szCs w:val="18"/>
          <w:b w:val="1"/>
          <w:bCs w:val="1"/>
          <w:color w:val="auto"/>
        </w:rPr>
        <w:t>.</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obligation of each Lender to honor any Loan Notice (other than a Loan Notice requesting only a conversion of Loans to the other Type, or a continuation of Eurodollar Rate Loans) is subject to the following conditions precedent:</w:t>
      </w:r>
    </w:p>
    <w:p>
      <w:pPr>
        <w:spacing w:after="0" w:line="170" w:lineRule="exact"/>
        <w:rPr>
          <w:sz w:val="20"/>
          <w:szCs w:val="20"/>
          <w:color w:val="auto"/>
        </w:rPr>
      </w:pPr>
    </w:p>
    <w:p>
      <w:pPr>
        <w:ind w:right="40" w:firstLine="464"/>
        <w:spacing w:after="0" w:line="271" w:lineRule="auto"/>
        <w:tabs>
          <w:tab w:leader="none" w:pos="70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the Borrower and each other Loan Party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other Loan Document shall (i) with respect to representations and warranties that contain a materiality qualification, be true and correct on and as of the date of such Credit Extension (except to the extent such representations and warranties relate to an earlier date, in which case such representations and warranties shall be true and correct as of such earlier date) and (ii) with respect to representations and warranties that do not contain a materiality qualification, be true and correct in all material respects on and as of the date of such Credit Extension, (except to the extent such representations and warranties relate to an earlier date, in which case such representations and warranties shall be true and correct in all material respects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Sections 5.05(a)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respectively.</w:t>
      </w:r>
    </w:p>
    <w:p>
      <w:pPr>
        <w:spacing w:after="0" w:line="178" w:lineRule="exact"/>
        <w:rPr>
          <w:rFonts w:ascii="Arial" w:cs="Arial" w:eastAsia="Arial" w:hAnsi="Arial"/>
          <w:sz w:val="17"/>
          <w:szCs w:val="17"/>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No Default shall exist, or would result from such proposed Credit Extension or from the application of the proceeds thereof.</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Loan Notice</w:t>
      </w:r>
      <w:r>
        <w:rPr>
          <w:rFonts w:ascii="Arial" w:cs="Arial" w:eastAsia="Arial" w:hAnsi="Arial"/>
          <w:sz w:val="18"/>
          <w:szCs w:val="18"/>
          <w:color w:val="auto"/>
        </w:rPr>
        <w:t>. The Administrative Agent shall have received a Loan Notice in accordance with the requirements hereof.</w:t>
      </w:r>
    </w:p>
    <w:p>
      <w:pPr>
        <w:spacing w:after="0" w:line="225"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Designated Borrower</w:t>
      </w:r>
      <w:r>
        <w:rPr>
          <w:rFonts w:ascii="Arial" w:cs="Arial" w:eastAsia="Arial" w:hAnsi="Arial"/>
          <w:sz w:val="18"/>
          <w:szCs w:val="18"/>
          <w:color w:val="auto"/>
        </w:rPr>
        <w:t xml:space="preserve">. If the applicable Borrower is a Designated Borrower, then the conditions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to the designation of such Borrower as a Designated Borrower shall have been met to the satisfaction of the Administrative Agent.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Each Loan Notice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(b) have been satisfied on and as of the date of the applicable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6032500</wp:posOffset>
            </wp:positionH>
            <wp:positionV relativeFrom="paragraph">
              <wp:posOffset>-175260</wp:posOffset>
            </wp:positionV>
            <wp:extent cx="1619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1925" cy="8890"/>
                    </a:xfrm>
                    <a:prstGeom prst="rect">
                      <a:avLst/>
                    </a:prstGeom>
                    <a:noFill/>
                  </pic:spPr>
                </pic:pic>
              </a:graphicData>
            </a:graphic>
          </wp:anchor>
        </w:drawing>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Each Loan Party represents and warrants to the Administrative Agent and the Lenders, as of the date hereof and any other date made or deemed made pursuant to the Loan Documents, that: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5.01 </w:t>
      </w:r>
      <w:r>
        <w:rPr>
          <w:rFonts w:ascii="Arial" w:cs="Arial" w:eastAsia="Arial" w:hAnsi="Arial"/>
          <w:sz w:val="18"/>
          <w:szCs w:val="18"/>
          <w:b w:val="1"/>
          <w:bCs w:val="1"/>
          <w:u w:val="single" w:color="auto"/>
          <w:color w:val="auto"/>
        </w:rPr>
        <w:t>Existence, Qualification and Power</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Loan Party and each of its Subsidiaries (a) is duly organized, incorporated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(a) (with respect to Immaterial Subsidiaries only), (b)(i) or (c), to the extent that failure to do so could not reasonably be expected to have a Material Adverse Effect.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5.02 </w:t>
      </w:r>
      <w:r>
        <w:rPr>
          <w:rFonts w:ascii="Arial" w:cs="Arial" w:eastAsia="Arial" w:hAnsi="Arial"/>
          <w:sz w:val="18"/>
          <w:szCs w:val="18"/>
          <w:b w:val="1"/>
          <w:bCs w:val="1"/>
          <w:u w:val="single" w:color="auto"/>
          <w:color w:val="auto"/>
        </w:rPr>
        <w:t>Authorization; No Contravention</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execution, delivery and performance by each Loan Party of each Loan Document to which such Person is a party have been duly authorized by all necessary corporate or other organizational action on the part of such Loan Party, and do not (a) contravene the terms of any of such Person’s Organization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0" w:right="259" w:bottom="1440" w:gutter="0" w:footer="0" w:header="0"/>
        </w:sectPr>
      </w:pPr>
    </w:p>
    <w:bookmarkStart w:id="79" w:name="page80"/>
    <w:bookmarkEnd w:id="79"/>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(b) conflict with or result in any breach or contravention of, or the creation of any Lien under (other than in favor of the Administrative Agent for the benefit of the Secured Parties), or require any payment to be made under (i) any Contractual Obligation to which such Person is a party by which such Person or the properties of such Person or any of its Subsidiaries is bound or (ii) any order, injunction, writ or decree of any Governmental Authority or any arbitral award to which such Person or its property is subject; or (c) violate any Law, except in each case referred to in clause (b) or (c), to the extent such conflict, breach, contravention, payment or violation could not reasonably be expected to have a Material Adverse Effect.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5.03 </w:t>
      </w:r>
      <w:r>
        <w:rPr>
          <w:rFonts w:ascii="Arial" w:cs="Arial" w:eastAsia="Arial" w:hAnsi="Arial"/>
          <w:sz w:val="18"/>
          <w:szCs w:val="18"/>
          <w:b w:val="1"/>
          <w:bCs w:val="1"/>
          <w:u w:val="single" w:color="auto"/>
          <w:color w:val="auto"/>
        </w:rPr>
        <w:t>Governmental Authorization; Other Consents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subject to Permitted Liens), to the extent required thereby, or (d) the exercise by the Administrative Agent or any Lender of its rights under the Loan Documents or the remedies in respect of the Collateral pursuant to the Collateral Documents, other than (i) authorizations, approvals, actions, notices and filings which have been duly obtained, (ii) filings to perfect or enforce the Liens created by, and the exercise of rights and remedies under, the Collateral Documents, (iii) as contemplated by </w:t>
      </w:r>
      <w:r>
        <w:rPr>
          <w:rFonts w:ascii="Arial" w:cs="Arial" w:eastAsia="Arial" w:hAnsi="Arial"/>
          <w:sz w:val="18"/>
          <w:szCs w:val="18"/>
          <w:u w:val="single" w:color="auto"/>
          <w:color w:val="auto"/>
        </w:rPr>
        <w:t>Section 5.24</w:t>
      </w:r>
      <w:r>
        <w:rPr>
          <w:rFonts w:ascii="Arial" w:cs="Arial" w:eastAsia="Arial" w:hAnsi="Arial"/>
          <w:sz w:val="18"/>
          <w:szCs w:val="18"/>
          <w:color w:val="auto"/>
        </w:rPr>
        <w:t xml:space="preserve"> and (iv) those approvals, consents, exemptions, authorizations or other actions, notices or filings, the failure of which to obtain or make could not reasonably be expected to have a Material Adverse Effect.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5.04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enforcement is sought in equity or at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5.05 </w:t>
      </w:r>
      <w:r>
        <w:rPr>
          <w:rFonts w:ascii="Arial" w:cs="Arial" w:eastAsia="Arial" w:hAnsi="Arial"/>
          <w:sz w:val="18"/>
          <w:szCs w:val="18"/>
          <w:b w:val="1"/>
          <w:bCs w:val="1"/>
          <w:u w:val="single" w:color="auto"/>
          <w:color w:val="auto"/>
        </w:rPr>
        <w:t>Financial Statements; No Material Adverse Effect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64"/>
        <w:spacing w:after="0" w:line="273" w:lineRule="auto"/>
        <w:tabs>
          <w:tab w:leader="none" w:pos="701"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The Audited Financial Statements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 to the extent required to be shown on financial statements prepared in accordance with GAAP.</w:t>
      </w:r>
    </w:p>
    <w:p>
      <w:pPr>
        <w:spacing w:after="0" w:line="178" w:lineRule="exact"/>
        <w:rPr>
          <w:rFonts w:ascii="Arial" w:cs="Arial" w:eastAsia="Arial" w:hAnsi="Arial"/>
          <w:sz w:val="17"/>
          <w:szCs w:val="17"/>
          <w:color w:val="auto"/>
        </w:rPr>
      </w:pPr>
    </w:p>
    <w:p>
      <w:pPr>
        <w:ind w:right="80" w:firstLine="464"/>
        <w:spacing w:after="0" w:line="291" w:lineRule="auto"/>
        <w:tabs>
          <w:tab w:leader="none" w:pos="711"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xml:space="preserve">. The unaudited Consolidated and consolidating balance sheets of the Company and its Subsidiaries dated December </w:t>
      </w:r>
      <w:r>
        <w:rPr>
          <w:rFonts w:ascii="Arial" w:cs="Arial" w:eastAsia="Arial" w:hAnsi="Arial"/>
          <w:sz w:val="16"/>
          <w:szCs w:val="16"/>
          <w:color w:val="auto"/>
          <w:strike w:val="1"/>
        </w:rPr>
        <w:t>27</w:t>
      </w:r>
      <w:r>
        <w:rPr>
          <w:rFonts w:ascii="Arial" w:cs="Arial" w:eastAsia="Arial" w:hAnsi="Arial"/>
          <w:sz w:val="16"/>
          <w:szCs w:val="16"/>
          <w:u w:val="single" w:color="auto"/>
          <w:color w:val="auto"/>
        </w:rPr>
        <w:t>29</w:t>
      </w:r>
      <w:r>
        <w:rPr>
          <w:rFonts w:ascii="Arial" w:cs="Arial" w:eastAsia="Arial" w:hAnsi="Arial"/>
          <w:sz w:val="16"/>
          <w:szCs w:val="16"/>
          <w:color w:val="auto"/>
        </w:rPr>
        <w:t xml:space="preserve">, </w:t>
      </w:r>
      <w:r>
        <w:rPr>
          <w:rFonts w:ascii="Arial" w:cs="Arial" w:eastAsia="Arial" w:hAnsi="Arial"/>
          <w:sz w:val="16"/>
          <w:szCs w:val="16"/>
          <w:color w:val="auto"/>
          <w:strike w:val="1"/>
        </w:rPr>
        <w:t>2013</w:t>
      </w:r>
      <w:r>
        <w:rPr>
          <w:rFonts w:ascii="Arial" w:cs="Arial" w:eastAsia="Arial" w:hAnsi="Arial"/>
          <w:sz w:val="16"/>
          <w:szCs w:val="16"/>
          <w:u w:val="single" w:color="auto"/>
          <w:color w:val="auto"/>
        </w:rPr>
        <w:t>2017</w:t>
      </w:r>
      <w:r>
        <w:rPr>
          <w:rFonts w:ascii="Arial" w:cs="Arial" w:eastAsia="Arial" w:hAnsi="Arial"/>
          <w:sz w:val="16"/>
          <w:szCs w:val="16"/>
          <w:color w:val="auto"/>
        </w:rPr>
        <w:t>, and the related Consolidated and consolidating statements of income or operations and cash flows for the fiscal quarter ended on that date</w:t>
      </w:r>
    </w:p>
    <w:p>
      <w:pPr>
        <w:ind w:left="220" w:hanging="212"/>
        <w:spacing w:after="0"/>
        <w:tabs>
          <w:tab w:leader="none" w:pos="2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were prepared in accordance with GAAP consistently applied throughout the period covered thereby, except as otherwise expressly noted therein, and</w:t>
      </w:r>
    </w:p>
    <w:p>
      <w:pPr>
        <w:spacing w:after="0" w:line="32" w:lineRule="exact"/>
        <w:rPr>
          <w:rFonts w:ascii="Arial" w:cs="Arial" w:eastAsia="Arial" w:hAnsi="Arial"/>
          <w:sz w:val="16"/>
          <w:szCs w:val="16"/>
          <w:color w:val="auto"/>
        </w:rPr>
      </w:pPr>
    </w:p>
    <w:p>
      <w:pPr>
        <w:jc w:val="both"/>
        <w:ind w:right="220" w:firstLine="8"/>
        <w:spacing w:after="0" w:line="255" w:lineRule="auto"/>
        <w:tabs>
          <w:tab w:leader="none" w:pos="2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fairly present in all material respects the financial condition of the Company and its Subsidiaries as of the date thereof and their results of operations for the period covered thereby, subject, in the case of clauses (i) and (ii), to the absence of footnotes and to normal year-end audit adjustments and eliminations upon consolidation in the case of consolidating financial statements.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80" w:name="page81"/>
    <w:bookmarkEnd w:id="80"/>
    <w:p>
      <w:pPr>
        <w:ind w:right="160" w:firstLine="464"/>
        <w:spacing w:after="0" w:line="277" w:lineRule="auto"/>
        <w:tabs>
          <w:tab w:leader="none" w:pos="701"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Adverse Effect</w:t>
      </w:r>
      <w:r>
        <w:rPr>
          <w:rFonts w:ascii="Arial" w:cs="Arial" w:eastAsia="Arial" w:hAnsi="Arial"/>
          <w:sz w:val="18"/>
          <w:szCs w:val="18"/>
          <w:color w:val="auto"/>
        </w:rPr>
        <w:t>. Since the date of the Audited Financial Statements, there has been no event or circumstance, either individually or in the aggregate, that has had or could reasonably be expected to have a Material Adverse Effect.</w:t>
      </w:r>
    </w:p>
    <w:p>
      <w:pPr>
        <w:spacing w:after="0" w:line="170" w:lineRule="exact"/>
        <w:rPr>
          <w:rFonts w:ascii="Arial" w:cs="Arial" w:eastAsia="Arial" w:hAnsi="Arial"/>
          <w:sz w:val="18"/>
          <w:szCs w:val="18"/>
          <w:color w:val="auto"/>
        </w:rPr>
      </w:pPr>
    </w:p>
    <w:p>
      <w:pPr>
        <w:jc w:val="both"/>
        <w:ind w:right="20" w:firstLine="464"/>
        <w:spacing w:after="0" w:line="288" w:lineRule="auto"/>
        <w:tabs>
          <w:tab w:leader="none" w:pos="711"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Forecasted Financials</w:t>
      </w:r>
      <w:r>
        <w:rPr>
          <w:rFonts w:ascii="Arial" w:cs="Arial" w:eastAsia="Arial" w:hAnsi="Arial"/>
          <w:sz w:val="16"/>
          <w:szCs w:val="16"/>
          <w:color w:val="auto"/>
        </w:rPr>
        <w:t xml:space="preserve">. The Consolidated and consolidating forecasted balance sheets, statements of income and cash flows of the Company and its Subsidiaries delivered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were prepared in good faith on the basis of the assumptions stated therein, which assumptions the Company believed were reasonable in light of the conditions existing at the time of delivery of such forecasts; it being understood that (i) projections are</w:t>
      </w:r>
    </w:p>
    <w:p>
      <w:pPr>
        <w:ind w:right="120" w:firstLine="8"/>
        <w:spacing w:after="0" w:line="255" w:lineRule="auto"/>
        <w:tabs>
          <w:tab w:leader="none" w:pos="2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to future events and are not to be viewed as facts and (B) subject to significant uncertainties and contingencies, many of which are beyond the Company’s control, (ii) no assurance can be given that any particular projections will be realized and (iii) actual results during the period or periods covered by any such projections may differ significantly from the projected results and such differences may be material.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5.06 </w:t>
      </w: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There are no actions, suits, proceedings, claims or disputes pending or, to the knowledge of the Loan Parties, threatened in writing, at law, in equity, in arbitration or before any Governmental Authority, by or against any Loan Party or any Subsidiary or against any of their properties or revenues that</w:t>
      </w:r>
    </w:p>
    <w:p>
      <w:pPr>
        <w:ind w:right="100" w:firstLine="8"/>
        <w:spacing w:after="0" w:line="261" w:lineRule="auto"/>
        <w:tabs>
          <w:tab w:leader="none" w:pos="2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purport to affect or pertain to this Agreement or any other Loan Document or any of the transactions contemplated hereby, or (b) either individually or in the aggregate could reasonably be expected to have a Material Adverse Effect.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5.07 </w:t>
      </w:r>
      <w:r>
        <w:rPr>
          <w:rFonts w:ascii="Arial" w:cs="Arial" w:eastAsia="Arial" w:hAnsi="Arial"/>
          <w:sz w:val="18"/>
          <w:szCs w:val="18"/>
          <w:b w:val="1"/>
          <w:bCs w:val="1"/>
          <w:u w:val="single" w:color="auto"/>
          <w:color w:val="auto"/>
        </w:rPr>
        <w:t>No Default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Neither any Loan Party nor any Subsidiary thereof is in default under or with respect to, or a party to, any Contractual Obligation which default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5.08 </w:t>
      </w:r>
      <w:r>
        <w:rPr>
          <w:rFonts w:ascii="Arial" w:cs="Arial" w:eastAsia="Arial" w:hAnsi="Arial"/>
          <w:sz w:val="18"/>
          <w:szCs w:val="18"/>
          <w:b w:val="1"/>
          <w:bCs w:val="1"/>
          <w:u w:val="single" w:color="auto"/>
          <w:color w:val="auto"/>
        </w:rPr>
        <w:t>Ownership of Property</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5.09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properties of the Company and its Subsidiaries are insured with financially sound and reputable insurance companies not Affiliates of the Company, in such amounts, with such deductibles and covering such risks as are customarily carried by companies engaged in similar businesses and owning similar properties in localities where the applicable Loan Party or the applicable Subsidiary operates. The general liability, casualty, property, terrorism and business interruption insurance coverage of the Loan Parties as in effect on the Closing Date is outlined as to carrier, policy number, expiration date, type, amount and deductibles on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to the Disclosure Letter and such insurance coverage complies with the requirements set forth in this Agreement and the other Loan Documents.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274" w:right="2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5.10 </w:t>
      </w: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Each Loan Party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No Loan Party is party to an agreement with any Person that is not a Loan Party that provides for the sharing or allocation of taxes. No Subsidiary of a Loan Party is party to an agreement with any Person that is not the Borrower or a Subsidiary of a Loan Party that provides for the sharing or allocation of taxes. The filing and recording of any and all documents required to perfect the security interests granted to the Administrative Agent (for the ratable benefit of the Secured Parties) will not result in any documentary, stamp or other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ERISA Compliance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64"/>
        <w:spacing w:after="0" w:line="297" w:lineRule="auto"/>
        <w:tabs>
          <w:tab w:leader="none" w:pos="701"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Loan Parties, nothing has occurred that would prevent or cause the loss of such tax-qualified status.</w:t>
      </w:r>
    </w:p>
    <w:p>
      <w:pPr>
        <w:spacing w:after="0" w:line="158" w:lineRule="exact"/>
        <w:rPr>
          <w:rFonts w:ascii="Arial" w:cs="Arial" w:eastAsia="Arial" w:hAnsi="Arial"/>
          <w:sz w:val="16"/>
          <w:szCs w:val="16"/>
          <w:color w:val="auto"/>
        </w:rPr>
      </w:pPr>
    </w:p>
    <w:p>
      <w:pPr>
        <w:ind w:right="320" w:firstLine="464"/>
        <w:spacing w:after="0" w:line="259" w:lineRule="auto"/>
        <w:tabs>
          <w:tab w:leader="none" w:pos="71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are no pending or, to the knowledge of the Loan Parties, threatened claims, actions or lawsuits, or action by any Governmental Authority, with respect to any Plan that could reasonably be expected to have a Material Adverse Effect. To the knowledge of the Loan Parties, there has been no prohibited transaction or violation of the fiduciary responsibility rules with respect to any Plan that has resulted or could reasonably be expected to have a Material Adverse Effect.</w:t>
      </w:r>
    </w:p>
    <w:p>
      <w:pPr>
        <w:spacing w:after="0" w:line="186" w:lineRule="exact"/>
        <w:rPr>
          <w:rFonts w:ascii="Arial" w:cs="Arial" w:eastAsia="Arial" w:hAnsi="Arial"/>
          <w:sz w:val="18"/>
          <w:szCs w:val="18"/>
          <w:color w:val="auto"/>
        </w:rPr>
      </w:pPr>
    </w:p>
    <w:p>
      <w:pPr>
        <w:ind w:firstLine="464"/>
        <w:spacing w:after="0" w:line="270" w:lineRule="auto"/>
        <w:tabs>
          <w:tab w:leader="none" w:pos="701"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(i) No ERISA Event has occurred, and no Loan Party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w:t>
      </w:r>
      <w:r>
        <w:rPr>
          <w:rFonts w:ascii="Arial" w:cs="Arial" w:eastAsia="Arial" w:hAnsi="Arial"/>
          <w:sz w:val="17"/>
          <w:szCs w:val="17"/>
          <w:u w:val="single" w:color="auto"/>
          <w:color w:val="auto"/>
        </w:rPr>
        <w:t>sixty percent (</w:t>
      </w:r>
      <w:r>
        <w:rPr>
          <w:rFonts w:ascii="Arial" w:cs="Arial" w:eastAsia="Arial" w:hAnsi="Arial"/>
          <w:sz w:val="17"/>
          <w:szCs w:val="17"/>
          <w:color w:val="auto"/>
        </w:rPr>
        <w:t>60%</w:t>
      </w:r>
      <w:r>
        <w:rPr>
          <w:rFonts w:ascii="Arial" w:cs="Arial" w:eastAsia="Arial" w:hAnsi="Arial"/>
          <w:sz w:val="17"/>
          <w:szCs w:val="17"/>
          <w:u w:val="single" w:color="auto"/>
          <w:color w:val="auto"/>
        </w:rPr>
        <w:t>)</w:t>
      </w:r>
      <w:r>
        <w:rPr>
          <w:rFonts w:ascii="Arial" w:cs="Arial" w:eastAsia="Arial" w:hAnsi="Arial"/>
          <w:sz w:val="17"/>
          <w:szCs w:val="17"/>
          <w:color w:val="auto"/>
        </w:rPr>
        <w:t xml:space="preserve"> or higher and no Loan Party nor any ERISA Affiliate knows of any facts or circumstances that could reasonably be expected to cause the funding target attainment percentage for any such plan to drop below </w:t>
      </w:r>
      <w:r>
        <w:rPr>
          <w:rFonts w:ascii="Arial" w:cs="Arial" w:eastAsia="Arial" w:hAnsi="Arial"/>
          <w:sz w:val="17"/>
          <w:szCs w:val="17"/>
          <w:u w:val="single" w:color="auto"/>
          <w:color w:val="auto"/>
        </w:rPr>
        <w:t>sixty percent (</w:t>
      </w:r>
      <w:r>
        <w:rPr>
          <w:rFonts w:ascii="Arial" w:cs="Arial" w:eastAsia="Arial" w:hAnsi="Arial"/>
          <w:sz w:val="17"/>
          <w:szCs w:val="17"/>
          <w:color w:val="auto"/>
        </w:rPr>
        <w:t>60%</w:t>
      </w:r>
      <w:r>
        <w:rPr>
          <w:rFonts w:ascii="Arial" w:cs="Arial" w:eastAsia="Arial" w:hAnsi="Arial"/>
          <w:sz w:val="17"/>
          <w:szCs w:val="17"/>
          <w:u w:val="single" w:color="auto"/>
          <w:color w:val="auto"/>
        </w:rPr>
        <w:t>)</w:t>
      </w:r>
      <w:r>
        <w:rPr>
          <w:rFonts w:ascii="Arial" w:cs="Arial" w:eastAsia="Arial" w:hAnsi="Arial"/>
          <w:sz w:val="17"/>
          <w:szCs w:val="17"/>
          <w:color w:val="auto"/>
        </w:rPr>
        <w:t xml:space="preserve"> as of the most recent valuation date; (iii) no Loan Party nor any ERISA Affiliate has incurred any liability to the PBGC other than for the payment of premiums, and there are no premium payments which have become due that are unpaid; (iv) neither the Borrower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1" w:lineRule="exact"/>
        <w:rPr>
          <w:rFonts w:ascii="Arial" w:cs="Arial" w:eastAsia="Arial" w:hAnsi="Arial"/>
          <w:sz w:val="17"/>
          <w:szCs w:val="17"/>
          <w:color w:val="auto"/>
        </w:rPr>
      </w:pPr>
    </w:p>
    <w:p>
      <w:pPr>
        <w:ind w:firstLine="464"/>
        <w:spacing w:after="0" w:line="264" w:lineRule="auto"/>
        <w:tabs>
          <w:tab w:leader="none" w:pos="711"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respect to each scheme or arrangement mandated by a government other than the United States (a “</w:t>
      </w:r>
      <w:r>
        <w:rPr>
          <w:rFonts w:ascii="Arial" w:cs="Arial" w:eastAsia="Arial" w:hAnsi="Arial"/>
          <w:sz w:val="18"/>
          <w:szCs w:val="18"/>
          <w:u w:val="single" w:color="auto"/>
          <w:color w:val="auto"/>
        </w:rPr>
        <w:t>Foreign Government Scheme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Arrangement</w:t>
      </w:r>
      <w:r>
        <w:rPr>
          <w:rFonts w:ascii="Arial" w:cs="Arial" w:eastAsia="Arial" w:hAnsi="Arial"/>
          <w:sz w:val="18"/>
          <w:szCs w:val="18"/>
          <w:color w:val="auto"/>
        </w:rPr>
        <w:t>”) and with respect to each employee benefit plan maintained or contributed to by any Loan Party or any Subsidiary of any Loan Party that is not subject to United States law (a “</w:t>
      </w:r>
      <w:r>
        <w:rPr>
          <w:rFonts w:ascii="Arial" w:cs="Arial" w:eastAsia="Arial" w:hAnsi="Arial"/>
          <w:sz w:val="18"/>
          <w:szCs w:val="18"/>
          <w:u w:val="single" w:color="auto"/>
          <w:color w:val="auto"/>
        </w:rPr>
        <w:t>Foreign Plan</w:t>
      </w:r>
      <w:r>
        <w:rPr>
          <w:rFonts w:ascii="Arial" w:cs="Arial" w:eastAsia="Arial" w:hAnsi="Arial"/>
          <w:sz w:val="18"/>
          <w:szCs w:val="18"/>
          <w:color w:val="auto"/>
        </w:rPr>
        <w:t>”):</w:t>
      </w:r>
    </w:p>
    <w:p>
      <w:pPr>
        <w:spacing w:after="0" w:line="181" w:lineRule="exact"/>
        <w:rPr>
          <w:sz w:val="20"/>
          <w:szCs w:val="20"/>
          <w:color w:val="auto"/>
        </w:rPr>
      </w:pPr>
    </w:p>
    <w:p>
      <w:pPr>
        <w:ind w:left="460" w:firstLine="443"/>
        <w:spacing w:after="0" w:line="277" w:lineRule="auto"/>
        <w:tabs>
          <w:tab w:leader="none" w:pos="111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0" w:right="259" w:bottom="1440" w:gutter="0" w:footer="0" w:header="0"/>
        </w:sectPr>
      </w:pPr>
    </w:p>
    <w:bookmarkStart w:id="82" w:name="page83"/>
    <w:bookmarkEnd w:id="82"/>
    <w:p>
      <w:pPr>
        <w:ind w:left="460" w:right="100" w:firstLine="443"/>
        <w:spacing w:after="0" w:line="302" w:lineRule="auto"/>
        <w:tabs>
          <w:tab w:leader="none" w:pos="1163"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46" w:lineRule="exact"/>
        <w:rPr>
          <w:rFonts w:ascii="Arial" w:cs="Arial" w:eastAsia="Arial" w:hAnsi="Arial"/>
          <w:sz w:val="16"/>
          <w:szCs w:val="16"/>
          <w:color w:val="auto"/>
        </w:rPr>
      </w:pPr>
    </w:p>
    <w:p>
      <w:pPr>
        <w:ind w:left="460" w:right="660" w:firstLine="443"/>
        <w:spacing w:after="0" w:line="277" w:lineRule="auto"/>
        <w:tabs>
          <w:tab w:leader="none" w:pos="1213"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Foreign Plan required to be registered has been registered and has been maintained in good standing with applicable regulatory authorities.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Margin Regulations; Investment Company Act</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55" w:lineRule="auto"/>
        <w:tabs>
          <w:tab w:leader="none" w:pos="70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Margin Regulations</w:t>
      </w:r>
      <w:r>
        <w:rPr>
          <w:rFonts w:ascii="Arial" w:cs="Arial" w:eastAsia="Arial" w:hAnsi="Arial"/>
          <w:sz w:val="18"/>
          <w:szCs w:val="18"/>
          <w:color w:val="auto"/>
        </w:rPr>
        <w:t xml:space="preserve">. 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Credit Extension, not more than twenty-five percent (25%) of the value of the assets (either of the Borrower only or of the Borrower and its Subsidiaries on a Consolidated basis) subject to the provisions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will be margin stock.</w:t>
      </w:r>
    </w:p>
    <w:p>
      <w:pPr>
        <w:spacing w:after="0" w:line="193"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the Borrower, any Person Controlling the Borrower, or any Subsidiary is or is required to be registered as an “investment company” under the Investment Company Act of 1940.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5.13 </w:t>
      </w:r>
      <w:r>
        <w:rPr>
          <w:rFonts w:ascii="Arial" w:cs="Arial" w:eastAsia="Arial" w:hAnsi="Arial"/>
          <w:sz w:val="18"/>
          <w:szCs w:val="18"/>
          <w:b w:val="1"/>
          <w:bCs w:val="1"/>
          <w:u w:val="single" w:color="auto"/>
          <w:color w:val="auto"/>
        </w:rPr>
        <w:t>Disclosure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The Company has disclosed to the Administrative Agent and the Lenders all agreements, instruments and corporate or other restrictions to which it or any of its Subsidiaries or any other Loan Party is subject, and all other matters known to it, that, individually or in the aggregate, could reasonably be expected to have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but excluding information of a general economic or general industry nature), taken as a whole and together with the Company’s filings with the SEC, contains any material misstatement of fact or omits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each Loan Party represents only that such information was prepared in good faith based upon assumptions believed to be reasonable at the time; it being understood that (a) projections are (i) as to future events and are not to be viewed as facts and (ii) subject to significant uncertainties and contingencies, many of which are beyond the Company’s control, (b) no assurance can be given that any particular projections will be realized and (c) actual results during the period or periods covered by any such projections may differ significantly from the projected results and such differences may be material.</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5.14 </w:t>
      </w:r>
      <w:r>
        <w:rPr>
          <w:rFonts w:ascii="Arial" w:cs="Arial" w:eastAsia="Arial" w:hAnsi="Arial"/>
          <w:sz w:val="18"/>
          <w:szCs w:val="18"/>
          <w:b w:val="1"/>
          <w:bCs w:val="1"/>
          <w:u w:val="single" w:color="auto"/>
          <w:color w:val="auto"/>
        </w:rPr>
        <w:t>Compliance with Laws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Loan Party and each Subsidiary thereof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5.15 </w:t>
      </w:r>
      <w:r>
        <w:rPr>
          <w:rFonts w:ascii="Arial" w:cs="Arial" w:eastAsia="Arial" w:hAnsi="Arial"/>
          <w:sz w:val="18"/>
          <w:szCs w:val="18"/>
          <w:b w:val="1"/>
          <w:bCs w:val="1"/>
          <w:u w:val="single" w:color="auto"/>
          <w:color w:val="auto"/>
        </w:rPr>
        <w:t>Solvency</w:t>
      </w:r>
      <w:r>
        <w:rPr>
          <w:rFonts w:ascii="Arial" w:cs="Arial" w:eastAsia="Arial" w:hAnsi="Arial"/>
          <w:sz w:val="18"/>
          <w:szCs w:val="18"/>
          <w:b w:val="1"/>
          <w:bCs w:val="1"/>
          <w:color w:val="auto"/>
        </w:rPr>
        <w:t>.</w:t>
      </w:r>
    </w:p>
    <w:p>
      <w:pPr>
        <w:spacing w:after="0" w:line="121" w:lineRule="exact"/>
        <w:rPr>
          <w:sz w:val="20"/>
          <w:szCs w:val="20"/>
          <w:color w:val="auto"/>
        </w:rPr>
      </w:pPr>
    </w:p>
    <w:p>
      <w:pPr>
        <w:ind w:left="700" w:hanging="236"/>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Company and Fabrinet Thailand is individually Solvent.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and its Subsidiaries on a Consolidated basis are Solvent.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5.16 </w:t>
      </w:r>
      <w:r>
        <w:rPr>
          <w:rFonts w:ascii="Arial" w:cs="Arial" w:eastAsia="Arial" w:hAnsi="Arial"/>
          <w:sz w:val="18"/>
          <w:szCs w:val="18"/>
          <w:b w:val="1"/>
          <w:bCs w:val="1"/>
          <w:u w:val="single" w:color="auto"/>
          <w:color w:val="auto"/>
        </w:rPr>
        <w:t>Casualty, Etc</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5.17 </w:t>
      </w:r>
      <w:r>
        <w:rPr>
          <w:rFonts w:ascii="Arial" w:cs="Arial" w:eastAsia="Arial" w:hAnsi="Arial"/>
          <w:sz w:val="18"/>
          <w:szCs w:val="18"/>
          <w:b w:val="1"/>
          <w:bCs w:val="1"/>
          <w:u w:val="single" w:color="auto"/>
          <w:color w:val="auto"/>
        </w:rPr>
        <w:t>Sanctions Concerns and Anti-Corruption Laws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64"/>
        <w:spacing w:after="0" w:line="302" w:lineRule="auto"/>
        <w:tabs>
          <w:tab w:leader="none" w:pos="70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Sanctions Concerns</w:t>
      </w:r>
      <w:r>
        <w:rPr>
          <w:rFonts w:ascii="Arial" w:cs="Arial" w:eastAsia="Arial" w:hAnsi="Arial"/>
          <w:sz w:val="16"/>
          <w:szCs w:val="16"/>
          <w:color w:val="auto"/>
        </w:rPr>
        <w:t>. No Loan Party, nor any Subsidiary, nor, to the knowledge of the Loan Parties and their Subsidiaries,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Her Majesty’s Treasury’s Consolidated List of Financial Sanctions Targets and Her Majesty’s Treasury’s Investment Ban List, or (iii) located, organized or resident in a Designated Jurisdiction.</w:t>
      </w:r>
    </w:p>
    <w:p>
      <w:pPr>
        <w:spacing w:after="0" w:line="154" w:lineRule="exact"/>
        <w:rPr>
          <w:rFonts w:ascii="Arial" w:cs="Arial" w:eastAsia="Arial" w:hAnsi="Arial"/>
          <w:sz w:val="16"/>
          <w:szCs w:val="16"/>
          <w:color w:val="auto"/>
        </w:rPr>
      </w:pPr>
    </w:p>
    <w:p>
      <w:pPr>
        <w:jc w:val="both"/>
        <w:ind w:right="40" w:firstLine="464"/>
        <w:spacing w:after="0" w:line="312" w:lineRule="auto"/>
        <w:tabs>
          <w:tab w:leader="none" w:pos="71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Anti-Corruption Laws</w:t>
      </w:r>
      <w:r>
        <w:rPr>
          <w:rFonts w:ascii="Arial" w:cs="Arial" w:eastAsia="Arial" w:hAnsi="Arial"/>
          <w:sz w:val="16"/>
          <w:szCs w:val="16"/>
          <w:color w:val="auto"/>
        </w:rPr>
        <w:t>. The Loan Parties and their Subsidiaries have conducted their business in compliance in al material respects with the United States Foreign Corrupt Practices Act of 1977, the UK Bribery Act 2010 and other similar anti-corruption legislation in other jurisdictions that is applicable to the Company and its Subsidiaries, and have instituted and maintained policies and procedures designated to promote and achieve compliance with such laws.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5.18 </w:t>
      </w:r>
      <w:r>
        <w:rPr>
          <w:rFonts w:ascii="Arial" w:cs="Arial" w:eastAsia="Arial" w:hAnsi="Arial"/>
          <w:sz w:val="18"/>
          <w:szCs w:val="18"/>
          <w:b w:val="1"/>
          <w:bCs w:val="1"/>
          <w:u w:val="single" w:color="auto"/>
          <w:color w:val="auto"/>
        </w:rPr>
        <w:t>Responsible Officers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to the Disclosure Letter lists certain Responsible Officers, holding the offices or positions indicated next to their respective names, as of the Closing Date and as of the last date such Schedule was required to be updated in accordance with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such Responsible Officers are the duly elected and qualified officers or directors of such Loan Party and are duly authorized to execute and deliver, on behalf of the respective Loan Party, this Agreement, the Notes and the other Loan Documents.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5.19 </w:t>
      </w:r>
      <w:r>
        <w:rPr>
          <w:rFonts w:ascii="Arial" w:cs="Arial" w:eastAsia="Arial" w:hAnsi="Arial"/>
          <w:sz w:val="18"/>
          <w:szCs w:val="18"/>
          <w:b w:val="1"/>
          <w:bCs w:val="1"/>
          <w:u w:val="single" w:color="auto"/>
          <w:color w:val="auto"/>
        </w:rPr>
        <w:t>Subsidiaries; Equity Interests; Loan Parties</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464"/>
        <w:spacing w:after="0" w:line="259" w:lineRule="auto"/>
        <w:tabs>
          <w:tab w:leader="none" w:pos="70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Subsidiaries, Joint Ventures, Partnerships and Equity Investments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5.19(a)</w:t>
      </w:r>
      <w:r>
        <w:rPr>
          <w:rFonts w:ascii="Arial" w:cs="Arial" w:eastAsia="Arial" w:hAnsi="Arial"/>
          <w:sz w:val="18"/>
          <w:szCs w:val="18"/>
          <w:color w:val="auto"/>
        </w:rPr>
        <w:t xml:space="preserve"> to the Disclosure Letter, is the following information which is true and complete in all respects as of the Closing Date or as of the last date such Schedule was required to be updated in accordance with </w:t>
      </w:r>
      <w:r>
        <w:rPr>
          <w:rFonts w:ascii="Arial" w:cs="Arial" w:eastAsia="Arial" w:hAnsi="Arial"/>
          <w:sz w:val="18"/>
          <w:szCs w:val="18"/>
          <w:u w:val="single" w:color="auto"/>
          <w:color w:val="auto"/>
        </w:rPr>
        <w:t>Section 6.02</w:t>
      </w:r>
      <w:r>
        <w:rPr>
          <w:rFonts w:ascii="Arial" w:cs="Arial" w:eastAsia="Arial" w:hAnsi="Arial"/>
          <w:sz w:val="18"/>
          <w:szCs w:val="18"/>
          <w:color w:val="auto"/>
        </w:rPr>
        <w:t>, as applicable: (i) a complete and accurate list of all Subsidiaries of the Loan Parties; (ii) the number of shares of each class of Equity Interests in each Subsidiary outstanding, (iii) the number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70" w:right="279" w:bottom="1440" w:gutter="0" w:footer="0" w:header="0"/>
        </w:sectPr>
      </w:pPr>
    </w:p>
    <w:bookmarkStart w:id="84" w:name="page85"/>
    <w:bookmarkEnd w:id="84"/>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percentage of outstanding shares of each class of Equity Interests owned by the Loan Parties and their Subsidiaries, (iv) the class or nature of such Equity Interests (i.e. voting, non-voting, preferred, etc.) and (v) an indication of whether such Subsidiary is an Immaterial Subsidiary. The outstanding Equity Interests in all Subsidiaries are validly issued, fully paid and non-assessable and are owned free and clear of all Liens (other than Liens in favor of the Administrative Agent on behalf of the Secured Parties). There are no outstanding subscriptions, options, warrants, calls, rights or other agreements or commitments (other than stock options granted to employees or directors and directors’ qualifying shares) of any nature relating to the Equity Interests of any Loan Party or any Subsidiary thereof, except as may be permitted by the Loan Documents.</w:t>
      </w:r>
    </w:p>
    <w:p>
      <w:pPr>
        <w:spacing w:after="0" w:line="178" w:lineRule="exact"/>
        <w:rPr>
          <w:sz w:val="20"/>
          <w:szCs w:val="20"/>
          <w:color w:val="auto"/>
        </w:rPr>
      </w:pPr>
    </w:p>
    <w:p>
      <w:pPr>
        <w:ind w:firstLine="464"/>
        <w:spacing w:after="0" w:line="271" w:lineRule="auto"/>
        <w:tabs>
          <w:tab w:leader="none" w:pos="711"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Loan Parties</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Schedule 5.19(b)</w:t>
      </w:r>
      <w:r>
        <w:rPr>
          <w:rFonts w:ascii="Arial" w:cs="Arial" w:eastAsia="Arial" w:hAnsi="Arial"/>
          <w:sz w:val="17"/>
          <w:szCs w:val="17"/>
          <w:color w:val="auto"/>
        </w:rPr>
        <w:t xml:space="preserve"> to the Disclosure Letter is a complete and accurate list of all Loan Parties, showing as of the Closing Date, or as of the last date such Schedule was required to be updated in accordance with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(as to each Loan Party), as applicable: (i) the exact legal name, (ii) any former legal names of such Loan Party in the four (4) months prior to the Closing Date, (iii) the jurisdiction of its incorporation or organization, as applicable, (iv) the type of organization, (v) the jurisdictions in which such Loan Party is qualified to do business, (vi) the address of its chief executive office, (vii) the address of its principal place of business, (viii) its U.S. federal taxpayer identification number or, in the case of any non-U.S. Loan Party that does not have a U.S. taxpayer identification number, its unique identification number, if applicable, issued to it by the jurisdiction of its incorporation or organization, (ix) the organization identification number, if applicable, and (x) with respect to Subsidiaries, ownership information (e.g. publicly held or if private or partnership, the owners and partners of each Subsidiary).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5.20 </w:t>
      </w:r>
      <w:r>
        <w:rPr>
          <w:rFonts w:ascii="Arial" w:cs="Arial" w:eastAsia="Arial" w:hAnsi="Arial"/>
          <w:sz w:val="18"/>
          <w:szCs w:val="18"/>
          <w:b w:val="1"/>
          <w:bCs w:val="1"/>
          <w:u w:val="single" w:color="auto"/>
          <w:color w:val="auto"/>
        </w:rPr>
        <w:t>Collateral Representations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64"/>
        <w:spacing w:after="0" w:line="276" w:lineRule="auto"/>
        <w:tabs>
          <w:tab w:leader="none" w:pos="701"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Collateral Documents</w:t>
      </w:r>
      <w:r>
        <w:rPr>
          <w:rFonts w:ascii="Arial" w:cs="Arial" w:eastAsia="Arial" w:hAnsi="Arial"/>
          <w:sz w:val="17"/>
          <w:szCs w:val="17"/>
          <w:color w:val="auto"/>
        </w:rPr>
        <w:t>. The provisions of the Collateral Documents are effective to create in favor of the Administrative Agent for the benefit of the Secured Parties a legal, valid and enforceable first priority Lien (subject to Permitted Liens) on all right, title and interest of the Borrower in the Collateral described therein, subject to the timely and proper filings, deliveries, notations and other actions contemplated hereby and by the Collateral Documents and to the extent such Lien can be perfected by such filings, deliveries, notations and other actions. Except for filings completed prior to the Effective Date and as contemplated hereby and by the Collateral Documents, no filing or other action will be necessary to perfect or protect such Liens.</w:t>
      </w:r>
    </w:p>
    <w:p>
      <w:pPr>
        <w:spacing w:after="0" w:line="172" w:lineRule="exact"/>
        <w:rPr>
          <w:rFonts w:ascii="Arial" w:cs="Arial" w:eastAsia="Arial" w:hAnsi="Arial"/>
          <w:sz w:val="17"/>
          <w:szCs w:val="17"/>
          <w:color w:val="auto"/>
        </w:rPr>
      </w:pPr>
    </w:p>
    <w:p>
      <w:pPr>
        <w:ind w:left="720" w:hanging="256"/>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Deposit Accounts, Electronic Chattel Paper, Letter-of-Credit Rights, and Securities Accounts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270" w:lineRule="auto"/>
        <w:tabs>
          <w:tab w:leader="none" w:pos="1113"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5.20(b)(i)</w:t>
      </w:r>
      <w:r>
        <w:rPr>
          <w:rFonts w:ascii="Arial" w:cs="Arial" w:eastAsia="Arial" w:hAnsi="Arial"/>
          <w:sz w:val="17"/>
          <w:szCs w:val="17"/>
          <w:color w:val="auto"/>
        </w:rPr>
        <w:t xml:space="preserve"> to the Disclosure Letter, as of the Closing Date or as of the last date such Schedule was required to be updated in accordance with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as applicable, is a description of all Deposit Accounts (as defined in the UCC) and Securities Accounts (as defined in the UCC) of the Company, including (A) in the case of a Deposit Account, (1) the name of the depository institution, (2)(a) as of the Closing Date, the average amount held in such Deposit Account for the three (3) months most recently ended prior to the Closing Date, or (b) when required to be updated in accordance with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the amount held in such Deposit Account as of the last day of the most recently ended fiscal quarter, as applicable, and (3) whether such account is a zero balance account, payroll account, withholding and trust account, tax account, escrow or other fiduciary account or cash collateral account, and (B) in the case of a Securities Account, (1) the Securities Intermediary (as defined in the UCC) or issuer and (2)(a) as of the Closing Date, the average aggregate market value held in such Securities Account for the three (3) months most recently ended prior to the Closing Date, or (b) when updated in accordance with </w:t>
      </w:r>
      <w:r>
        <w:rPr>
          <w:rFonts w:ascii="Arial" w:cs="Arial" w:eastAsia="Arial" w:hAnsi="Arial"/>
          <w:sz w:val="17"/>
          <w:szCs w:val="17"/>
          <w:u w:val="single" w:color="auto"/>
          <w:color w:val="auto"/>
        </w:rPr>
        <w:t>Section 6.02</w:t>
      </w:r>
      <w:r>
        <w:rPr>
          <w:rFonts w:ascii="Arial" w:cs="Arial" w:eastAsia="Arial" w:hAnsi="Arial"/>
          <w:sz w:val="17"/>
          <w:szCs w:val="17"/>
          <w:color w:val="auto"/>
        </w:rPr>
        <w:t>, the amount held in such Securities Account as of the last day of the most recently ended fiscal quarter, as applicable.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85" w:name="page86"/>
    <w:bookmarkEnd w:id="85"/>
    <w:p>
      <w:pPr>
        <w:ind w:left="460" w:right="180" w:firstLine="443"/>
        <w:spacing w:after="0" w:line="288" w:lineRule="auto"/>
        <w:tabs>
          <w:tab w:leader="none" w:pos="1163" w:val="left"/>
        </w:tabs>
        <w:numPr>
          <w:ilvl w:val="1"/>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Set forth on </w:t>
      </w:r>
      <w:r>
        <w:rPr>
          <w:rFonts w:ascii="Arial" w:cs="Arial" w:eastAsia="Arial" w:hAnsi="Arial"/>
          <w:sz w:val="16"/>
          <w:szCs w:val="16"/>
          <w:u w:val="single" w:color="auto"/>
          <w:color w:val="auto"/>
        </w:rPr>
        <w:t>Schedule 5.20(b)(ii)</w:t>
      </w:r>
      <w:r>
        <w:rPr>
          <w:rFonts w:ascii="Arial" w:cs="Arial" w:eastAsia="Arial" w:hAnsi="Arial"/>
          <w:sz w:val="16"/>
          <w:szCs w:val="16"/>
          <w:color w:val="auto"/>
        </w:rPr>
        <w:t xml:space="preserve"> to the Disclosure Letter, as of the Closing Date or as of the last date such Schedule was required to be updated in accordance with </w:t>
      </w:r>
      <w:r>
        <w:rPr>
          <w:rFonts w:ascii="Arial" w:cs="Arial" w:eastAsia="Arial" w:hAnsi="Arial"/>
          <w:sz w:val="16"/>
          <w:szCs w:val="16"/>
          <w:u w:val="single" w:color="auto"/>
          <w:color w:val="auto"/>
        </w:rPr>
        <w:t>Section 6.02</w:t>
      </w:r>
      <w:r>
        <w:rPr>
          <w:rFonts w:ascii="Arial" w:cs="Arial" w:eastAsia="Arial" w:hAnsi="Arial"/>
          <w:sz w:val="16"/>
          <w:szCs w:val="16"/>
          <w:color w:val="auto"/>
        </w:rPr>
        <w:t>, as applicable, is a description of all Electronic Chattel Paper (as defined in the UCC) and Letter-of-Credit Rights (as defined in the UCC) of the Company, including (A) in the case of Electronic Chattel Paper (as defined in the UCC), the account debtor and</w:t>
      </w:r>
    </w:p>
    <w:p>
      <w:pPr>
        <w:ind w:left="740" w:hanging="276"/>
        <w:spacing w:after="0"/>
        <w:tabs>
          <w:tab w:leader="none" w:pos="7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case of Letter-of-Credit Rights (as defined in the UCC), the issuer or nominated person, as applicable.</w:t>
      </w:r>
    </w:p>
    <w:p>
      <w:pPr>
        <w:spacing w:after="0" w:line="211" w:lineRule="exact"/>
        <w:rPr>
          <w:sz w:val="20"/>
          <w:szCs w:val="20"/>
          <w:color w:val="auto"/>
        </w:rPr>
      </w:pPr>
    </w:p>
    <w:p>
      <w:pPr>
        <w:ind w:right="100" w:firstLine="464"/>
        <w:spacing w:after="0" w:line="257" w:lineRule="auto"/>
        <w:tabs>
          <w:tab w:leader="none" w:pos="70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Pledged Equity Interests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5.20(c)</w:t>
      </w:r>
      <w:r>
        <w:rPr>
          <w:rFonts w:ascii="Arial" w:cs="Arial" w:eastAsia="Arial" w:hAnsi="Arial"/>
          <w:sz w:val="18"/>
          <w:szCs w:val="18"/>
          <w:color w:val="auto"/>
        </w:rPr>
        <w:t xml:space="preserve"> to the Disclosure Letter, as of the Closing Date or as of the last date such Schedule was required to be updated in accordance with </w:t>
      </w:r>
      <w:r>
        <w:rPr>
          <w:rFonts w:ascii="Arial" w:cs="Arial" w:eastAsia="Arial" w:hAnsi="Arial"/>
          <w:sz w:val="18"/>
          <w:szCs w:val="18"/>
          <w:u w:val="single" w:color="auto"/>
          <w:color w:val="auto"/>
        </w:rPr>
        <w:t>Section 6.02</w:t>
      </w:r>
      <w:r>
        <w:rPr>
          <w:rFonts w:ascii="Arial" w:cs="Arial" w:eastAsia="Arial" w:hAnsi="Arial"/>
          <w:sz w:val="18"/>
          <w:szCs w:val="18"/>
          <w:color w:val="auto"/>
        </w:rPr>
        <w:t>, as applicable, is a list of (i) all Pledged Equity and (ii) all other Equity Interests required to be pledged to the Administrative Agent pursuant to the Collateral Documents (in each case, detailing the Person whose Equity Interests are pledged, the number of shares of each class of Equity Interests, the certificate number and percentage ownership of outstanding shares of each class of Equity Interests and the class or nature of such Equity Interests (i.e. voting, non-voting, preferred, etc.)).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5.21 </w:t>
      </w:r>
      <w:r>
        <w:rPr>
          <w:rFonts w:ascii="Arial" w:cs="Arial" w:eastAsia="Arial" w:hAnsi="Arial"/>
          <w:sz w:val="18"/>
          <w:szCs w:val="18"/>
          <w:b w:val="1"/>
          <w:bCs w:val="1"/>
          <w:u w:val="single" w:color="auto"/>
          <w:color w:val="auto"/>
        </w:rPr>
        <w:t>Designation as Senior Indebtedness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The Obligations constitute “Designated Senior Indebtedness” or any similar designation (with respect to indebtedness having the maximum rights as “senior debt”) under and as defined in any agreement governing any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 </w:t>
      </w:r>
      <w:r>
        <w:rPr>
          <w:rFonts w:ascii="Arial" w:cs="Arial" w:eastAsia="Arial" w:hAnsi="Arial"/>
          <w:sz w:val="18"/>
          <w:szCs w:val="18"/>
          <w:u w:val="single" w:color="auto"/>
          <w:color w:val="auto"/>
        </w:rPr>
        <w:t>that by their express terms are subordinated to</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Obligations</w:t>
      </w:r>
      <w:r>
        <w:rPr>
          <w:rFonts w:ascii="Arial" w:cs="Arial" w:eastAsia="Arial" w:hAnsi="Arial"/>
          <w:sz w:val="18"/>
          <w:szCs w:val="18"/>
          <w:color w:val="auto"/>
        </w:rPr>
        <w:t xml:space="preserve"> and the Subordination Provisions set forth in each such agreement are legally valid and enforceable against the parties thereto, subject to applicable bankruptcy, insolvency, reorganization, moratorium and other Laws affecting creditors’ rights generally and subject to general principles of equity (regardless of whether enforcement is sought in equity or at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5.22 </w:t>
      </w:r>
      <w:r>
        <w:rPr>
          <w:rFonts w:ascii="Arial" w:cs="Arial" w:eastAsia="Arial" w:hAnsi="Arial"/>
          <w:sz w:val="18"/>
          <w:szCs w:val="18"/>
          <w:b w:val="1"/>
          <w:bCs w:val="1"/>
          <w:u w:val="single" w:color="auto"/>
          <w:color w:val="auto"/>
        </w:rPr>
        <w:t>Intellectual Property; Licenses, Etc</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would not reasonably be expected to have a Material Adverse Effect, each Loan Party and each of its Subsidiaries own, or possess the right to use, all of the trademarks, service marks, trade names, copyrights, patents, patent rights, franchises, licenses and other intellectual property rights that are reasonably necessary for the operation of their respective businesses, without conflict with the rights of any other Person. To the knowledge of the Borrower, no slogan or other advertising device, product, process, method, substance, part or other material now employed, or now contemplated to be employed, by any Loan Party or any Subsidiaries infringes upon any rights held by any other Person. No claim or litigation regarding any of the foregoing is pending or, to the knowledge of the Borrower, threatened in writing, which, either individually or in the aggregate, could reasonably be expected to have a Material Adverse Effect.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5.23 </w:t>
      </w:r>
      <w:r>
        <w:rPr>
          <w:rFonts w:ascii="Arial" w:cs="Arial" w:eastAsia="Arial" w:hAnsi="Arial"/>
          <w:sz w:val="18"/>
          <w:szCs w:val="18"/>
          <w:b w:val="1"/>
          <w:bCs w:val="1"/>
          <w:u w:val="single" w:color="auto"/>
          <w:color w:val="auto"/>
        </w:rPr>
        <w:t>Labor Matters</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Except as disclosed in the Company’s filings with the SEC prior to the Closing Date, there are no collective bargaining agreements or Multiemployer Plans covering the employees of the Company or any of its Subsidiaries as of the Closing Date and neither the Company nor any Subsidiary has suffered any strikes, walkouts, work stoppages or other material labor difficulty within the last five (5) years preceding the Closing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5.24 </w:t>
      </w:r>
      <w:r>
        <w:rPr>
          <w:rFonts w:ascii="Arial" w:cs="Arial" w:eastAsia="Arial" w:hAnsi="Arial"/>
          <w:sz w:val="17"/>
          <w:szCs w:val="17"/>
          <w:b w:val="1"/>
          <w:bCs w:val="1"/>
          <w:u w:val="single" w:color="auto"/>
          <w:color w:val="auto"/>
        </w:rPr>
        <w:t>Representations as to Foreign Obligors</w:t>
      </w:r>
      <w:r>
        <w:rPr>
          <w:rFonts w:ascii="Arial" w:cs="Arial" w:eastAsia="Arial" w:hAnsi="Arial"/>
          <w:sz w:val="17"/>
          <w:szCs w:val="17"/>
          <w:b w:val="1"/>
          <w:bCs w:val="1"/>
          <w:color w:val="auto"/>
        </w:rPr>
        <w:t xml:space="preserve">. </w:t>
      </w:r>
      <w:r>
        <w:rPr>
          <w:rFonts w:ascii="Arial" w:cs="Arial" w:eastAsia="Arial" w:hAnsi="Arial"/>
          <w:sz w:val="17"/>
          <w:szCs w:val="17"/>
          <w:color w:val="auto"/>
        </w:rPr>
        <w:t>Each Foreign Obligor represents and warrants to the Administrative Agent and the Lenders that:</w:t>
      </w:r>
    </w:p>
    <w:p>
      <w:pPr>
        <w:spacing w:after="0" w:line="241" w:lineRule="exact"/>
        <w:rPr>
          <w:sz w:val="20"/>
          <w:szCs w:val="20"/>
          <w:color w:val="auto"/>
        </w:rPr>
      </w:pPr>
    </w:p>
    <w:p>
      <w:pPr>
        <w:ind w:firstLine="464"/>
        <w:spacing w:after="0" w:line="273" w:lineRule="auto"/>
        <w:tabs>
          <w:tab w:leader="none" w:pos="70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Such Foreign Obligor is subject to civil and commercial Laws with respect to its obligations under this Agreement and the other Loan Documents to which it is a party (collectively as to such Foreign Obligor, the “</w:t>
      </w:r>
      <w:r>
        <w:rPr>
          <w:rFonts w:ascii="Arial" w:cs="Arial" w:eastAsia="Arial" w:hAnsi="Arial"/>
          <w:sz w:val="17"/>
          <w:szCs w:val="17"/>
          <w:u w:val="single" w:color="auto"/>
          <w:color w:val="auto"/>
        </w:rPr>
        <w:t>Applicable Foreign Obligor Documents</w:t>
      </w:r>
      <w:r>
        <w:rPr>
          <w:rFonts w:ascii="Arial" w:cs="Arial" w:eastAsia="Arial" w:hAnsi="Arial"/>
          <w:sz w:val="17"/>
          <w:szCs w:val="17"/>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78" w:lineRule="exact"/>
        <w:rPr>
          <w:rFonts w:ascii="Arial" w:cs="Arial" w:eastAsia="Arial" w:hAnsi="Arial"/>
          <w:sz w:val="17"/>
          <w:szCs w:val="17"/>
          <w:color w:val="auto"/>
        </w:rPr>
      </w:pPr>
    </w:p>
    <w:p>
      <w:pPr>
        <w:ind w:firstLine="464"/>
        <w:spacing w:after="0" w:line="271" w:lineRule="auto"/>
        <w:tabs>
          <w:tab w:leader="none" w:pos="71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78" w:lineRule="exact"/>
        <w:rPr>
          <w:rFonts w:ascii="Arial" w:cs="Arial" w:eastAsia="Arial" w:hAnsi="Arial"/>
          <w:sz w:val="17"/>
          <w:szCs w:val="17"/>
          <w:color w:val="auto"/>
        </w:rPr>
      </w:pPr>
    </w:p>
    <w:p>
      <w:pPr>
        <w:ind w:right="180" w:firstLine="464"/>
        <w:spacing w:after="0" w:line="259" w:lineRule="auto"/>
        <w:tabs>
          <w:tab w:leader="none" w:pos="7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86" w:lineRule="exact"/>
        <w:rPr>
          <w:rFonts w:ascii="Arial" w:cs="Arial" w:eastAsia="Arial" w:hAnsi="Arial"/>
          <w:sz w:val="18"/>
          <w:szCs w:val="18"/>
          <w:color w:val="auto"/>
        </w:rPr>
      </w:pPr>
    </w:p>
    <w:p>
      <w:pPr>
        <w:ind w:right="320" w:firstLine="464"/>
        <w:spacing w:after="0" w:line="259" w:lineRule="auto"/>
        <w:tabs>
          <w:tab w:leader="none" w:pos="7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notification or authorization described in clause (ii) shall be made or obtained as soon as is reasonably practicable).</w:t>
      </w:r>
    </w:p>
    <w:p>
      <w:pPr>
        <w:spacing w:after="0" w:line="186" w:lineRule="exact"/>
        <w:rPr>
          <w:rFonts w:ascii="Arial" w:cs="Arial" w:eastAsia="Arial" w:hAnsi="Arial"/>
          <w:sz w:val="18"/>
          <w:szCs w:val="18"/>
          <w:color w:val="auto"/>
        </w:rPr>
      </w:pPr>
    </w:p>
    <w:p>
      <w:pPr>
        <w:ind w:right="120" w:firstLine="464"/>
        <w:spacing w:after="0" w:line="264" w:lineRule="auto"/>
        <w:tabs>
          <w:tab w:leader="none" w:pos="7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There exist no restrictions or conditions that are applicable to the performance by any Foreign Obligor of its obligations under any Loan Document to which it is a party or that are applicable to the ability or permissibility of such Foreign Obligor transferring its capital or funds from its jurisdiction of organization or its principal place of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0"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Each of the Loan Parties hereby covenants and agrees that on the Closing Date and thereafter until the Facility Termination Date, such Loan Party shall, and shall cause each of its Subsidiaries 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6.01 </w:t>
      </w:r>
      <w:r>
        <w:rPr>
          <w:rFonts w:ascii="Arial" w:cs="Arial" w:eastAsia="Arial" w:hAnsi="Arial"/>
          <w:sz w:val="18"/>
          <w:szCs w:val="18"/>
          <w:b w:val="1"/>
          <w:bCs w:val="1"/>
          <w:u w:val="single" w:color="auto"/>
          <w:color w:val="auto"/>
        </w:rPr>
        <w:t>Financial Statements</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 to the Administrative Agent (for distribution to each Lender), in form and detail satisfactory to the Administrative Agent:</w:t>
      </w:r>
    </w:p>
    <w:p>
      <w:pPr>
        <w:spacing w:after="0" w:line="225" w:lineRule="exact"/>
        <w:rPr>
          <w:sz w:val="20"/>
          <w:szCs w:val="20"/>
          <w:color w:val="auto"/>
        </w:rPr>
      </w:pPr>
    </w:p>
    <w:p>
      <w:pPr>
        <w:ind w:firstLine="464"/>
        <w:spacing w:after="0" w:line="283" w:lineRule="auto"/>
        <w:tabs>
          <w:tab w:leader="none" w:pos="701"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As soon as available, but in any event within ninety (90) days after the end of each fiscal year of the Company</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color w:val="auto"/>
          <w:strike w:val="1"/>
        </w:rPr>
        <w:t>or, if</w:t>
      </w:r>
      <w:r>
        <w:rPr>
          <w:rFonts w:ascii="Arial" w:cs="Arial" w:eastAsia="Arial" w:hAnsi="Arial"/>
          <w:sz w:val="16"/>
          <w:szCs w:val="16"/>
          <w:color w:val="auto"/>
        </w:rPr>
        <w:t xml:space="preserve"> </w:t>
      </w:r>
      <w:r>
        <w:rPr>
          <w:rFonts w:ascii="Arial" w:cs="Arial" w:eastAsia="Arial" w:hAnsi="Arial"/>
          <w:sz w:val="16"/>
          <w:szCs w:val="16"/>
          <w:color w:val="auto"/>
          <w:strike w:val="1"/>
        </w:rPr>
        <w:t>earlier, fifteen (15) days after the date required to be filed with the SEC (after giving effect to any extension permitted by the SEC)); provided that for the fiscal year ended June 30, 2014, Company shall have until November 3, 2014 to comply with this Section 6.01(a),</w:t>
      </w:r>
      <w:r>
        <w:rPr>
          <w:rFonts w:ascii="Arial" w:cs="Arial" w:eastAsia="Arial" w:hAnsi="Arial"/>
          <w:sz w:val="16"/>
          <w:szCs w:val="16"/>
          <w:u w:val="single" w:color="auto"/>
          <w:color w:val="auto"/>
          <w:strike w:val="1"/>
        </w:rPr>
        <w:t>i)</w:t>
      </w:r>
      <w:r>
        <w:rPr>
          <w:rFonts w:ascii="Arial" w:cs="Arial" w:eastAsia="Arial" w:hAnsi="Arial"/>
          <w:sz w:val="16"/>
          <w:szCs w:val="16"/>
          <w:color w:val="auto"/>
          <w:strike w:val="1"/>
        </w:rPr>
        <w:t xml:space="preserve"> a Consolidated and consolidating balance sheet of the Company and its Subsidiaries as at the end of such fiscal year, and the related Consolidated and consolidating statements of income or operations, changes in Shareholders’ Equity and cash flows for such fiscal year, setting forth in each case in comparative form the figures for the previous fiscal year, all in reasonable detail and prepared in accordance with GAAP, (i) such Consolidated statements to be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and (ii) </w:t>
      </w:r>
      <w:r>
        <w:rPr>
          <w:rFonts w:ascii="Arial" w:cs="Arial" w:eastAsia="Arial" w:hAnsi="Arial"/>
          <w:sz w:val="16"/>
          <w:szCs w:val="16"/>
          <w:u w:val="single" w:color="auto"/>
          <w:color w:val="auto"/>
          <w:strike w:val="1"/>
        </w:rPr>
        <w:t>; provided, that the Company shall not be required to deliver such Consolidated statements if</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such statements are filed with the SEC on or before the date required to be filed with the SEC (after giving effect to any extension permitted by the SEC), and</w:t>
      </w:r>
    </w:p>
    <w:p>
      <w:pPr>
        <w:spacing w:after="0" w:line="5" w:lineRule="exact"/>
        <w:rPr>
          <w:rFonts w:ascii="Arial" w:cs="Arial" w:eastAsia="Arial" w:hAnsi="Arial"/>
          <w:sz w:val="16"/>
          <w:szCs w:val="16"/>
          <w:color w:val="auto"/>
        </w:rPr>
      </w:pPr>
    </w:p>
    <w:p>
      <w:pPr>
        <w:ind w:right="140" w:firstLine="8"/>
        <w:spacing w:after="0" w:line="292" w:lineRule="auto"/>
        <w:tabs>
          <w:tab w:leader="none" w:pos="265" w:val="left"/>
        </w:tabs>
        <w:numPr>
          <w:ilvl w:val="0"/>
          <w:numId w:val="10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 consolidating balance sheet of the Company and its Subsidiaries as at the end of such fiscal year, and the related consolidating statements of income or operations, changes in Shareholders’ Equity and cash flows for such fiscal year, setting forth in each case in comparative form the figures for the previous fiscal year, all in reasonable detail and prepared in accordance with GAAP,</w:t>
      </w:r>
      <w:r>
        <w:rPr>
          <w:rFonts w:ascii="Arial" w:cs="Arial" w:eastAsia="Arial" w:hAnsi="Arial"/>
          <w:sz w:val="16"/>
          <w:szCs w:val="16"/>
          <w:color w:val="auto"/>
        </w:rPr>
        <w:t xml:space="preserve"> such consolidating statements to be certified by the chief executive officer, chief financial officer, treasurer or controller that is a Responsible Officer of the Company to the effect that such statements fairly present in all material respects the financial condition, results of operations and cash flows of the Company and its Subsidiaries on an individual basis in accordance with GAAP.</w:t>
      </w:r>
    </w:p>
    <w:p>
      <w:pPr>
        <w:spacing w:after="0" w:line="162" w:lineRule="exact"/>
        <w:rPr>
          <w:rFonts w:ascii="Arial" w:cs="Arial" w:eastAsia="Arial" w:hAnsi="Arial"/>
          <w:sz w:val="16"/>
          <w:szCs w:val="16"/>
          <w:u w:val="single" w:color="auto"/>
          <w:color w:val="auto"/>
        </w:rPr>
      </w:pPr>
    </w:p>
    <w:p>
      <w:pPr>
        <w:ind w:firstLine="464"/>
        <w:spacing w:after="0" w:line="286" w:lineRule="auto"/>
        <w:tabs>
          <w:tab w:leader="none" w:pos="711"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As soon as available, but in any event within forty-five (45) days after the end of each of the first three (3) fiscal quarters of each fiscal year of the Company</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color w:val="auto"/>
          <w:strike w:val="1"/>
        </w:rPr>
        <w:t>or, if earlier, five (5) days after the date required to be filed with the SEC (without giving effect to any extension</w:t>
      </w:r>
      <w:r>
        <w:rPr>
          <w:rFonts w:ascii="Arial" w:cs="Arial" w:eastAsia="Arial" w:hAnsi="Arial"/>
          <w:sz w:val="16"/>
          <w:szCs w:val="16"/>
          <w:color w:val="auto"/>
        </w:rPr>
        <w:t xml:space="preserve"> </w:t>
      </w:r>
      <w:r>
        <w:rPr>
          <w:rFonts w:ascii="Arial" w:cs="Arial" w:eastAsia="Arial" w:hAnsi="Arial"/>
          <w:sz w:val="16"/>
          <w:szCs w:val="16"/>
          <w:color w:val="auto"/>
          <w:strike w:val="1"/>
        </w:rPr>
        <w:t>permitted by the SEC)),</w:t>
      </w:r>
      <w:r>
        <w:rPr>
          <w:rFonts w:ascii="Arial" w:cs="Arial" w:eastAsia="Arial" w:hAnsi="Arial"/>
          <w:sz w:val="16"/>
          <w:szCs w:val="16"/>
          <w:u w:val="single" w:color="auto"/>
          <w:color w:val="auto"/>
        </w:rPr>
        <w:t>i)</w:t>
      </w:r>
      <w:r>
        <w:rPr>
          <w:rFonts w:ascii="Arial" w:cs="Arial" w:eastAsia="Arial" w:hAnsi="Arial"/>
          <w:sz w:val="16"/>
          <w:szCs w:val="16"/>
          <w:color w:val="auto"/>
        </w:rPr>
        <w:t xml:space="preserve"> a Consolidated </w:t>
      </w:r>
      <w:r>
        <w:rPr>
          <w:rFonts w:ascii="Arial" w:cs="Arial" w:eastAsia="Arial" w:hAnsi="Arial"/>
          <w:sz w:val="16"/>
          <w:szCs w:val="16"/>
          <w:color w:val="auto"/>
          <w:strike w:val="1"/>
        </w:rPr>
        <w:t>and consolidating</w:t>
      </w:r>
      <w:r>
        <w:rPr>
          <w:rFonts w:ascii="Arial" w:cs="Arial" w:eastAsia="Arial" w:hAnsi="Arial"/>
          <w:sz w:val="16"/>
          <w:szCs w:val="16"/>
          <w:color w:val="auto"/>
        </w:rPr>
        <w:t xml:space="preserve"> balance sheet of the Company and its Subsidiaries as at the end of such fiscal quarter, and the related Consolidated </w:t>
      </w:r>
      <w:r>
        <w:rPr>
          <w:rFonts w:ascii="Arial" w:cs="Arial" w:eastAsia="Arial" w:hAnsi="Arial"/>
          <w:sz w:val="16"/>
          <w:szCs w:val="16"/>
          <w:color w:val="auto"/>
          <w:strike w:val="1"/>
        </w:rPr>
        <w:t>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 of income or operations and cash flows for such fiscal quarter and for the portion of the Company’s fiscal year then</w:t>
      </w:r>
      <w:r>
        <w:rPr>
          <w:rFonts w:ascii="Arial" w:cs="Arial" w:eastAsia="Arial" w:hAnsi="Arial"/>
          <w:sz w:val="16"/>
          <w:szCs w:val="16"/>
          <w:color w:val="auto"/>
        </w:rPr>
        <w:t xml:space="preserve"> </w:t>
      </w:r>
      <w:r>
        <w:rPr>
          <w:rFonts w:ascii="Arial" w:cs="Arial" w:eastAsia="Arial" w:hAnsi="Arial"/>
          <w:sz w:val="16"/>
          <w:szCs w:val="16"/>
          <w:u w:val="single" w:color="auto"/>
          <w:color w:val="auto"/>
        </w:rPr>
        <w:t>ended; provided, that the Company shall not be required to deliver such Consolidated statements if such statements are filed with the SEC on or before the date required to be filed with the SEC, and (ii) a consolidating balance sheet of the Company and its Subsidiaries as at the end of such fiscal quarter, and the related</w:t>
      </w:r>
      <w:r>
        <w:rPr>
          <w:rFonts w:ascii="Arial" w:cs="Arial" w:eastAsia="Arial" w:hAnsi="Arial"/>
          <w:sz w:val="16"/>
          <w:szCs w:val="16"/>
          <w:color w:val="auto"/>
        </w:rPr>
        <w:t xml:space="preserve"> consolidating statements of income or operations and cash flows for such fiscal quarter and for the portion of the Company’s fiscal year then ended, </w:t>
      </w:r>
      <w:r>
        <w:rPr>
          <w:rFonts w:ascii="Arial" w:cs="Arial" w:eastAsia="Arial" w:hAnsi="Arial"/>
          <w:sz w:val="16"/>
          <w:szCs w:val="16"/>
          <w:color w:val="auto"/>
          <w:strike w:val="1"/>
        </w:rPr>
        <w:t>setting forth</w:t>
      </w:r>
      <w:r>
        <w:rPr>
          <w:rFonts w:ascii="Arial" w:cs="Arial" w:eastAsia="Arial" w:hAnsi="Arial"/>
          <w:sz w:val="16"/>
          <w:szCs w:val="16"/>
          <w:color w:val="auto"/>
        </w:rPr>
        <w:t xml:space="preserve"> in each case </w:t>
      </w:r>
      <w:r>
        <w:rPr>
          <w:rFonts w:ascii="Arial" w:cs="Arial" w:eastAsia="Arial" w:hAnsi="Arial"/>
          <w:sz w:val="16"/>
          <w:szCs w:val="16"/>
          <w:u w:val="single" w:color="auto"/>
          <w:color w:val="auto"/>
        </w:rPr>
        <w:t>of (i) and (ii), setting forth,</w:t>
      </w:r>
      <w:r>
        <w:rPr>
          <w:rFonts w:ascii="Arial" w:cs="Arial" w:eastAsia="Arial" w:hAnsi="Arial"/>
          <w:sz w:val="16"/>
          <w:szCs w:val="16"/>
          <w:color w:val="auto"/>
        </w:rPr>
        <w:t xml:space="preserve"> in comparative form</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figures for the corresponding fiscal quarter of the previous fiscal year and the corresponding portion of the previous fiscal year, all in reasonable detail and including management’s discussion and analysis of operating results inclusive of operating metrics in comparative form, such Consolidated </w:t>
      </w:r>
      <w:r>
        <w:rPr>
          <w:rFonts w:ascii="Arial" w:cs="Arial" w:eastAsia="Arial" w:hAnsi="Arial"/>
          <w:sz w:val="16"/>
          <w:szCs w:val="16"/>
          <w:u w:val="single" w:color="auto"/>
          <w:color w:val="auto"/>
        </w:rPr>
        <w:t>and consolidating</w:t>
      </w:r>
      <w:r>
        <w:rPr>
          <w:rFonts w:ascii="Arial" w:cs="Arial" w:eastAsia="Arial" w:hAnsi="Arial"/>
          <w:sz w:val="16"/>
          <w:szCs w:val="16"/>
          <w:color w:val="auto"/>
        </w:rPr>
        <w:t xml:space="preserve"> statements to be certified by the chief executive officer, chief financial officer, treasurer or controller who is a Responsible Officer of the Company as fairly presenting in all material respects the financial condition, results of operations and cash flows of the Company and its Subsidiaries on a Consolidated (or in the case of consolidating statements, individual) basis in accordance with GAAP, subject only to normal year-end audit adjustments and the absence of footnotes.</w:t>
      </w:r>
    </w:p>
    <w:p>
      <w:pPr>
        <w:spacing w:after="0" w:line="174" w:lineRule="exact"/>
        <w:rPr>
          <w:rFonts w:ascii="Arial" w:cs="Arial" w:eastAsia="Arial" w:hAnsi="Arial"/>
          <w:sz w:val="16"/>
          <w:szCs w:val="16"/>
          <w:color w:val="auto"/>
        </w:rPr>
      </w:pPr>
    </w:p>
    <w:p>
      <w:pPr>
        <w:ind w:right="400" w:firstLine="464"/>
        <w:spacing w:after="0" w:line="312" w:lineRule="auto"/>
        <w:tabs>
          <w:tab w:leader="none" w:pos="701"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Budget</w:t>
      </w:r>
      <w:r>
        <w:rPr>
          <w:rFonts w:ascii="Arial" w:cs="Arial" w:eastAsia="Arial" w:hAnsi="Arial"/>
          <w:sz w:val="16"/>
          <w:szCs w:val="16"/>
          <w:color w:val="auto"/>
        </w:rPr>
        <w:t>. As soon as available, but in any event within sixty (60) days after the end of each fiscal year of the Company, an annual budget of the Company and its Subsidiaries on a Consolidated basis, including forecasts prepared by management of the Company of Consolidated balance sheets and statements of income or operations and cash flows of the Company and its Subsidiaries on a quarterly basis for the immediately following fiscal year.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0" w:right="259" w:bottom="1440" w:gutter="0" w:footer="0" w:header="0"/>
        </w:sectPr>
      </w:pPr>
    </w:p>
    <w:bookmarkStart w:id="88" w:name="page89"/>
    <w:bookmarkEnd w:id="88"/>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to any information contained in materials furnished pursuant to </w:t>
      </w:r>
      <w:r>
        <w:rPr>
          <w:rFonts w:ascii="Arial" w:cs="Arial" w:eastAsia="Arial" w:hAnsi="Arial"/>
          <w:sz w:val="18"/>
          <w:szCs w:val="18"/>
          <w:u w:val="single" w:color="auto"/>
          <w:color w:val="auto"/>
        </w:rPr>
        <w:t>Section 6.02(f)</w:t>
      </w:r>
      <w:r>
        <w:rPr>
          <w:rFonts w:ascii="Arial" w:cs="Arial" w:eastAsia="Arial" w:hAnsi="Arial"/>
          <w:sz w:val="18"/>
          <w:szCs w:val="18"/>
          <w:color w:val="auto"/>
        </w:rPr>
        <w:t xml:space="preserve">, the Company shall not be separately required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Company to furnish the information and materials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6.02 </w:t>
      </w:r>
      <w:r>
        <w:rPr>
          <w:rFonts w:ascii="Arial" w:cs="Arial" w:eastAsia="Arial" w:hAnsi="Arial"/>
          <w:sz w:val="18"/>
          <w:szCs w:val="18"/>
          <w:b w:val="1"/>
          <w:bCs w:val="1"/>
          <w:u w:val="single" w:color="auto"/>
          <w:color w:val="auto"/>
        </w:rPr>
        <w:t>Certificates; Other Information</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 to the Administrative Agent (for distribution to each Lender), in form and detail satisfactory to the Administrative Agent:</w:t>
      </w:r>
    </w:p>
    <w:p>
      <w:pPr>
        <w:spacing w:after="0" w:line="221" w:lineRule="exact"/>
        <w:rPr>
          <w:sz w:val="20"/>
          <w:szCs w:val="20"/>
          <w:color w:val="auto"/>
        </w:rPr>
      </w:pPr>
    </w:p>
    <w:p>
      <w:pPr>
        <w:ind w:left="700" w:hanging="236"/>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[Reserved]</w:t>
      </w:r>
      <w:r>
        <w:rPr>
          <w:rFonts w:ascii="Arial" w:cs="Arial" w:eastAsia="Arial" w:hAnsi="Arial"/>
          <w:sz w:val="18"/>
          <w:szCs w:val="18"/>
          <w:color w:val="auto"/>
          <w:strike w:val="1"/>
        </w:rPr>
        <w:t>.</w:t>
      </w:r>
    </w:p>
    <w:p>
      <w:pPr>
        <w:spacing w:after="0" w:line="229" w:lineRule="exact"/>
        <w:rPr>
          <w:rFonts w:ascii="Arial" w:cs="Arial" w:eastAsia="Arial" w:hAnsi="Arial"/>
          <w:sz w:val="18"/>
          <w:szCs w:val="18"/>
          <w:color w:val="auto"/>
        </w:rPr>
      </w:pPr>
    </w:p>
    <w:p>
      <w:pPr>
        <w:ind w:right="220" w:firstLine="464"/>
        <w:spacing w:after="0" w:line="259" w:lineRule="auto"/>
        <w:tabs>
          <w:tab w:leader="none" w:pos="71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executive officer, chief financial officer, director, treasurer or controller of the Company. Unless the Administrative Agent or a Lender requests executed originals, delivery of the Compliance Certificate may be by electronic communication including fax or email and shall be deemed to be an original and authentic counterpart thereof for all purposes.</w:t>
      </w:r>
    </w:p>
    <w:p>
      <w:pPr>
        <w:spacing w:after="0" w:line="186" w:lineRule="exact"/>
        <w:rPr>
          <w:rFonts w:ascii="Arial" w:cs="Arial" w:eastAsia="Arial" w:hAnsi="Arial"/>
          <w:sz w:val="18"/>
          <w:szCs w:val="18"/>
          <w:color w:val="auto"/>
        </w:rPr>
      </w:pPr>
    </w:p>
    <w:p>
      <w:pPr>
        <w:ind w:firstLine="464"/>
        <w:spacing w:after="0" w:line="293" w:lineRule="auto"/>
        <w:tabs>
          <w:tab w:leader="none" w:pos="70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Updated Schedules</w:t>
      </w:r>
      <w:r>
        <w:rPr>
          <w:rFonts w:ascii="Arial" w:cs="Arial" w:eastAsia="Arial" w:hAnsi="Arial"/>
          <w:sz w:val="16"/>
          <w:szCs w:val="16"/>
          <w:color w:val="auto"/>
        </w:rPr>
        <w:t xml:space="preserve">. Concurrently with the delivery of the Compliance Certificate referred to in Section 6.02(b), the following updated Schedules to the Disclosure Letter (which may be attached to the Compliance Certificate) to the extent required to make the representation related to such Schedule true and correct as of the date of such Compliance Certificate: </w:t>
      </w:r>
      <w:r>
        <w:rPr>
          <w:rFonts w:ascii="Arial" w:cs="Arial" w:eastAsia="Arial" w:hAnsi="Arial"/>
          <w:sz w:val="16"/>
          <w:szCs w:val="16"/>
          <w:u w:val="single" w:color="auto"/>
          <w:color w:val="auto"/>
        </w:rPr>
        <w:t>Schedules 1.01(c)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5.09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5.19(a)</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5.20(b)(i)</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5.20(c)</w:t>
      </w:r>
      <w:r>
        <w:rPr>
          <w:rFonts w:ascii="Arial" w:cs="Arial" w:eastAsia="Arial" w:hAnsi="Arial"/>
          <w:sz w:val="16"/>
          <w:szCs w:val="16"/>
          <w:color w:val="auto"/>
        </w:rPr>
        <w:t xml:space="preserve"> to the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in respect of </w:t>
      </w:r>
      <w:r>
        <w:rPr>
          <w:rFonts w:ascii="Arial" w:cs="Arial" w:eastAsia="Arial" w:hAnsi="Arial"/>
          <w:sz w:val="16"/>
          <w:szCs w:val="16"/>
          <w:u w:val="single" w:color="auto"/>
          <w:color w:val="auto"/>
        </w:rPr>
        <w:t>Schedule 5.20(b)(i)</w:t>
      </w:r>
      <w:r>
        <w:rPr>
          <w:rFonts w:ascii="Arial" w:cs="Arial" w:eastAsia="Arial" w:hAnsi="Arial"/>
          <w:sz w:val="16"/>
          <w:szCs w:val="16"/>
          <w:color w:val="auto"/>
        </w:rPr>
        <w:t xml:space="preserve"> to the Disclosure Letter, if no supplement is required to cause such Schedules to be true and correct as of the date of delivery of such Compliance Certificate, then the Company shall not be required to deliver such a report; it being understood and agreed that the Company shall be required to attach a complete and accurate copy of </w:t>
      </w:r>
      <w:r>
        <w:rPr>
          <w:rFonts w:ascii="Arial" w:cs="Arial" w:eastAsia="Arial" w:hAnsi="Arial"/>
          <w:sz w:val="16"/>
          <w:szCs w:val="16"/>
          <w:u w:val="single" w:color="auto"/>
          <w:color w:val="auto"/>
        </w:rPr>
        <w:t>Schedule 5.20(b)(i)</w:t>
      </w:r>
      <w:r>
        <w:rPr>
          <w:rFonts w:ascii="Arial" w:cs="Arial" w:eastAsia="Arial" w:hAnsi="Arial"/>
          <w:sz w:val="16"/>
          <w:szCs w:val="16"/>
          <w:color w:val="auto"/>
        </w:rPr>
        <w:t xml:space="preserve"> to the Disclosure Letter to each Compliance Certificate.</w:t>
      </w:r>
    </w:p>
    <w:p>
      <w:pPr>
        <w:spacing w:after="0" w:line="160" w:lineRule="exact"/>
        <w:rPr>
          <w:rFonts w:ascii="Arial" w:cs="Arial" w:eastAsia="Arial" w:hAnsi="Arial"/>
          <w:sz w:val="16"/>
          <w:szCs w:val="16"/>
          <w:color w:val="auto"/>
        </w:rPr>
      </w:pPr>
    </w:p>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right="160" w:firstLine="464"/>
        <w:spacing w:after="0" w:line="259" w:lineRule="auto"/>
        <w:tabs>
          <w:tab w:leader="none" w:pos="70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Audit Reports; Management Letters; Recommendations</w:t>
      </w:r>
      <w:r>
        <w:rPr>
          <w:rFonts w:ascii="Arial" w:cs="Arial" w:eastAsia="Arial" w:hAnsi="Arial"/>
          <w:sz w:val="18"/>
          <w:szCs w:val="18"/>
          <w:color w:val="auto"/>
        </w:rPr>
        <w:t>. Promptly after any request by the Administrative Agent or any Lender (through the Administrative Agent), copies of any detailed audit reports, management letters or recommendations submitted to the Board of Directors (or the audit committee of the Board of Directors) of the Company by the Company’s independent accountants in connection with the accounts or books of the Company or any of its Subsidiaries, or any audit of any of them.</w:t>
      </w:r>
    </w:p>
    <w:p>
      <w:pPr>
        <w:spacing w:after="0" w:line="186" w:lineRule="exact"/>
        <w:rPr>
          <w:rFonts w:ascii="Arial" w:cs="Arial" w:eastAsia="Arial" w:hAnsi="Arial"/>
          <w:sz w:val="18"/>
          <w:szCs w:val="18"/>
          <w:color w:val="auto"/>
        </w:rPr>
      </w:pPr>
    </w:p>
    <w:p>
      <w:pPr>
        <w:ind w:right="160" w:firstLine="464"/>
        <w:spacing w:after="0" w:line="259" w:lineRule="auto"/>
        <w:tabs>
          <w:tab w:leader="none" w:pos="68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Annual Reports; Etc</w:t>
      </w:r>
      <w:r>
        <w:rPr>
          <w:rFonts w:ascii="Arial" w:cs="Arial" w:eastAsia="Arial" w:hAnsi="Arial"/>
          <w:sz w:val="18"/>
          <w:szCs w:val="18"/>
          <w:color w:val="auto"/>
        </w:rPr>
        <w:t>. 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in any case not otherwise required to be delivered to the Administrative Agent pursuant hereto.</w:t>
      </w:r>
    </w:p>
    <w:p>
      <w:pPr>
        <w:spacing w:after="0" w:line="186" w:lineRule="exact"/>
        <w:rPr>
          <w:rFonts w:ascii="Arial" w:cs="Arial" w:eastAsia="Arial" w:hAnsi="Arial"/>
          <w:sz w:val="18"/>
          <w:szCs w:val="18"/>
          <w:color w:val="auto"/>
        </w:rPr>
      </w:pPr>
    </w:p>
    <w:p>
      <w:pPr>
        <w:ind w:right="100" w:firstLine="464"/>
        <w:spacing w:after="0" w:line="257" w:lineRule="auto"/>
        <w:tabs>
          <w:tab w:leader="none" w:pos="71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Debt Securities Statements and Reports</w:t>
      </w:r>
      <w:r>
        <w:rPr>
          <w:rFonts w:ascii="Arial" w:cs="Arial" w:eastAsia="Arial" w:hAnsi="Arial"/>
          <w:sz w:val="18"/>
          <w:szCs w:val="18"/>
          <w:color w:val="auto"/>
        </w:rPr>
        <w:t xml:space="preserve">. Promptly after the furnishing thereof, copies of any statement or report furnished to any holder (other than the Company or any Subsidiary) of debt securities of any Loan Party or of any of its Subsidiaries pursuant to the terms of any indenture, loan or credit or similar agreement having an outstanding principal balance in excess of the Threshold Amount and not otherwise required to be furnished to the Lenders pursuant to Section 6.01 or any other clause of this Section (it being understood that notices or reports regarding conversion or convertibility of the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 need not be furnished).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89" w:name="page90"/>
    <w:bookmarkEnd w:id="89"/>
    <w:p>
      <w:pPr>
        <w:ind w:right="80" w:firstLine="464"/>
        <w:spacing w:after="0" w:line="259" w:lineRule="auto"/>
        <w:tabs>
          <w:tab w:leader="none" w:pos="71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 Notices</w:t>
      </w:r>
      <w:r>
        <w:rPr>
          <w:rFonts w:ascii="Arial" w:cs="Arial" w:eastAsia="Arial" w:hAnsi="Arial"/>
          <w:sz w:val="18"/>
          <w:szCs w:val="18"/>
          <w:color w:val="auto"/>
        </w:rPr>
        <w:t>. Promptly, and in any event within ten (10) Business Days after receipt thereof by any Loan Party or any Subsidiary thereof, copies of each notice or other correspondence received from the SEC (or comparable agency in any applicable non-U.S. jurisdiction) concerning any investigation, or possible investigation or other inquiry, in each case that the Company believes is reasonably likely to lead to an investigation by such agency regarding financial or other operational results of any Loan Party or any Subsidiary thereof.</w:t>
      </w:r>
    </w:p>
    <w:p>
      <w:pPr>
        <w:spacing w:after="0" w:line="186" w:lineRule="exact"/>
        <w:rPr>
          <w:rFonts w:ascii="Arial" w:cs="Arial" w:eastAsia="Arial" w:hAnsi="Arial"/>
          <w:sz w:val="18"/>
          <w:szCs w:val="18"/>
          <w:color w:val="auto"/>
        </w:rPr>
      </w:pPr>
    </w:p>
    <w:p>
      <w:pPr>
        <w:ind w:right="160" w:firstLine="464"/>
        <w:spacing w:after="0" w:line="264" w:lineRule="auto"/>
        <w:tabs>
          <w:tab w:leader="none" w:pos="67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 later than ten (10) Business Days after receipt thereof by any Loan Party or any Subsidiary thereof, copies of all notices, requests and other documents (including amendments, waivers and other modifications) so received under or pursuant to any instrument, indenture, loan or credit or similar agreement having an outstanding principal balance in excess of the Threshold Amount.</w:t>
      </w:r>
    </w:p>
    <w:p>
      <w:pPr>
        <w:spacing w:after="0" w:line="181" w:lineRule="exact"/>
        <w:rPr>
          <w:rFonts w:ascii="Arial" w:cs="Arial" w:eastAsia="Arial" w:hAnsi="Arial"/>
          <w:sz w:val="18"/>
          <w:szCs w:val="18"/>
          <w:color w:val="auto"/>
        </w:rPr>
      </w:pPr>
    </w:p>
    <w:p>
      <w:pPr>
        <w:ind w:firstLine="464"/>
        <w:spacing w:after="0" w:line="264" w:lineRule="auto"/>
        <w:tabs>
          <w:tab w:leader="none" w:pos="67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Environmental Notice</w:t>
      </w:r>
      <w:r>
        <w:rPr>
          <w:rFonts w:ascii="Arial" w:cs="Arial" w:eastAsia="Arial" w:hAnsi="Arial"/>
          <w:sz w:val="18"/>
          <w:szCs w:val="18"/>
          <w:color w:val="auto"/>
        </w:rPr>
        <w:t>. 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w:t>
      </w:r>
    </w:p>
    <w:p>
      <w:pPr>
        <w:spacing w:after="0" w:line="181" w:lineRule="exact"/>
        <w:rPr>
          <w:rFonts w:ascii="Arial" w:cs="Arial" w:eastAsia="Arial" w:hAnsi="Arial"/>
          <w:sz w:val="18"/>
          <w:szCs w:val="18"/>
          <w:color w:val="auto"/>
        </w:rPr>
      </w:pPr>
    </w:p>
    <w:p>
      <w:pPr>
        <w:ind w:right="20" w:firstLine="464"/>
        <w:spacing w:after="0" w:line="257" w:lineRule="auto"/>
        <w:tabs>
          <w:tab w:leader="none" w:pos="71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Additional Information</w:t>
      </w:r>
      <w:r>
        <w:rPr>
          <w:rFonts w:ascii="Arial" w:cs="Arial" w:eastAsia="Arial" w:hAnsi="Arial"/>
          <w:sz w:val="18"/>
          <w:szCs w:val="18"/>
          <w:color w:val="auto"/>
        </w:rPr>
        <w:t>. Promptly, such additional information regarding the business, financial or corporate affairs of any Loan Party or any Subsidiary thereof, or compliance with the terms of the Loan Documents, as the Administrative Agent or any Lender (through the Administrative Agent) may from time to time reasonably request. The Company and Subsidiaries may not make any changes in accounting policies or reporting practices (except as required by GAAP or as filed with the SEC) without providing thirty (30) days’ notice of such change to the Administrative Agent (or such shorter period of time as may be agreed by the Administrative Agent).</w:t>
      </w:r>
    </w:p>
    <w:p>
      <w:pPr>
        <w:spacing w:after="0" w:line="188"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6.02(g)</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(a) on which the Company posts such documents, or provides a link thereto on the Company’s website on the Internet at the website address listed on </w:t>
      </w:r>
      <w:r>
        <w:rPr>
          <w:rFonts w:ascii="Arial" w:cs="Arial" w:eastAsia="Arial" w:hAnsi="Arial"/>
          <w:sz w:val="16"/>
          <w:szCs w:val="16"/>
          <w:u w:val="single" w:color="auto"/>
          <w:color w:val="auto"/>
        </w:rPr>
        <w:t>Schedule 1.01(a)</w:t>
      </w:r>
      <w:r>
        <w:rPr>
          <w:rFonts w:ascii="Arial" w:cs="Arial" w:eastAsia="Arial" w:hAnsi="Arial"/>
          <w:sz w:val="16"/>
          <w:szCs w:val="16"/>
          <w:color w:val="auto"/>
        </w:rPr>
        <w:t>; or</w:t>
      </w:r>
    </w:p>
    <w:p>
      <w:pPr>
        <w:ind w:right="80" w:firstLine="8"/>
        <w:spacing w:after="0" w:line="287" w:lineRule="auto"/>
        <w:tabs>
          <w:tab w:leader="none" w:pos="25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on which such documents are posted on the Company’s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deliver paper copies of such documents to the Administrative Agent or any Lender upon its request to the Company to deliver such paper copies until a written request to cease delivering paper copies is given by the Administrative Agent or such Lender and (ii) the Company shall notify the Administrative Agent (by fax transmission or e-mail transmission) of the posting of any such documents and provide to the Administrative Agent by e-mail electronic versions (i.e.,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hereby acknowledges that (A) the Administrative Agent and/or an Affiliate thereof may, but shall not be obligated to, make available to the Lenders materials and/or information provided by or on behalf of the Company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Debt Domain, IntraLinks, Syndtrak, ClearPar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it will use commercially reasonable efforts to identify that portion of the Borrower Materials that may be distributed to the Public Lenders and that (1) all such Borrower Materials shall be clearly and conspicuously marked “PUBLIC”</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90" w:name="page91"/>
    <w:bookmarkEnd w:id="90"/>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at a minimum, shall mean that the word “PUBLIC” shall appear prominently on the first page thereof; (2) by marking Borrower Materials “PUBLIC,” the Company shall be deemed to have authorized the Administrative Agent, any Affiliate thereof, the Arranger and the Lenders to treat such Borrower Materials as not containing any material non-public information (although it may be sensitive and proprietary) with respect to the Company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(3) all Borrower Materials marked “PUBLIC” are permitted to be made available through a portion of the Platform designated “Public Side Information;” and (4) the Administrative Agent and any Affiliate thereof and the Arranger shall be entitled to treat any Borrower Materials that are not marked “PUBLIC” as being suitable only for posting on a portion of the Platform not designated “Public Side Information.” Notwithstanding the foregoing, the Company shall be under no obligation to mark any Borrower Materials “PUBLIC”.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6.03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Promptly, but in any event within two (2) Business Days, after a Responsible Officer obtains actual knowledge thereof, notify the Administrative Agent (for distribution to each Lender):</w:t>
      </w:r>
    </w:p>
    <w:p>
      <w:pPr>
        <w:spacing w:after="0" w:line="170" w:lineRule="exact"/>
        <w:rPr>
          <w:sz w:val="20"/>
          <w:szCs w:val="20"/>
          <w:color w:val="auto"/>
        </w:rPr>
      </w:pPr>
    </w:p>
    <w:p>
      <w:pPr>
        <w:ind w:left="700" w:hanging="236"/>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have a Material Adverse Effect; and</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of the occurrence of any ERISA Event that could reasonably be expected to give rise to liabilities in excess of the Threshold Amount.</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6.04 </w:t>
      </w:r>
      <w:r>
        <w:rPr>
          <w:rFonts w:ascii="Arial" w:cs="Arial" w:eastAsia="Arial" w:hAnsi="Arial"/>
          <w:sz w:val="18"/>
          <w:szCs w:val="18"/>
          <w:b w:val="1"/>
          <w:bCs w:val="1"/>
          <w:u w:val="single" w:color="auto"/>
          <w:color w:val="auto"/>
        </w:rPr>
        <w:t>Payment of Obligations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Pay and discharge as the same shall become due and payable, all its material obligations and liabilities, including (a) all tax liabilities, assessments and governmental charges or levies upon it or its properties or assets; (b) all lawful claims which, if unpaid, would by law become a Lien upon its property; and</w:t>
      </w:r>
    </w:p>
    <w:p>
      <w:pPr>
        <w:ind w:right="20" w:firstLine="8"/>
        <w:spacing w:after="0" w:line="273" w:lineRule="auto"/>
        <w:tabs>
          <w:tab w:leader="none" w:pos="24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all Indebtedness, as and when due and payable, but subject to any subordination provisions contained in any instrument or agreement evidencing such Indebtedness, unless in the case of any such obligation or liabilities (which, in the case of Indebtedness, must have an outstanding principal balance below the Threshold Amount), (i) the same are being contested in good faith by appropriate proceedings diligently conducted and (ii) adequate reserves in accordance with GAAP (to the extent required thereby) are being maintained by the Borrower or such Subsidiary.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6.05 </w:t>
      </w:r>
      <w:r>
        <w:rPr>
          <w:rFonts w:ascii="Arial" w:cs="Arial" w:eastAsia="Arial" w:hAnsi="Arial"/>
          <w:sz w:val="18"/>
          <w:szCs w:val="18"/>
          <w:b w:val="1"/>
          <w:bCs w:val="1"/>
          <w:u w:val="single" w:color="auto"/>
          <w:color w:val="auto"/>
        </w:rPr>
        <w:t>Preservation of Existence, Etc</w:t>
      </w:r>
      <w:r>
        <w:rPr>
          <w:rFonts w:ascii="Arial" w:cs="Arial" w:eastAsia="Arial" w:hAnsi="Arial"/>
          <w:sz w:val="18"/>
          <w:szCs w:val="18"/>
          <w:b w:val="1"/>
          <w:bCs w:val="1"/>
          <w:color w:val="auto"/>
        </w:rPr>
        <w:t>.</w:t>
      </w:r>
    </w:p>
    <w:p>
      <w:pPr>
        <w:spacing w:after="0" w:line="121" w:lineRule="exact"/>
        <w:rPr>
          <w:sz w:val="20"/>
          <w:szCs w:val="20"/>
          <w:color w:val="auto"/>
        </w:rPr>
      </w:pPr>
    </w:p>
    <w:p>
      <w:pPr>
        <w:ind w:right="280" w:firstLine="464"/>
        <w:spacing w:after="0" w:line="264" w:lineRule="auto"/>
        <w:tabs>
          <w:tab w:leader="none" w:pos="70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(i) legal existence and (ii) good standing (to the extent applicable) under the Laws of the jurisdiction of its organization or incorporation, except in each case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and in the case of clause (ii) to the extent the failure to do so could not reasonably be expected to have a Material Adverse Effect;</w:t>
      </w:r>
    </w:p>
    <w:p>
      <w:pPr>
        <w:spacing w:after="0" w:line="181" w:lineRule="exact"/>
        <w:rPr>
          <w:rFonts w:ascii="Arial" w:cs="Arial" w:eastAsia="Arial" w:hAnsi="Arial"/>
          <w:sz w:val="18"/>
          <w:szCs w:val="18"/>
          <w:color w:val="auto"/>
        </w:rPr>
      </w:pPr>
    </w:p>
    <w:p>
      <w:pPr>
        <w:ind w:right="480" w:firstLine="464"/>
        <w:spacing w:after="0" w:line="277" w:lineRule="auto"/>
        <w:tabs>
          <w:tab w:leader="none" w:pos="71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4" w:right="259" w:bottom="1440" w:gutter="0" w:footer="0" w:header="0"/>
        </w:sectPr>
      </w:pPr>
    </w:p>
    <w:bookmarkStart w:id="91" w:name="page92"/>
    <w:bookmarkEnd w:id="91"/>
    <w:p>
      <w:pPr>
        <w:ind w:right="420" w:firstLine="464"/>
        <w:spacing w:after="0" w:line="277" w:lineRule="auto"/>
        <w:tabs>
          <w:tab w:leader="none" w:pos="701"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preserve or renew all of its registered patents, trademarks, trade names and service marks, the non-preservation or non-renewal of which could reasonably be expected to have a Material Adverse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6.06 </w:t>
      </w:r>
      <w:r>
        <w:rPr>
          <w:rFonts w:ascii="Arial" w:cs="Arial" w:eastAsia="Arial" w:hAnsi="Arial"/>
          <w:sz w:val="18"/>
          <w:szCs w:val="18"/>
          <w:b w:val="1"/>
          <w:bCs w:val="1"/>
          <w:u w:val="single" w:color="auto"/>
          <w:color w:val="auto"/>
        </w:rPr>
        <w:t>Maintenance of Properties</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464"/>
        <w:spacing w:after="0" w:line="286" w:lineRule="auto"/>
        <w:tabs>
          <w:tab w:leader="none" w:pos="70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Maintain, preserve and protect all of its material properties and equipment necessary in the operation of its business in good working order and condition, ordinary wear and tear and casualty events excepted and make all necessary repairs thereto and renewals and replacements thereof, in each case except where the failure to do so could not reasonably be expected to have a Material Adverse Effect; and</w:t>
      </w:r>
    </w:p>
    <w:p>
      <w:pPr>
        <w:spacing w:after="0" w:line="165" w:lineRule="exact"/>
        <w:rPr>
          <w:rFonts w:ascii="Arial" w:cs="Arial" w:eastAsia="Arial" w:hAnsi="Arial"/>
          <w:sz w:val="17"/>
          <w:szCs w:val="17"/>
          <w:color w:val="auto"/>
        </w:rPr>
      </w:pPr>
    </w:p>
    <w:p>
      <w:pPr>
        <w:ind w:right="680" w:firstLine="464"/>
        <w:spacing w:after="0" w:line="277" w:lineRule="auto"/>
        <w:tabs>
          <w:tab w:leader="none" w:pos="7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use the standard of care typical in the industry in the operation and maintenance of its facilities, except where the failure to do so could not reasonably be expected to have a Material Adverse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6.07 </w:t>
      </w:r>
      <w:r>
        <w:rPr>
          <w:rFonts w:ascii="Arial" w:cs="Arial" w:eastAsia="Arial" w:hAnsi="Arial"/>
          <w:sz w:val="18"/>
          <w:szCs w:val="18"/>
          <w:b w:val="1"/>
          <w:bCs w:val="1"/>
          <w:u w:val="single" w:color="auto"/>
          <w:color w:val="auto"/>
        </w:rPr>
        <w:t>Maintenance of Insurance</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including, without limitation, terrorism insurance. Annually, upon expiration of current insurance coverage, the Loan Parties shall provide, or cause to be provided, to the Administrative Agent, such evidence of insurance reasonably requested by the Administrative Agent, including, but not limited to: (i) certified copies of such insurance policies and (ii) evidence of such insurance policies (including, without limitation and to the extent applicable and available, ACORD Form 28 certificates (or similar form of insurance certificate), and ACORD Form 25 certificates (or similar form of insurance certificate)). As requested by the Administrative Agent, the Loan Parties agree to deliver to the Administrative Agent an Authorization to Share Insurance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6.08 </w:t>
      </w:r>
      <w:r>
        <w:rPr>
          <w:rFonts w:ascii="Arial" w:cs="Arial" w:eastAsia="Arial" w:hAnsi="Arial"/>
          <w:sz w:val="18"/>
          <w:szCs w:val="18"/>
          <w:b w:val="1"/>
          <w:bCs w:val="1"/>
          <w:u w:val="single" w:color="auto"/>
          <w:color w:val="auto"/>
        </w:rPr>
        <w:t>Compliance with Laws</w:t>
      </w:r>
      <w:r>
        <w:rPr>
          <w:rFonts w:ascii="Arial" w:cs="Arial" w:eastAsia="Arial" w:hAnsi="Arial"/>
          <w:sz w:val="18"/>
          <w:szCs w:val="18"/>
          <w:b w:val="1"/>
          <w:bCs w:val="1"/>
          <w:color w:val="auto"/>
        </w:rPr>
        <w:t>.</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6.09 </w:t>
      </w:r>
      <w:r>
        <w:rPr>
          <w:rFonts w:ascii="Arial" w:cs="Arial" w:eastAsia="Arial" w:hAnsi="Arial"/>
          <w:sz w:val="18"/>
          <w:szCs w:val="18"/>
          <w:b w:val="1"/>
          <w:bCs w:val="1"/>
          <w:u w:val="single" w:color="auto"/>
          <w:color w:val="auto"/>
        </w:rPr>
        <w:t>Books and Records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64"/>
        <w:spacing w:after="0" w:line="277" w:lineRule="auto"/>
        <w:tabs>
          <w:tab w:leader="none" w:pos="7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Maintain proper books of record and account, in which entries that are full, true and correct in all material respects shall be made that are sufficient to prepare financial statements in accordance with GAAP; and</w:t>
      </w:r>
    </w:p>
    <w:p>
      <w:pPr>
        <w:spacing w:after="0" w:line="170" w:lineRule="exact"/>
        <w:rPr>
          <w:rFonts w:ascii="Arial" w:cs="Arial" w:eastAsia="Arial" w:hAnsi="Arial"/>
          <w:sz w:val="18"/>
          <w:szCs w:val="18"/>
          <w:color w:val="auto"/>
        </w:rPr>
      </w:pPr>
    </w:p>
    <w:p>
      <w:pPr>
        <w:ind w:right="700" w:firstLine="464"/>
        <w:spacing w:after="0" w:line="277" w:lineRule="auto"/>
        <w:tabs>
          <w:tab w:leader="none" w:pos="7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74" w:right="2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6.10 </w:t>
      </w:r>
      <w:r>
        <w:rPr>
          <w:rFonts w:ascii="Arial" w:cs="Arial" w:eastAsia="Arial" w:hAnsi="Arial"/>
          <w:sz w:val="18"/>
          <w:szCs w:val="18"/>
          <w:b w:val="1"/>
          <w:bCs w:val="1"/>
          <w:u w:val="single" w:color="auto"/>
          <w:color w:val="auto"/>
        </w:rPr>
        <w:t>Inspection Rights</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84" w:lineRule="auto"/>
        <w:tabs>
          <w:tab w:leader="none" w:pos="701"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upon reasonable advance notice to the Borrower, not to exceed more than one (1) time per calendar year so long as no Event of Default has occurred and is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 Notwithstanding the foregoing, neither the Borrower nor its Subsidiaries shall be required to disclose or discuss, or permit the inspection, examination or making of extracts of, any document, book, record or other matter, that (i) constitutes non-financial trade secrets or non-financial proprietary information,</w:t>
      </w:r>
    </w:p>
    <w:p>
      <w:pPr>
        <w:spacing w:after="0" w:line="1" w:lineRule="exact"/>
        <w:rPr>
          <w:rFonts w:ascii="Arial" w:cs="Arial" w:eastAsia="Arial" w:hAnsi="Arial"/>
          <w:sz w:val="16"/>
          <w:szCs w:val="16"/>
          <w:color w:val="auto"/>
        </w:rPr>
      </w:pPr>
    </w:p>
    <w:p>
      <w:pPr>
        <w:ind w:right="260" w:firstLine="8"/>
        <w:spacing w:after="0" w:line="323" w:lineRule="auto"/>
        <w:tabs>
          <w:tab w:leader="none" w:pos="26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respect of which disclosure to the Administrative Agent, such Lender or other representatives is then prohibited by applicable Law or any agreement binding on the Borrower or its Subsidiaries or (iii) is protected from disclosure by the attorney-client privilege or the attorney work product privilege.</w:t>
      </w:r>
    </w:p>
    <w:p>
      <w:pPr>
        <w:spacing w:after="0" w:line="138" w:lineRule="exact"/>
        <w:rPr>
          <w:rFonts w:ascii="Arial" w:cs="Arial" w:eastAsia="Arial" w:hAnsi="Arial"/>
          <w:sz w:val="16"/>
          <w:szCs w:val="16"/>
          <w:color w:val="auto"/>
        </w:rPr>
      </w:pPr>
    </w:p>
    <w:p>
      <w:pPr>
        <w:ind w:right="240" w:firstLine="464"/>
        <w:spacing w:after="0" w:line="277" w:lineRule="auto"/>
        <w:tabs>
          <w:tab w:leader="none" w:pos="71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requested by the Administrative Agent in its sole discretion, permit the Administrative Agent, and its representatives, upon reasonable advance notice to the Borrower, to conduct an annual audit of the Collateral at the expense of the Borrower.</w:t>
      </w:r>
    </w:p>
    <w:p>
      <w:pPr>
        <w:spacing w:after="0" w:line="170" w:lineRule="exact"/>
        <w:rPr>
          <w:rFonts w:ascii="Arial" w:cs="Arial" w:eastAsia="Arial" w:hAnsi="Arial"/>
          <w:sz w:val="18"/>
          <w:szCs w:val="18"/>
          <w:color w:val="auto"/>
        </w:rPr>
      </w:pPr>
    </w:p>
    <w:p>
      <w:pPr>
        <w:ind w:right="460" w:firstLine="464"/>
        <w:spacing w:after="0" w:line="277" w:lineRule="auto"/>
        <w:tabs>
          <w:tab w:leader="none" w:pos="70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requested by the Administrative Agent in its sole discretion, permit the Administrative Agent to conduct a field examination of the accounts receivable, controls and systems of Borrower and its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b w:val="1"/>
          <w:bCs w:val="1"/>
          <w:u w:val="single" w:color="auto"/>
          <w:color w:val="auto"/>
        </w:rPr>
        <w:t>Use of Proceeds</w:t>
      </w:r>
      <w:r>
        <w:rPr>
          <w:rFonts w:ascii="Arial" w:cs="Arial" w:eastAsia="Arial" w:hAnsi="Arial"/>
          <w:sz w:val="18"/>
          <w:szCs w:val="18"/>
          <w:b w:val="1"/>
          <w:bCs w:val="1"/>
          <w:color w:val="auto"/>
        </w:rPr>
        <w: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Use the proceeds of the Credit Extensions to refinance certain existing Indebtedness and for working capital and general corporate purposes not in contravention of any Law or of any Loan Document, including, without limitation for Permitted 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Material Contracts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Perform and observe all the terms and provisions of each Material Contract to be performed or observed by it, maintain each such Material Contract in full force and effect (other than if such Material Contract expires at the end of its term) and enforce each such Material Contract in accordance with its reasonable business judgment and in each case except where the failure to do so could not reasonably be expected to have a Material Adverse Effect.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6.13 </w:t>
      </w:r>
      <w:r>
        <w:rPr>
          <w:rFonts w:ascii="Arial" w:cs="Arial" w:eastAsia="Arial" w:hAnsi="Arial"/>
          <w:sz w:val="18"/>
          <w:szCs w:val="18"/>
          <w:b w:val="1"/>
          <w:bCs w:val="1"/>
          <w:u w:val="single" w:color="auto"/>
          <w:color w:val="auto"/>
        </w:rPr>
        <w:t>Covenant to Guarantee Obligations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strike w:val="1"/>
        </w:rPr>
        <w:t>Except in respect of Fabrinet Thailand, for which the provisions of Section 6.18(a) shall govern exclusively, the</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Company will cause each of its Material Subsidiaries (other than any Excluded Subsidiary) whether newly formed, after acquired or otherwise existing, to promptly (and in any event within thirty (30) days after such Material Subsidiary (other than any Excluded Subsidiary) is formed or acquired (or such longer period of time as agreed to by the Administrative Agent in its reasonable discretion)) become a Guarantor hereunder by way of execution of a Joinder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Thai Material Subsidiary that is required under the Foreign Business Act B.E. 2542 (1999), as amended, to obtain a Thai Guarantee License in order to become a Guarantor hereunder, the Guaranty of such Thai Material Subsidiary shall not be effective until such Thai Material Subsidiary shall have obtained a Thai Guarantee License and each of the Company and the relevant Thai Material Subsidiary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0" w:right="239" w:bottom="1440" w:gutter="0" w:footer="0" w:header="0"/>
        </w:sectPr>
      </w:pPr>
    </w:p>
    <w:bookmarkStart w:id="93" w:name="page94"/>
    <w:bookmarkEnd w:id="9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use its best efforts to promptly obtain the Thai Guarantee License (and the time period for such Thai Material Subsidiary to become a Guarantor hereunder shall be automatically extended to permit the Thai Material Subsidiary to obtain such Thai Guarantee License and satisfy the other requirements of this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In connection therewith, the Company shall give notice to the Administrative Agent not less than five (5) days (or such shorter period of time as agreed to by the Administrative Agent in its reasonable discretion) prior to creating or acquiring a Material Subsidiary (which such notice shall include, as applicable, notice that such Material Subsidiary shall constitute an Excluded Subsidiary). In connection with the Joinder Agreement and concurrently therewith, the Company shall deliver to the Administrative Agent, with respect to each new Guarantor, to the extent applicable, (a) substantially the same documentation required pursuant to </w:t>
      </w:r>
      <w:r>
        <w:rPr>
          <w:rFonts w:ascii="Arial" w:cs="Arial" w:eastAsia="Arial" w:hAnsi="Arial"/>
          <w:sz w:val="16"/>
          <w:szCs w:val="16"/>
          <w:u w:val="single" w:color="auto"/>
          <w:color w:val="auto"/>
        </w:rPr>
        <w:t>Sections 4.01(b) – (f)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6.14</w:t>
      </w:r>
      <w:r>
        <w:rPr>
          <w:rFonts w:ascii="Arial" w:cs="Arial" w:eastAsia="Arial" w:hAnsi="Arial"/>
          <w:sz w:val="16"/>
          <w:szCs w:val="16"/>
          <w:color w:val="auto"/>
        </w:rPr>
        <w:t xml:space="preserve">, (b) such updates to the Disclosure Letter as may be necessary with respect to such Guarantor and (c) such other documents or agreements as the Administrative Agent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Thai Material Subsidiary, such Thai Material Subsidiary shall also promptly deliver to the Administrative Agent certified copies of (i) a Thai Guarantee License (to the extent that such Thai Material Subsidiary is required under the Foreign Business Act B.E. 2542 (1999), as amended, to obtain a Thai Guarantee License) and (ii) a BOT Approval in Principle. For the avoidance of doubt, in no event shall an Excluded Subsidiary be required to become a Guarantor.</w:t>
      </w:r>
    </w:p>
    <w:p>
      <w:pPr>
        <w:spacing w:after="0" w:line="17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u w:val="single" w:color="auto"/>
          <w:color w:val="auto"/>
        </w:rPr>
        <w:t>Notwithstanding anything to the contrary in any Loan Document, in no event will any Subsidiary that is a “controlled foreign corporation” within the meaning of Section 957 of the Code be required to, or to continue to, guarantee any Obligations of a Designated Borrower that is a Subsidiary organized under any political subdivision of the United States, nor shall stock of such CFC in excess of 65% be, or continue to be, pledged as security with respect to such Obligations, if there exists one or more “U.S. shareholders” within the meaning of Section 951(b) of the Code that could be required to include any amount in income under Section 951(a) in connection with such guarantee or pledge.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6.14 </w:t>
      </w:r>
      <w:r>
        <w:rPr>
          <w:rFonts w:ascii="Arial" w:cs="Arial" w:eastAsia="Arial" w:hAnsi="Arial"/>
          <w:sz w:val="18"/>
          <w:szCs w:val="18"/>
          <w:b w:val="1"/>
          <w:bCs w:val="1"/>
          <w:u w:val="single" w:color="auto"/>
          <w:color w:val="auto"/>
        </w:rPr>
        <w:t>Covenant to Give Security</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64"/>
        <w:spacing w:after="0" w:line="297" w:lineRule="auto"/>
        <w:tabs>
          <w:tab w:leader="none" w:pos="70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Equity Interests and Personal Property</w:t>
      </w:r>
      <w:r>
        <w:rPr>
          <w:rFonts w:ascii="Arial" w:cs="Arial" w:eastAsia="Arial" w:hAnsi="Arial"/>
          <w:sz w:val="16"/>
          <w:szCs w:val="16"/>
          <w:color w:val="auto"/>
        </w:rPr>
        <w:t>. The Borrower will cause the Pledged Equity and all of its tangible and intangible personal property constituting Collateral now owned or hereafter acquired by it to be subject at all times to a first priority, perfected Lien (subject to Permitted Liens to the extent permitted by the Loan Documents) in favor of the Administrative Agent for the benefit of the Secured Parties to secure the Secured Obligations pursuant to the terms and conditions of the Collateral Documents. The Borrower shall provide opinions of counsel and any filings and deliveries reasonably necessary in connection therewith to perfect the security interests therein, all in form and substance reasonably satisfactory to the Administrative Agent.</w:t>
      </w:r>
    </w:p>
    <w:p>
      <w:pPr>
        <w:spacing w:after="0" w:line="158" w:lineRule="exact"/>
        <w:rPr>
          <w:rFonts w:ascii="Arial" w:cs="Arial" w:eastAsia="Arial" w:hAnsi="Arial"/>
          <w:sz w:val="16"/>
          <w:szCs w:val="16"/>
          <w:color w:val="auto"/>
        </w:rPr>
      </w:pPr>
    </w:p>
    <w:p>
      <w:pPr>
        <w:ind w:right="20" w:firstLine="464"/>
        <w:spacing w:after="0" w:line="288" w:lineRule="auto"/>
        <w:tabs>
          <w:tab w:leader="none" w:pos="71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Account Control Agreements</w:t>
      </w:r>
      <w:r>
        <w:rPr>
          <w:rFonts w:ascii="Arial" w:cs="Arial" w:eastAsia="Arial" w:hAnsi="Arial"/>
          <w:sz w:val="16"/>
          <w:szCs w:val="16"/>
          <w:color w:val="auto"/>
        </w:rPr>
        <w:t xml:space="preserve">. From and after the Effective Date, Borrower shall not open, maintain or otherwise have any deposit or securities accounts at any bank or other financial institution, or any other account where money or securities are or may be deposited or maintained with any Person, other than (i) the accounts set forth on </w:t>
      </w:r>
      <w:r>
        <w:rPr>
          <w:rFonts w:ascii="Arial" w:cs="Arial" w:eastAsia="Arial" w:hAnsi="Arial"/>
          <w:sz w:val="16"/>
          <w:szCs w:val="16"/>
          <w:u w:val="single" w:color="auto"/>
          <w:color w:val="auto"/>
        </w:rPr>
        <w:t>Schedule 6.14</w:t>
      </w:r>
      <w:r>
        <w:rPr>
          <w:rFonts w:ascii="Arial" w:cs="Arial" w:eastAsia="Arial" w:hAnsi="Arial"/>
          <w:sz w:val="16"/>
          <w:szCs w:val="16"/>
          <w:color w:val="auto"/>
        </w:rPr>
        <w:t xml:space="preserve"> to the Disclosure Letter; (ii) deposit accounts that are maintained at all times with depositary institutions as to which the Administrative Agent shall have received a Qualifying Control Agreement, (iii) securities accounts that are maintained at all times with financial institutions as to which the Administrative Agent shall have received a Qualifying Control Agreement, (iv) deposit accounts established solely as payroll accounts and other zero balance accounts, withholding and trust accounts, tax accounts, escrow or other fiduciary accounts and cash collateral accounts and (v) other deposit accounts and securities accounts, so long as at any time the balance in any such account does not exceed $</w:t>
      </w:r>
      <w:r>
        <w:rPr>
          <w:rFonts w:ascii="Arial" w:cs="Arial" w:eastAsia="Arial" w:hAnsi="Arial"/>
          <w:sz w:val="16"/>
          <w:szCs w:val="16"/>
          <w:color w:val="auto"/>
          <w:strike w:val="1"/>
        </w:rPr>
        <w:t>10,000,000</w:t>
      </w:r>
      <w:r>
        <w:rPr>
          <w:rFonts w:ascii="Arial" w:cs="Arial" w:eastAsia="Arial" w:hAnsi="Arial"/>
          <w:sz w:val="16"/>
          <w:szCs w:val="16"/>
          <w:u w:val="single" w:color="auto"/>
          <w:color w:val="auto"/>
        </w:rPr>
        <w:t>20,000,000</w:t>
      </w:r>
      <w:r>
        <w:rPr>
          <w:rFonts w:ascii="Arial" w:cs="Arial" w:eastAsia="Arial" w:hAnsi="Arial"/>
          <w:sz w:val="16"/>
          <w:szCs w:val="16"/>
          <w:color w:val="auto"/>
        </w:rPr>
        <w:t xml:space="preserve"> and the aggregate balance in all such accounts does not exceed the lesser of (A) $</w:t>
      </w:r>
      <w:r>
        <w:rPr>
          <w:rFonts w:ascii="Arial" w:cs="Arial" w:eastAsia="Arial" w:hAnsi="Arial"/>
          <w:sz w:val="16"/>
          <w:szCs w:val="16"/>
          <w:color w:val="auto"/>
          <w:strike w:val="1"/>
        </w:rPr>
        <w:t>20,000,000</w:t>
      </w:r>
      <w:r>
        <w:rPr>
          <w:rFonts w:ascii="Arial" w:cs="Arial" w:eastAsia="Arial" w:hAnsi="Arial"/>
          <w:sz w:val="16"/>
          <w:szCs w:val="16"/>
          <w:u w:val="single" w:color="auto"/>
          <w:color w:val="auto"/>
        </w:rPr>
        <w:t>40,000,000</w:t>
      </w:r>
      <w:r>
        <w:rPr>
          <w:rFonts w:ascii="Arial" w:cs="Arial" w:eastAsia="Arial" w:hAnsi="Arial"/>
          <w:sz w:val="16"/>
          <w:szCs w:val="16"/>
          <w:color w:val="auto"/>
        </w:rPr>
        <w:t xml:space="preserve"> and (B) ten percent (10%) of all cash and Cash Equivalents of the Borrower on a Consolidated basis; </w:t>
      </w:r>
      <w:r>
        <w:rPr>
          <w:rFonts w:ascii="Arial" w:cs="Arial" w:eastAsia="Arial" w:hAnsi="Arial"/>
          <w:sz w:val="16"/>
          <w:szCs w:val="16"/>
          <w:color w:val="auto"/>
          <w:strike w:val="1"/>
        </w:rPr>
        <w:t>provided that Fabritek and Fabrinet West may maintain deposit accounts and</w:t>
      </w:r>
      <w:r>
        <w:rPr>
          <w:rFonts w:ascii="Arial" w:cs="Arial" w:eastAsia="Arial" w:hAnsi="Arial"/>
          <w:sz w:val="16"/>
          <w:szCs w:val="16"/>
          <w:color w:val="auto"/>
        </w:rPr>
        <w:t xml:space="preserve"> </w:t>
      </w:r>
      <w:r>
        <w:rPr>
          <w:rFonts w:ascii="Arial" w:cs="Arial" w:eastAsia="Arial" w:hAnsi="Arial"/>
          <w:sz w:val="16"/>
          <w:szCs w:val="16"/>
          <w:color w:val="auto"/>
          <w:strike w:val="1"/>
        </w:rPr>
        <w:t>securities accounts with balances in excess of those described in this clause (v) solely during the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94" w:name="page95"/>
    <w:bookmarkEnd w:id="94"/>
    <w:p>
      <w:pPr>
        <w:ind w:right="300"/>
        <w:spacing w:after="0" w:line="259"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and after the date of the Second Amendment until September 30, 2015</w:t>
      </w:r>
      <w:r>
        <w:rPr>
          <w:rFonts w:ascii="Arial" w:cs="Arial" w:eastAsia="Arial" w:hAnsi="Arial"/>
          <w:sz w:val="18"/>
          <w:szCs w:val="18"/>
          <w:color w:val="auto"/>
        </w:rPr>
        <w:t xml:space="preserve">. From and after the Effective Date, the Company shall maintain cash, Cash Equivalents and marketable securities in an aggregate amount not less than $40,000,000 in unencumbered (other than Liens in favor of the Administrative Agent for the benefit of the Secured Parties and Liens permitted under clause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(n)</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deposit and/or securities accounts located in the United States at all times.</w:t>
      </w:r>
    </w:p>
    <w:p>
      <w:pPr>
        <w:spacing w:after="0" w:line="187" w:lineRule="exact"/>
        <w:rPr>
          <w:sz w:val="20"/>
          <w:szCs w:val="20"/>
          <w:color w:val="auto"/>
        </w:rPr>
      </w:pPr>
    </w:p>
    <w:p>
      <w:pPr>
        <w:ind w:right="280" w:firstLine="464"/>
        <w:spacing w:after="0" w:line="257" w:lineRule="auto"/>
        <w:tabs>
          <w:tab w:leader="none" w:pos="70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upon request of the Administrative Agent, promptly execute and deliver any and all further instruments and documents and take all such other action (including, as applicable, promptly completing any registration or stamping of documents) as the Administrative Agent may reasonably deem necessary or desirable to maintain in favor of the Administrative Agent, for the benefit of the Secured Parties, Liens on the Collateral that are duly perfected in accordance with the requirements of, or the obligations of the Borrower under, the Loan Documents and all applicable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6.15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Promptly upon the reasonable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(including, as applicable, promptly completing any registration or stamping of documents) as the Administrative Agent, or any Lender through the Administrative Agent, may reasonably require from time to time in order to (i) carry out more effectively the purposes of the Loan Documents, (ii) to the fullest extent permitted by applicable Law, subject the Borrower’s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(by security or otherwise),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6.16 </w:t>
      </w:r>
      <w:r>
        <w:rPr>
          <w:rFonts w:ascii="Arial" w:cs="Arial" w:eastAsia="Arial" w:hAnsi="Arial"/>
          <w:sz w:val="18"/>
          <w:szCs w:val="18"/>
          <w:b w:val="1"/>
          <w:bCs w:val="1"/>
          <w:u w:val="single" w:color="auto"/>
          <w:color w:val="auto"/>
        </w:rPr>
        <w:t>Compliance with Environmental Laws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Comply in all material respects, with all applicable Environmental Laws and Environmental Permits; obtain and renew all Environmental Permits necessary for its operations and properties except where the failure to do so could not reasonably be expected to have a Material Adverse Effect;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the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 or where the failure to do so could not reasonably be expected to have a Material Adverse Effect.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6.17 </w:t>
      </w:r>
      <w:r>
        <w:rPr>
          <w:rFonts w:ascii="Arial" w:cs="Arial" w:eastAsia="Arial" w:hAnsi="Arial"/>
          <w:sz w:val="18"/>
          <w:szCs w:val="18"/>
          <w:b w:val="1"/>
          <w:bCs w:val="1"/>
          <w:u w:val="single" w:color="auto"/>
          <w:color w:val="auto"/>
        </w:rPr>
        <w:t>Approvals and Authorizations</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Maintain all authorizations, consents, approvals and licenses from, exemptions of, and filings and registrations with, each Governmental Authority of the jurisdiction in which each Foreign Obligor is organized and existing, in each case that are required in connection with the execution, delivery and performance by such Foreign Obligor of the Loan Documents to which it is a party.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6.18 </w:t>
      </w:r>
      <w:r>
        <w:rPr>
          <w:rFonts w:ascii="Arial" w:cs="Arial" w:eastAsia="Arial" w:hAnsi="Arial"/>
          <w:sz w:val="18"/>
          <w:szCs w:val="18"/>
          <w:b w:val="1"/>
          <w:bCs w:val="1"/>
          <w:color w:val="auto"/>
          <w:strike w:val="1"/>
        </w:rPr>
        <w:t>Post-Closing Obligations</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64"/>
        <w:spacing w:after="0" w:line="271" w:lineRule="auto"/>
        <w:tabs>
          <w:tab w:leader="none" w:pos="701" w:val="left"/>
        </w:tabs>
        <w:numPr>
          <w:ilvl w:val="1"/>
          <w:numId w:val="118"/>
        </w:numPr>
        <w:rPr>
          <w:rFonts w:ascii="Arial" w:cs="Arial" w:eastAsia="Arial" w:hAnsi="Arial"/>
          <w:sz w:val="17"/>
          <w:szCs w:val="17"/>
          <w:color w:val="auto"/>
          <w:strike w:val="1"/>
        </w:rPr>
      </w:pPr>
      <w:r>
        <w:rPr>
          <w:rFonts w:ascii="Arial" w:cs="Arial" w:eastAsia="Arial" w:hAnsi="Arial"/>
          <w:sz w:val="17"/>
          <w:szCs w:val="17"/>
          <w:color w:val="auto"/>
          <w:strike w:val="1"/>
        </w:rPr>
        <w:t>Fabrinet Thailand. (i) No later than one hundred eighty (180) days after the Closing Date, Fabrinet Thailand shall have delivered to the Administrative Agent (A) a Joinder Agreement, executed by a Responsible Officer of each of the Company and Fabrinet Thailand, and (B) each other applicable item described in Section 6.13 (including, without limitation, (i) a legal opinion of Thailand counsel for the Loan Parties and (ii) a certificate executed by a Responsible Officer of Fabrinet Thailand certifying and attaching copies of each of the Thai Guarantee License and the BOT Approval in Principle for Fabrinet Thailand), in each case in form and substance reasonably satisfactory to the Administrative Agent or (ii) the Company shall pay the Fabrinet Thailand Alternative Fees in accordance with Section 2.07(d). Notwithstanding anything to the contrary in this Agreement or any other Loan Document, and for so long as the Company complies with the requirements of clause (ii) above, the failure of Fabrinet Thailand to become a Guarantor shall constitute neither (x) a breach of any Loan Document nor (y) a Default or Event of Default.</w:t>
      </w:r>
    </w:p>
    <w:p>
      <w:pPr>
        <w:spacing w:after="0" w:line="178" w:lineRule="exact"/>
        <w:rPr>
          <w:rFonts w:ascii="Arial" w:cs="Arial" w:eastAsia="Arial" w:hAnsi="Arial"/>
          <w:sz w:val="17"/>
          <w:szCs w:val="17"/>
          <w:color w:val="auto"/>
          <w:strike w:val="1"/>
        </w:rPr>
      </w:pPr>
    </w:p>
    <w:p>
      <w:pPr>
        <w:ind w:left="720" w:hanging="256"/>
        <w:spacing w:after="0"/>
        <w:tabs>
          <w:tab w:leader="none" w:pos="720" w:val="left"/>
        </w:tabs>
        <w:numPr>
          <w:ilvl w:val="1"/>
          <w:numId w:val="118"/>
        </w:numPr>
        <w:rPr>
          <w:rFonts w:ascii="Arial" w:cs="Arial" w:eastAsia="Arial" w:hAnsi="Arial"/>
          <w:sz w:val="16"/>
          <w:szCs w:val="16"/>
          <w:color w:val="auto"/>
          <w:strike w:val="1"/>
        </w:rPr>
      </w:pPr>
      <w:r>
        <w:rPr>
          <w:rFonts w:ascii="Arial" w:cs="Arial" w:eastAsia="Arial" w:hAnsi="Arial"/>
          <w:sz w:val="16"/>
          <w:szCs w:val="16"/>
          <w:color w:val="auto"/>
          <w:strike w:val="1"/>
        </w:rPr>
        <w:t>Fabrinet Sweden. No later than one hundred eighty (180) days after the Closing Date, the Company shall deliver to the Administrative Agent either</w:t>
      </w:r>
    </w:p>
    <w:p>
      <w:pPr>
        <w:spacing w:after="0" w:line="46" w:lineRule="exact"/>
        <w:rPr>
          <w:rFonts w:ascii="Arial" w:cs="Arial" w:eastAsia="Arial" w:hAnsi="Arial"/>
          <w:sz w:val="16"/>
          <w:szCs w:val="16"/>
          <w:color w:val="auto"/>
          <w:strike w:val="1"/>
        </w:rPr>
      </w:pPr>
    </w:p>
    <w:p>
      <w:pPr>
        <w:ind w:right="160" w:firstLine="8"/>
        <w:spacing w:after="0" w:line="261" w:lineRule="auto"/>
        <w:tabs>
          <w:tab w:leader="none" w:pos="215" w:val="left"/>
        </w:tabs>
        <w:numPr>
          <w:ilvl w:val="0"/>
          <w:numId w:val="119"/>
        </w:numPr>
        <w:rPr>
          <w:rFonts w:ascii="Arial" w:cs="Arial" w:eastAsia="Arial" w:hAnsi="Arial"/>
          <w:sz w:val="18"/>
          <w:szCs w:val="18"/>
          <w:color w:val="auto"/>
          <w:strike w:val="1"/>
        </w:rPr>
      </w:pPr>
      <w:r>
        <w:rPr>
          <w:rFonts w:ascii="Arial" w:cs="Arial" w:eastAsia="Arial" w:hAnsi="Arial"/>
          <w:sz w:val="18"/>
          <w:szCs w:val="18"/>
          <w:color w:val="auto"/>
          <w:strike w:val="1"/>
        </w:rPr>
        <w:t>evidence of the liquidation of Fabrinet Sweden or (ii) a pledge of the Equity Interests of Fabrinet Sweden, in each case, in form and substance reasonably satisfactory to the Administrative Agent.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6.19 </w:t>
      </w:r>
      <w:r>
        <w:rPr>
          <w:rFonts w:ascii="Arial" w:cs="Arial" w:eastAsia="Arial" w:hAnsi="Arial"/>
          <w:sz w:val="18"/>
          <w:szCs w:val="18"/>
          <w:b w:val="1"/>
          <w:bCs w:val="1"/>
          <w:u w:val="single" w:color="auto"/>
          <w:color w:val="auto"/>
        </w:rPr>
        <w:t>Anti-Corruption Laws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Conduct its business in compliance in all material respects with the United States Foreign Corrupt Practices Act of 1977, the UK Bribery Act 2010 and other similar anti-corruption legislation in other jurisdictions that is applicable to the Company and its Subsidiaries and maintain policies and procedures designed to promote and achieve compliance with such laws.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Each of the Loan Parties hereby covenants and agrees that on the Closing Date and thereafter until the Facility Termination Date, no Loan Party shall, nor shall it permit any Subsidiary to, directly or indirectly: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7.01 </w:t>
      </w:r>
      <w:r>
        <w:rPr>
          <w:rFonts w:ascii="Arial" w:cs="Arial" w:eastAsia="Arial" w:hAnsi="Arial"/>
          <w:sz w:val="18"/>
          <w:szCs w:val="18"/>
          <w:b w:val="1"/>
          <w:bCs w:val="1"/>
          <w:u w:val="single" w:color="auto"/>
          <w:color w:val="auto"/>
        </w:rPr>
        <w:t>Liens</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Create, incur, assume or suffer to exist any Lien upon any of its property, assets or revenues, whether now owned or hereafter acquired, except for the following (the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70" w:lineRule="exact"/>
        <w:rPr>
          <w:sz w:val="20"/>
          <w:szCs w:val="20"/>
          <w:color w:val="auto"/>
        </w:rPr>
      </w:pPr>
    </w:p>
    <w:p>
      <w:pPr>
        <w:ind w:left="700" w:hanging="236"/>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ind w:right="260" w:firstLine="464"/>
        <w:spacing w:after="0" w:line="259" w:lineRule="auto"/>
        <w:tabs>
          <w:tab w:leader="none" w:pos="7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Liens existing on the </w:t>
      </w:r>
      <w:r>
        <w:rPr>
          <w:rFonts w:ascii="Arial" w:cs="Arial" w:eastAsia="Arial" w:hAnsi="Arial"/>
          <w:sz w:val="18"/>
          <w:szCs w:val="18"/>
          <w:color w:val="auto"/>
          <w:strike w:val="1"/>
        </w:rPr>
        <w:t>Closing</w:t>
      </w:r>
      <w:r>
        <w:rPr>
          <w:rFonts w:ascii="Arial" w:cs="Arial" w:eastAsia="Arial" w:hAnsi="Arial"/>
          <w:sz w:val="18"/>
          <w:szCs w:val="18"/>
          <w:u w:val="single" w:color="auto"/>
          <w:color w:val="auto"/>
        </w:rPr>
        <w:t>Fifth Amendment</w:t>
      </w:r>
      <w:r>
        <w:rPr>
          <w:rFonts w:ascii="Arial" w:cs="Arial" w:eastAsia="Arial" w:hAnsi="Arial"/>
          <w:sz w:val="18"/>
          <w:szCs w:val="18"/>
          <w:color w:val="auto"/>
        </w:rPr>
        <w:t xml:space="preserve"> Date and listed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to the Disclosure Letter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property covered thereby is not changed, (ii) the amount secured or benefited thereby is not increased except as contemplated by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8"/>
          <w:szCs w:val="18"/>
          <w:u w:val="single" w:color="auto"/>
          <w:color w:val="auto"/>
        </w:rPr>
        <w:t>Section 7.02(b)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64"/>
        <w:spacing w:after="0" w:line="264" w:lineRule="auto"/>
        <w:tabs>
          <w:tab w:leader="none" w:pos="7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for Taxes, import duties or customs duties, in each case, not yet due or which are being contested in good faith and by appropriate proceedings diligently conducted, if adequate reserves with respect thereto are maintained on the books of the applicable Person in accordance with GAAP (to the extent required thereby);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0" w:right="239" w:bottom="1440" w:gutter="0" w:footer="0" w:header="0"/>
        </w:sectPr>
      </w:pPr>
    </w:p>
    <w:bookmarkStart w:id="96" w:name="page97"/>
    <w:bookmarkEnd w:id="96"/>
    <w:p>
      <w:pPr>
        <w:ind w:left="-60" w:right="20" w:firstLine="464"/>
        <w:spacing w:after="0" w:line="279" w:lineRule="auto"/>
        <w:tabs>
          <w:tab w:leader="none" w:pos="651"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Statutory Liens such as carriers’, warehousemen’s, mechanics’, materialmen’s, repairmen’s or other like Liens arising in the ordinary course of business which are not overdue for a period of more than sixty (60) days or which are being contested in good faith and by appropriate proceedings diligently conducted, if adequate reserves with respect thereto are maintained on the books of the applicable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reserve or other appropriate provision shall have been made therefor and the aggregate amount of such Liens is less than $10,000,000;</w:t>
      </w:r>
    </w:p>
    <w:p>
      <w:pPr>
        <w:spacing w:after="0" w:line="171" w:lineRule="exact"/>
        <w:rPr>
          <w:rFonts w:ascii="Arial" w:cs="Arial" w:eastAsia="Arial" w:hAnsi="Arial"/>
          <w:sz w:val="17"/>
          <w:szCs w:val="17"/>
          <w:color w:val="auto"/>
        </w:rPr>
      </w:pPr>
    </w:p>
    <w:p>
      <w:pPr>
        <w:ind w:left="-60" w:firstLine="464"/>
        <w:spacing w:after="0" w:line="264" w:lineRule="auto"/>
        <w:tabs>
          <w:tab w:leader="none" w:pos="64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(including pledges or deposits securing liabilities for reimbursement or indemnity arrangements and letter of credit and bank guaranty arrangements with respect thereto), other than any Lien imposed by ERISA;</w:t>
      </w:r>
    </w:p>
    <w:p>
      <w:pPr>
        <w:spacing w:after="0" w:line="181" w:lineRule="exact"/>
        <w:rPr>
          <w:rFonts w:ascii="Arial" w:cs="Arial" w:eastAsia="Arial" w:hAnsi="Arial"/>
          <w:sz w:val="18"/>
          <w:szCs w:val="18"/>
          <w:color w:val="auto"/>
        </w:rPr>
      </w:pPr>
    </w:p>
    <w:p>
      <w:pPr>
        <w:ind w:left="-60" w:right="420" w:firstLine="464"/>
        <w:spacing w:after="0" w:line="277" w:lineRule="auto"/>
        <w:tabs>
          <w:tab w:leader="none" w:pos="62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70" w:lineRule="exact"/>
        <w:rPr>
          <w:rFonts w:ascii="Arial" w:cs="Arial" w:eastAsia="Arial" w:hAnsi="Arial"/>
          <w:sz w:val="18"/>
          <w:szCs w:val="18"/>
          <w:color w:val="auto"/>
        </w:rPr>
      </w:pPr>
    </w:p>
    <w:p>
      <w:pPr>
        <w:jc w:val="both"/>
        <w:ind w:left="-60" w:right="20" w:firstLine="464"/>
        <w:spacing w:after="0" w:line="264" w:lineRule="auto"/>
        <w:tabs>
          <w:tab w:leader="none" w:pos="65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1" w:lineRule="exact"/>
        <w:rPr>
          <w:rFonts w:ascii="Arial" w:cs="Arial" w:eastAsia="Arial" w:hAnsi="Arial"/>
          <w:sz w:val="18"/>
          <w:szCs w:val="18"/>
          <w:color w:val="auto"/>
        </w:rPr>
      </w:pPr>
    </w:p>
    <w:p>
      <w:pPr>
        <w:ind w:left="-60" w:right="320" w:firstLine="464"/>
        <w:spacing w:after="0" w:line="277" w:lineRule="auto"/>
        <w:tabs>
          <w:tab w:leader="none" w:pos="65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attachment Liens securing judgments for the payment of money (or appeal or other surety bonds relating to such judgments)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0" w:right="140" w:firstLine="464"/>
        <w:spacing w:after="0" w:line="279" w:lineRule="auto"/>
        <w:tabs>
          <w:tab w:leader="none" w:pos="61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u w:val="single" w:color="auto"/>
          <w:color w:val="auto"/>
        </w:rPr>
        <w:t>Section 7.02(c)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do not at any time encumber any property other than the property financed by such Indebtedness, and any additions, improvements and attachments thereto and the proceeds thereof and reasonable and customary security deposits in connection therewith, and (ii) the Indebtedness secured thereby does not exceed the cost or fair market value, whichever is lower, of the property being acquired on the date of acquisition or the cost of such construction or improvement;</w:t>
      </w:r>
    </w:p>
    <w:p>
      <w:pPr>
        <w:spacing w:after="0" w:line="171" w:lineRule="exact"/>
        <w:rPr>
          <w:rFonts w:ascii="Arial" w:cs="Arial" w:eastAsia="Arial" w:hAnsi="Arial"/>
          <w:sz w:val="17"/>
          <w:szCs w:val="17"/>
          <w:color w:val="auto"/>
        </w:rPr>
      </w:pPr>
    </w:p>
    <w:p>
      <w:pPr>
        <w:jc w:val="both"/>
        <w:ind w:left="-60" w:right="60" w:firstLine="464"/>
        <w:spacing w:after="0" w:line="279" w:lineRule="auto"/>
        <w:tabs>
          <w:tab w:leader="none" w:pos="61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bankers’ Liens, rights of setoff and other similar Liens existing solely with respect to cash and Cash Equivalents on deposit in one or more accounts maintained by the Borrower or any of its Subsidiaries, in each case in the ordinary course of business in favor of the bank or banks with which such accounts are maintained, securing solely the customary amounts owing to such bank with respect to cash management and operating account arrangements;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case shall any such Liens secure (either directly or indirectly) the repayment of any Indebtedness;</w:t>
      </w:r>
    </w:p>
    <w:p>
      <w:pPr>
        <w:spacing w:after="0" w:line="171" w:lineRule="exact"/>
        <w:rPr>
          <w:rFonts w:ascii="Arial" w:cs="Arial" w:eastAsia="Arial" w:hAnsi="Arial"/>
          <w:sz w:val="17"/>
          <w:szCs w:val="17"/>
          <w:color w:val="auto"/>
        </w:rPr>
      </w:pPr>
    </w:p>
    <w:p>
      <w:pPr>
        <w:ind w:left="-60" w:right="140" w:firstLine="464"/>
        <w:spacing w:after="0" w:line="277" w:lineRule="auto"/>
        <w:tabs>
          <w:tab w:leader="none" w:pos="65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leases or subleases or licenses or sublicenses granted to others and not interfering in any material respect with the business of the Borrower or any Subsidiary;</w:t>
      </w:r>
    </w:p>
    <w:p>
      <w:pPr>
        <w:spacing w:after="0" w:line="170" w:lineRule="exact"/>
        <w:rPr>
          <w:rFonts w:ascii="Arial" w:cs="Arial" w:eastAsia="Arial" w:hAnsi="Arial"/>
          <w:sz w:val="18"/>
          <w:szCs w:val="18"/>
          <w:color w:val="auto"/>
        </w:rPr>
      </w:pPr>
    </w:p>
    <w:p>
      <w:pPr>
        <w:ind w:left="-60" w:right="180" w:firstLine="464"/>
        <w:spacing w:after="0" w:line="277" w:lineRule="auto"/>
        <w:tabs>
          <w:tab w:leader="none" w:pos="6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Liens arising out of judgments or awards not resulting in an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applicable Loan Party or Subsidiary shall in good faith be prosecuting an appeal or proceedings for review;</w:t>
      </w:r>
    </w:p>
    <w:p>
      <w:pPr>
        <w:spacing w:after="0" w:line="170" w:lineRule="exact"/>
        <w:rPr>
          <w:rFonts w:ascii="Arial" w:cs="Arial" w:eastAsia="Arial" w:hAnsi="Arial"/>
          <w:sz w:val="18"/>
          <w:szCs w:val="18"/>
          <w:color w:val="auto"/>
        </w:rPr>
      </w:pPr>
    </w:p>
    <w:p>
      <w:pPr>
        <w:ind w:left="-60" w:right="120" w:firstLine="464"/>
        <w:spacing w:after="0" w:line="277" w:lineRule="auto"/>
        <w:tabs>
          <w:tab w:leader="none" w:pos="7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interest or title of a lessor, licensor or sublessor under any lease, license or sublease entered into by any Loan Party or any Subsidiary thereof in the ordinary course of business and covering only the assets so leased, licensed or subleased;</w:t>
      </w:r>
    </w:p>
    <w:p>
      <w:pPr>
        <w:spacing w:after="0" w:line="170" w:lineRule="exact"/>
        <w:rPr>
          <w:rFonts w:ascii="Arial" w:cs="Arial" w:eastAsia="Arial" w:hAnsi="Arial"/>
          <w:sz w:val="18"/>
          <w:szCs w:val="18"/>
          <w:color w:val="auto"/>
        </w:rPr>
      </w:pPr>
    </w:p>
    <w:p>
      <w:pPr>
        <w:ind w:left="-60" w:right="40" w:firstLine="464"/>
        <w:spacing w:after="0" w:line="264" w:lineRule="auto"/>
        <w:tabs>
          <w:tab w:leader="none" w:pos="65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of a collection bank arising under Section 4-210 of the UCC (or, if applicable, the corresponding section of the UCC or other Law in effect in the relevant jurisdiction) on items in the course of collection including Liens for any overdraft and related liabilities arising under Cash Management Agreements;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20"/>
          </w:cols>
          <w:pgMar w:left="300" w:top="274" w:right="279" w:bottom="1440" w:gutter="0" w:footer="0" w:header="0"/>
        </w:sectPr>
      </w:pPr>
    </w:p>
    <w:bookmarkStart w:id="97" w:name="page98"/>
    <w:bookmarkEnd w:id="97"/>
    <w:p>
      <w:pPr>
        <w:ind w:left="720" w:hanging="256"/>
        <w:spacing w:after="0"/>
        <w:tabs>
          <w:tab w:leader="none" w:pos="720" w:val="left"/>
        </w:tabs>
        <w:numPr>
          <w:ilvl w:val="1"/>
          <w:numId w:val="122"/>
        </w:numPr>
        <w:rPr>
          <w:rFonts w:ascii="Arial" w:cs="Arial" w:eastAsia="Arial" w:hAnsi="Arial"/>
          <w:sz w:val="18"/>
          <w:szCs w:val="18"/>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the Fabrinet Thailand Real Property solely to the extent such Liens secure the TMB Term Indebtedness</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zoning, building or similar laws or rights reserved to or vested in any Governmental Authority;</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Cash-secured standby letters of credit in an aggregate amount at any time outstanding not to exceed $5,000,000;</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7.03(a)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464"/>
        <w:spacing w:after="0" w:line="291" w:lineRule="auto"/>
        <w:tabs>
          <w:tab w:leader="none" w:pos="69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(i) at the time such Person is merged into or consolidated with the Borrower or any Subsidiary or (ii) at the time such Person becomes a Subsidiary or (iii) on any property or assets prior to the acquisition thereof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jc w:val="both"/>
        <w:ind w:firstLine="8"/>
        <w:spacing w:after="0" w:line="254" w:lineRule="auto"/>
        <w:tabs>
          <w:tab w:leader="none" w:pos="2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such Liens were not created in contemplation of such merger, consolidation, Investment or acquisition, (B) such Liens do not encumber any property other than the property encumbered at the time of such merger, consolidation, Investment or acquisition, and the proceeds and products thereof, (C) such Liens do not extend to any assets other than those of the Person so merged, consolidated or acquired and its Subsidiaries or the assets so acquired, and (D) any Indebtedness secured by such Liens permitted under </w:t>
      </w:r>
      <w:r>
        <w:rPr>
          <w:rFonts w:ascii="Arial" w:cs="Arial" w:eastAsia="Arial" w:hAnsi="Arial"/>
          <w:sz w:val="18"/>
          <w:szCs w:val="18"/>
          <w:u w:val="single" w:color="auto"/>
          <w:color w:val="auto"/>
        </w:rPr>
        <w:t>Section 7.02(f)</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60" w:firstLine="464"/>
        <w:spacing w:after="0" w:line="277" w:lineRule="auto"/>
        <w:tabs>
          <w:tab w:leader="none" w:pos="67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Customary Liens on insurance proceeds securing financed insurance premiums in the ordinary course of business;</w:t>
      </w:r>
    </w:p>
    <w:p>
      <w:pPr>
        <w:spacing w:after="0" w:line="225" w:lineRule="exact"/>
        <w:rPr>
          <w:rFonts w:ascii="Arial" w:cs="Arial" w:eastAsia="Arial" w:hAnsi="Arial"/>
          <w:sz w:val="18"/>
          <w:szCs w:val="18"/>
          <w:color w:val="auto"/>
        </w:rPr>
      </w:pPr>
    </w:p>
    <w:p>
      <w:pPr>
        <w:jc w:val="both"/>
        <w:ind w:right="100" w:firstLine="464"/>
        <w:spacing w:after="0" w:line="264" w:lineRule="auto"/>
        <w:tabs>
          <w:tab w:leader="none" w:pos="71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licenses of intellectual property in the ordinary course of business (including intercompany licensing of intellectual property between the Borrower and any Subsidiary or between Subsidiaries in connection with cost sharing arrangements, distribution, marketing, make sell and other similar arrangements) not interfering in any material respect with the business of the Borrower and its Subsidiaries.</w:t>
      </w:r>
    </w:p>
    <w:p>
      <w:pPr>
        <w:spacing w:after="0" w:line="181" w:lineRule="exact"/>
        <w:rPr>
          <w:rFonts w:ascii="Arial" w:cs="Arial" w:eastAsia="Arial" w:hAnsi="Arial"/>
          <w:sz w:val="18"/>
          <w:szCs w:val="18"/>
          <w:color w:val="auto"/>
        </w:rPr>
      </w:pPr>
    </w:p>
    <w:p>
      <w:pPr>
        <w:ind w:right="160" w:firstLine="464"/>
        <w:spacing w:after="0" w:line="277" w:lineRule="auto"/>
        <w:tabs>
          <w:tab w:leader="none" w:pos="75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Liens on any cash earnest money deposit made by the Borrower or any Subsidiary in connection with any letter of intent or acquisition agreement relating to a Permitted Acquisition, Disposition or other transaction that is not prohibited by this Agreement;</w:t>
      </w:r>
    </w:p>
    <w:p>
      <w:pPr>
        <w:spacing w:after="0" w:line="170" w:lineRule="exact"/>
        <w:rPr>
          <w:rFonts w:ascii="Arial" w:cs="Arial" w:eastAsia="Arial" w:hAnsi="Arial"/>
          <w:sz w:val="18"/>
          <w:szCs w:val="18"/>
          <w:color w:val="auto"/>
        </w:rPr>
      </w:pPr>
    </w:p>
    <w:p>
      <w:pPr>
        <w:jc w:val="both"/>
        <w:ind w:right="240" w:firstLine="464"/>
        <w:spacing w:after="0" w:line="286" w:lineRule="auto"/>
        <w:tabs>
          <w:tab w:leader="none" w:pos="711" w:val="left"/>
        </w:tabs>
        <w:numPr>
          <w:ilvl w:val="1"/>
          <w:numId w:val="123"/>
        </w:numPr>
        <w:rPr>
          <w:rFonts w:ascii="Arial" w:cs="Arial" w:eastAsia="Arial" w:hAnsi="Arial"/>
          <w:sz w:val="17"/>
          <w:szCs w:val="17"/>
          <w:color w:val="auto"/>
        </w:rPr>
      </w:pPr>
      <w:r>
        <w:rPr>
          <w:rFonts w:ascii="Arial" w:cs="Arial" w:eastAsia="Arial" w:hAnsi="Arial"/>
          <w:sz w:val="17"/>
          <w:szCs w:val="17"/>
          <w:color w:val="auto"/>
        </w:rPr>
        <w:t>Customary Liens granted in favor of a trustee pursuant to an indenture relating to Indebtedness not prohibited under this Agreement to the extent such Liens (i) secure only customary compensation, indemnification and reimbursement obligations owing to such trustee under such indenture and (ii) are limited to the cash held by the trustee (excluding cash held in trust for the payment of such Indebtedness);</w:t>
      </w:r>
    </w:p>
    <w:p>
      <w:pPr>
        <w:spacing w:after="0" w:line="165" w:lineRule="exact"/>
        <w:rPr>
          <w:rFonts w:ascii="Arial" w:cs="Arial" w:eastAsia="Arial" w:hAnsi="Arial"/>
          <w:sz w:val="17"/>
          <w:szCs w:val="17"/>
          <w:color w:val="auto"/>
        </w:rPr>
      </w:pPr>
    </w:p>
    <w:p>
      <w:pPr>
        <w:ind w:right="380" w:firstLine="464"/>
        <w:spacing w:after="0" w:line="277" w:lineRule="auto"/>
        <w:tabs>
          <w:tab w:leader="none" w:pos="71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customary rights of first refusal, voting, redemption, transfer or other restrictions with respect to Equity Interests in any joint venture entities or other Persons that are not Subsidiaries;</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Liens arising on any real property as a result of eminent domain, condemnation or similar proceedings being commenced with respect to such real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211" w:lineRule="exact"/>
        <w:rPr>
          <w:sz w:val="20"/>
          <w:szCs w:val="20"/>
          <w:color w:val="auto"/>
        </w:rPr>
      </w:pPr>
    </w:p>
    <w:p>
      <w:pPr>
        <w:ind w:right="140" w:firstLine="464"/>
        <w:spacing w:after="0" w:line="286" w:lineRule="auto"/>
        <w:tabs>
          <w:tab w:leader="none" w:pos="78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Liens in favor of Governmental Authorities securing the obligations of the Borrower and is Subsidiaries in jurisdictions outside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are acquired by such Governmental Authorities in order for the Borrower or such Subsidiary to conduct business in such jurisdiction and (ii) such Liens do not extend to any assets other than those of Borrower or such Subsidiary;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(bb) Liens not to exceed $2,000,000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shall extend to or cover any Collateral.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7.02 </w:t>
      </w:r>
      <w:r>
        <w:rPr>
          <w:rFonts w:ascii="Arial" w:cs="Arial" w:eastAsia="Arial" w:hAnsi="Arial"/>
          <w:sz w:val="18"/>
          <w:szCs w:val="18"/>
          <w:b w:val="1"/>
          <w:bCs w:val="1"/>
          <w:u w:val="single" w:color="auto"/>
          <w:color w:val="auto"/>
        </w:rPr>
        <w:t>Indebtedness</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Create, incur, assume or suffer to exist any Indebtedness, except:</w:t>
      </w:r>
    </w:p>
    <w:p>
      <w:pPr>
        <w:spacing w:after="0" w:line="225" w:lineRule="exact"/>
        <w:rPr>
          <w:sz w:val="20"/>
          <w:szCs w:val="20"/>
          <w:color w:val="auto"/>
        </w:rPr>
      </w:pPr>
    </w:p>
    <w:p>
      <w:pPr>
        <w:ind w:left="700" w:hanging="236"/>
        <w:spacing w:after="0"/>
        <w:tabs>
          <w:tab w:leader="none" w:pos="7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ind w:right="60" w:firstLine="464"/>
        <w:spacing w:after="0" w:line="293" w:lineRule="auto"/>
        <w:tabs>
          <w:tab w:leader="none" w:pos="711"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Indebtedness outstanding on the date hereof (or, in the case of any line of credit facility, available to be drawn thereunder) and listed on </w:t>
      </w:r>
      <w:r>
        <w:rPr>
          <w:rFonts w:ascii="Arial" w:cs="Arial" w:eastAsia="Arial" w:hAnsi="Arial"/>
          <w:sz w:val="16"/>
          <w:szCs w:val="16"/>
          <w:u w:val="single" w:color="auto"/>
          <w:color w:val="auto"/>
        </w:rPr>
        <w:t>Schedule 7.02</w:t>
      </w:r>
      <w:r>
        <w:rPr>
          <w:rFonts w:ascii="Arial" w:cs="Arial" w:eastAsia="Arial" w:hAnsi="Arial"/>
          <w:sz w:val="16"/>
          <w:szCs w:val="16"/>
          <w:color w:val="auto"/>
        </w:rPr>
        <w:t xml:space="preserve"> to the Disclosure Letter and any refinancings, refundings,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of such Indebtedness (or, in the case of any line of credit facility, the maxium principal amount available to be drawn thereunder) is not increased at the time of such refinancing, refunding, renewal or extension except by an amount equal to a reasonable premium or other reasonable amounts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w:t>
      </w:r>
    </w:p>
    <w:p>
      <w:pPr>
        <w:spacing w:after="0" w:line="164" w:lineRule="exact"/>
        <w:rPr>
          <w:rFonts w:ascii="Arial" w:cs="Arial" w:eastAsia="Arial" w:hAnsi="Arial"/>
          <w:sz w:val="16"/>
          <w:szCs w:val="16"/>
          <w:color w:val="auto"/>
        </w:rPr>
      </w:pPr>
    </w:p>
    <w:p>
      <w:pPr>
        <w:ind w:right="180" w:firstLine="464"/>
        <w:spacing w:after="0" w:line="264" w:lineRule="auto"/>
        <w:tabs>
          <w:tab w:leader="none" w:pos="70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Indebtedness in respect of Capitalized Leases, Synthetic Lease Obligations and purchase money obligations for the purchase, construction or improvement of fixed or capital assets within the limitations set forth in </w:t>
      </w:r>
      <w:r>
        <w:rPr>
          <w:rFonts w:ascii="Arial" w:cs="Arial" w:eastAsia="Arial" w:hAnsi="Arial"/>
          <w:sz w:val="18"/>
          <w:szCs w:val="18"/>
          <w:u w:val="single" w:color="auto"/>
          <w:color w:val="auto"/>
        </w:rPr>
        <w:t>Section 7.01(i)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principal amount of all such Indebtedness at any one time outstanding shall not exceed $5,000,000;</w:t>
      </w:r>
    </w:p>
    <w:p>
      <w:pPr>
        <w:spacing w:after="0" w:line="181" w:lineRule="exact"/>
        <w:rPr>
          <w:rFonts w:ascii="Arial" w:cs="Arial" w:eastAsia="Arial" w:hAnsi="Arial"/>
          <w:sz w:val="18"/>
          <w:szCs w:val="18"/>
          <w:color w:val="auto"/>
        </w:rPr>
      </w:pPr>
    </w:p>
    <w:p>
      <w:pPr>
        <w:jc w:val="both"/>
        <w:ind w:right="20" w:firstLine="464"/>
        <w:spacing w:after="0" w:line="264" w:lineRule="auto"/>
        <w:tabs>
          <w:tab w:leader="none" w:pos="71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Unsecured Indebtedness of a Subsidiary of the Borrower owed to the Borrower or a Subsidiary of the Borrower, which Indebtedness, in the case of Indebtedness owing by a Loan Party to a Subsidiary that is not a Loan Party, shall (i) be subordinated by its terms in right of payment to the prior payment of the Obligations and (ii) be otherwise permitted under the provisions of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Intercompany Debt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Guarantees in respect of Indebtedness permitted hereunder;</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 Indebtedness of any Person that becomes a Subsidiary of the Borrower after the date hereof in a transaction permitted hereunder and</w:t>
      </w:r>
    </w:p>
    <w:p>
      <w:pPr>
        <w:spacing w:after="0" w:line="34" w:lineRule="exact"/>
        <w:rPr>
          <w:rFonts w:ascii="Arial" w:cs="Arial" w:eastAsia="Arial" w:hAnsi="Arial"/>
          <w:sz w:val="17"/>
          <w:szCs w:val="17"/>
          <w:color w:val="auto"/>
        </w:rPr>
      </w:pPr>
    </w:p>
    <w:p>
      <w:pPr>
        <w:ind w:right="80" w:firstLine="8"/>
        <w:spacing w:after="0" w:line="302" w:lineRule="auto"/>
        <w:tabs>
          <w:tab w:leader="none" w:pos="26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Indebtedness in the form of seller notes issued in connection with a Permitted Acquisition, in the case of clause (i) and (ii) combined in an aggregate principal amount of such Indebtedness not to exceed $25,000,000;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existing at the time such Person becomes a Subsidiary of the Borrower and, other than seller financing, was not incurred solely in contemplation of such Person’s becoming a Subsidiary of the Borrower;</w:t>
      </w:r>
    </w:p>
    <w:p>
      <w:pPr>
        <w:spacing w:after="0" w:line="155" w:lineRule="exact"/>
        <w:rPr>
          <w:rFonts w:ascii="Arial" w:cs="Arial" w:eastAsia="Arial" w:hAnsi="Arial"/>
          <w:sz w:val="16"/>
          <w:szCs w:val="16"/>
          <w:color w:val="auto"/>
        </w:rPr>
      </w:pPr>
    </w:p>
    <w:p>
      <w:pPr>
        <w:ind w:firstLine="464"/>
        <w:spacing w:after="0" w:line="312" w:lineRule="auto"/>
        <w:tabs>
          <w:tab w:leader="none" w:pos="711" w:val="left"/>
        </w:tabs>
        <w:numPr>
          <w:ilvl w:val="1"/>
          <w:numId w:val="126"/>
        </w:numPr>
        <w:rPr>
          <w:rFonts w:ascii="Arial" w:cs="Arial" w:eastAsia="Arial" w:hAnsi="Arial"/>
          <w:sz w:val="16"/>
          <w:szCs w:val="16"/>
          <w:color w:val="auto"/>
        </w:rPr>
      </w:pPr>
      <w:r>
        <w:rPr>
          <w:rFonts w:ascii="Arial" w:cs="Arial" w:eastAsia="Arial" w:hAnsi="Arial"/>
          <w:sz w:val="16"/>
          <w:szCs w:val="16"/>
          <w:color w:val="auto"/>
        </w:rPr>
        <w:t>obligations (contingent or otherwise) existing or arising under any Swap Contract, provided that (i) such obligations are (or were) entered into by such Person for the purpose of directly mitigating risks associated with fluctuations in interest rates or foreign exchange rates and (ii) such Swap Contract does not contain any provision exonerating the non-defaulting party from its obligation to make payments on outstanding transactions to the defaulting party;</w:t>
      </w:r>
    </w:p>
    <w:p>
      <w:pPr>
        <w:spacing w:after="0" w:line="146" w:lineRule="exact"/>
        <w:rPr>
          <w:rFonts w:ascii="Arial" w:cs="Arial" w:eastAsia="Arial" w:hAnsi="Arial"/>
          <w:sz w:val="16"/>
          <w:szCs w:val="16"/>
          <w:color w:val="auto"/>
        </w:rPr>
      </w:pPr>
    </w:p>
    <w:p>
      <w:pPr>
        <w:ind w:left="720" w:hanging="256"/>
        <w:spacing w:after="0"/>
        <w:tabs>
          <w:tab w:leader="none" w:pos="720" w:val="left"/>
        </w:tabs>
        <w:numPr>
          <w:ilvl w:val="1"/>
          <w:numId w:val="126"/>
        </w:numPr>
        <w:rPr>
          <w:rFonts w:ascii="Arial" w:cs="Arial" w:eastAsia="Arial" w:hAnsi="Arial"/>
          <w:sz w:val="16"/>
          <w:szCs w:val="16"/>
          <w:color w:val="auto"/>
        </w:rPr>
      </w:pPr>
      <w:r>
        <w:rPr>
          <w:rFonts w:ascii="Arial" w:cs="Arial" w:eastAsia="Arial" w:hAnsi="Arial"/>
          <w:sz w:val="16"/>
          <w:szCs w:val="16"/>
          <w:color w:val="auto"/>
          <w:strike w:val="1"/>
        </w:rPr>
        <w:t>Indebtedness in an aggregate principal amount at any time outstanding not to exceed $200,000,000 having a maturity date no earlier than one</w:t>
      </w:r>
    </w:p>
    <w:p>
      <w:pPr>
        <w:spacing w:after="0" w:line="46" w:lineRule="exact"/>
        <w:rPr>
          <w:sz w:val="20"/>
          <w:szCs w:val="20"/>
          <w:color w:val="auto"/>
        </w:rPr>
      </w:pPr>
    </w:p>
    <w:p>
      <w:pPr>
        <w:jc w:val="both"/>
        <w:ind w:right="360" w:firstLine="8"/>
        <w:spacing w:after="0" w:line="281" w:lineRule="auto"/>
        <w:tabs>
          <w:tab w:leader="none" w:pos="255" w:val="left"/>
        </w:tabs>
        <w:numPr>
          <w:ilvl w:val="0"/>
          <w:numId w:val="127"/>
        </w:numPr>
        <w:rPr>
          <w:rFonts w:ascii="Arial" w:cs="Arial" w:eastAsia="Arial" w:hAnsi="Arial"/>
          <w:sz w:val="16"/>
          <w:szCs w:val="16"/>
          <w:color w:val="auto"/>
          <w:strike w:val="1"/>
        </w:rPr>
      </w:pPr>
      <w:r>
        <w:rPr>
          <w:rFonts w:ascii="Arial" w:cs="Arial" w:eastAsia="Arial" w:hAnsi="Arial"/>
          <w:sz w:val="16"/>
          <w:szCs w:val="16"/>
          <w:color w:val="auto"/>
          <w:strike w:val="1"/>
        </w:rPr>
        <w:t xml:space="preserve">year following the Maturity Date, evidenced by the Convertible Subordinated Debt Securities Documents; </w:t>
      </w:r>
      <w:r>
        <w:rPr>
          <w:rFonts w:ascii="Arial" w:cs="Arial" w:eastAsia="Arial" w:hAnsi="Arial"/>
          <w:sz w:val="16"/>
          <w:szCs w:val="16"/>
          <w:u w:val="single" w:color="auto"/>
          <w:color w:val="auto"/>
          <w:strike w:val="1"/>
        </w:rPr>
        <w:t>Any Convertible Debt Security so long as</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immediately after giving Pro Forma effect to the issuance of such Convertible Debt Security the Consolidated Total Leverage Ratio is no greater than (i)</w:t>
      </w:r>
    </w:p>
    <w:p>
      <w:pPr>
        <w:spacing w:after="0" w:line="1" w:lineRule="exact"/>
        <w:rPr>
          <w:rFonts w:ascii="Arial" w:cs="Arial" w:eastAsia="Arial" w:hAnsi="Arial"/>
          <w:sz w:val="16"/>
          <w:szCs w:val="16"/>
          <w:color w:val="auto"/>
          <w:strike w:val="1"/>
        </w:rPr>
      </w:pPr>
    </w:p>
    <w:p>
      <w:pPr>
        <w:ind w:right="180"/>
        <w:spacing w:after="0" w:line="261" w:lineRule="auto"/>
        <w:rPr>
          <w:rFonts w:ascii="Arial" w:cs="Arial" w:eastAsia="Arial" w:hAnsi="Arial"/>
          <w:sz w:val="16"/>
          <w:szCs w:val="16"/>
          <w:color w:val="auto"/>
          <w:strike w:val="1"/>
        </w:rPr>
      </w:pPr>
      <w:r>
        <w:rPr>
          <w:rFonts w:ascii="Arial" w:cs="Arial" w:eastAsia="Arial" w:hAnsi="Arial"/>
          <w:sz w:val="18"/>
          <w:szCs w:val="18"/>
          <w:u w:val="single" w:color="auto"/>
          <w:color w:val="auto"/>
        </w:rPr>
        <w:t>0.25x less than the maximum permitted ratio then applicable under Section 7.11(c) or (ii)</w:t>
      </w:r>
      <w:r>
        <w:rPr>
          <w:rFonts w:ascii="Arial" w:cs="Arial" w:eastAsia="Arial" w:hAnsi="Arial"/>
          <w:sz w:val="18"/>
          <w:szCs w:val="18"/>
          <w:color w:val="auto"/>
        </w:rPr>
        <w:t xml:space="preserve"> to the extent such Convertible Debt Security is issued as part of a </w:t>
      </w:r>
      <w:r>
        <w:rPr>
          <w:rFonts w:ascii="Arial" w:cs="Arial" w:eastAsia="Arial" w:hAnsi="Arial"/>
          <w:sz w:val="18"/>
          <w:szCs w:val="18"/>
          <w:u w:val="single" w:color="auto"/>
          <w:color w:val="auto"/>
        </w:rPr>
        <w:t>Leverage Event, the amount applicable described in Section 7.11(c);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-173990</wp:posOffset>
            </wp:positionV>
            <wp:extent cx="30124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12440" cy="8890"/>
                    </a:xfrm>
                    <a:prstGeom prst="rect">
                      <a:avLst/>
                    </a:prstGeom>
                    <a:noFill/>
                  </pic:spPr>
                </pic:pic>
              </a:graphicData>
            </a:graphic>
          </wp:anchor>
        </w:drawing>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274" w:right="319" w:bottom="1440" w:gutter="0" w:footer="0" w:header="0"/>
        </w:sectPr>
      </w:pPr>
    </w:p>
    <w:bookmarkStart w:id="99" w:name="page100"/>
    <w:bookmarkEnd w:id="99"/>
    <w:p>
      <w:pPr>
        <w:ind w:left="680" w:hanging="216"/>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TMB Term Indebtedness</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464"/>
        <w:spacing w:after="0" w:line="264" w:lineRule="auto"/>
        <w:tabs>
          <w:tab w:leader="none" w:pos="67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Indebtedness in respect of surety, appeal, indemnity, performance or similar bonds and performance and completion guarantees and similar obligations or obligations in respect of letters of credit, bank guarantees or similar instruments related thereto, in each case incurred in the ordinary course of business;</w:t>
      </w:r>
    </w:p>
    <w:p>
      <w:pPr>
        <w:spacing w:after="0" w:line="181" w:lineRule="exact"/>
        <w:rPr>
          <w:rFonts w:ascii="Arial" w:cs="Arial" w:eastAsia="Arial" w:hAnsi="Arial"/>
          <w:sz w:val="18"/>
          <w:szCs w:val="18"/>
          <w:color w:val="auto"/>
        </w:rPr>
      </w:pPr>
    </w:p>
    <w:p>
      <w:pPr>
        <w:ind w:firstLine="464"/>
        <w:spacing w:after="0" w:line="342" w:lineRule="auto"/>
        <w:tabs>
          <w:tab w:leader="none" w:pos="71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Indebtedness in connection with customary Cash Management Agreements and from the honoring by a bank or financial institution of a check, draft or similar instrument drawn against insufficient funds or from the endorsement of instruments for collection, in each case, in the ordinary course of business;</w:t>
      </w:r>
    </w:p>
    <w:p>
      <w:pPr>
        <w:spacing w:after="0" w:line="123" w:lineRule="exact"/>
        <w:rPr>
          <w:rFonts w:ascii="Arial" w:cs="Arial" w:eastAsia="Arial" w:hAnsi="Arial"/>
          <w:sz w:val="16"/>
          <w:szCs w:val="16"/>
          <w:color w:val="auto"/>
        </w:rPr>
      </w:pPr>
    </w:p>
    <w:p>
      <w:pPr>
        <w:ind w:right="580" w:firstLine="464"/>
        <w:spacing w:after="0" w:line="277" w:lineRule="auto"/>
        <w:tabs>
          <w:tab w:leader="none" w:pos="67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and services purchased in the ordinary course of business;</w:t>
      </w:r>
    </w:p>
    <w:p>
      <w:pPr>
        <w:spacing w:after="0" w:line="170" w:lineRule="exact"/>
        <w:rPr>
          <w:rFonts w:ascii="Arial" w:cs="Arial" w:eastAsia="Arial" w:hAnsi="Arial"/>
          <w:sz w:val="18"/>
          <w:szCs w:val="18"/>
          <w:color w:val="auto"/>
        </w:rPr>
      </w:pPr>
    </w:p>
    <w:p>
      <w:pPr>
        <w:ind w:left="760" w:hanging="296"/>
        <w:spacing w:after="0"/>
        <w:tabs>
          <w:tab w:leader="none" w:pos="7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Indebtedness consisting of obligations under repurchase agreements constituting Cash Equivalents at the time such Investment was made;</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Indebtedness arising under any Permitted Call Spread Swap Agreement;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Indebtedness consisting of financing of insurance premiums;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Other Indebtedness in an aggregate principal amount not to exceed $5,000,000 at any time outstanding.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7.03 </w:t>
      </w:r>
      <w:r>
        <w:rPr>
          <w:rFonts w:ascii="Arial" w:cs="Arial" w:eastAsia="Arial" w:hAnsi="Arial"/>
          <w:sz w:val="18"/>
          <w:szCs w:val="18"/>
          <w:b w:val="1"/>
          <w:bCs w:val="1"/>
          <w:u w:val="single" w:color="auto"/>
          <w:color w:val="auto"/>
        </w:rPr>
        <w:t>Investments</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Make or hold any Investments, except:</w:t>
      </w:r>
    </w:p>
    <w:p>
      <w:pPr>
        <w:spacing w:after="0" w:line="225" w:lineRule="exact"/>
        <w:rPr>
          <w:sz w:val="20"/>
          <w:szCs w:val="20"/>
          <w:color w:val="auto"/>
        </w:rPr>
      </w:pPr>
    </w:p>
    <w:p>
      <w:pPr>
        <w:ind w:left="700" w:hanging="236"/>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Investments held by the Company and its Subsidiaries in the form of cash or Cash Equivalents;</w:t>
      </w:r>
    </w:p>
    <w:p>
      <w:pPr>
        <w:spacing w:after="0" w:line="225" w:lineRule="exact"/>
        <w:rPr>
          <w:rFonts w:ascii="Arial" w:cs="Arial" w:eastAsia="Arial" w:hAnsi="Arial"/>
          <w:sz w:val="18"/>
          <w:szCs w:val="18"/>
          <w:color w:val="auto"/>
        </w:rPr>
      </w:pPr>
    </w:p>
    <w:p>
      <w:pPr>
        <w:ind w:right="540" w:firstLine="464"/>
        <w:spacing w:after="0" w:line="277" w:lineRule="auto"/>
        <w:tabs>
          <w:tab w:leader="none" w:pos="7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advances to officers, directors and employees of the Company and Subsidiaries in an aggregate amount not to exceed $3,000,000 at any time outstanding, for travel, entertainment, relocation and analogous ordinary business purposes;</w:t>
      </w:r>
    </w:p>
    <w:p>
      <w:pPr>
        <w:spacing w:after="0" w:line="170" w:lineRule="exact"/>
        <w:rPr>
          <w:rFonts w:ascii="Arial" w:cs="Arial" w:eastAsia="Arial" w:hAnsi="Arial"/>
          <w:sz w:val="18"/>
          <w:szCs w:val="18"/>
          <w:color w:val="auto"/>
        </w:rPr>
      </w:pPr>
    </w:p>
    <w:p>
      <w:pPr>
        <w:ind w:right="280" w:firstLine="464"/>
        <w:spacing w:after="0" w:line="257"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Investments by the Company and its Subsidiaries in the Company or any of its Subsidiaries outstanding on the date hereof, (ii) additional Investments by the Company and its Subsidiaries in Loan Parties, (iii) additional Investments by Subsidiaries of the Company that are not Loan Parties in other Subsidiaries that are not Loan Parties and (iv) so long as no Default has occurred and is continuing or would result from such Investment, additional Investments by the Loan Parties in Subsidiaries that are not Loan Parties in an aggregate amount invested from the date hereof not to exceed the Available Amount at any time;</w:t>
      </w:r>
    </w:p>
    <w:p>
      <w:pPr>
        <w:spacing w:after="0" w:line="188" w:lineRule="exact"/>
        <w:rPr>
          <w:rFonts w:ascii="Arial" w:cs="Arial" w:eastAsia="Arial" w:hAnsi="Arial"/>
          <w:sz w:val="18"/>
          <w:szCs w:val="18"/>
          <w:color w:val="auto"/>
        </w:rPr>
      </w:pPr>
    </w:p>
    <w:p>
      <w:pPr>
        <w:ind w:right="120" w:firstLine="464"/>
        <w:spacing w:after="0" w:line="279" w:lineRule="auto"/>
        <w:tabs>
          <w:tab w:leader="none" w:pos="71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Investments consisting of extensions of credit in the nature of accounts receivable or notes receivable arising from the grant of trade credit in the ordinary course of business, intercompany receivables and intercompany charges or expenses in the ordinary course of business, prepayment or other credits to suppliers or vendors made in the ordinary course of business and Investments received in satisfaction or partial satisfaction thereof from financially troubled account debtors to the extent reasonably necessary in order to prevent or limit loss;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100" w:name="page101"/>
    <w:bookmarkEnd w:id="100"/>
    <w:p>
      <w:pPr>
        <w:ind w:left="700" w:hanging="236"/>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Investments existing on the date hereof (other than those referred to in </w:t>
      </w:r>
      <w:r>
        <w:rPr>
          <w:rFonts w:ascii="Arial" w:cs="Arial" w:eastAsia="Arial" w:hAnsi="Arial"/>
          <w:sz w:val="16"/>
          <w:szCs w:val="16"/>
          <w:u w:val="single" w:color="auto"/>
          <w:color w:val="auto"/>
        </w:rPr>
        <w:t>Section 7.03(c)(i)</w:t>
      </w:r>
      <w:r>
        <w:rPr>
          <w:rFonts w:ascii="Arial" w:cs="Arial" w:eastAsia="Arial" w:hAnsi="Arial"/>
          <w:sz w:val="16"/>
          <w:szCs w:val="16"/>
          <w:color w:val="auto"/>
        </w:rPr>
        <w:t xml:space="preserve">) and set forth on </w:t>
      </w:r>
      <w:r>
        <w:rPr>
          <w:rFonts w:ascii="Arial" w:cs="Arial" w:eastAsia="Arial" w:hAnsi="Arial"/>
          <w:sz w:val="16"/>
          <w:szCs w:val="16"/>
          <w:u w:val="single" w:color="auto"/>
          <w:color w:val="auto"/>
        </w:rPr>
        <w:t>Schedule 7.03</w:t>
      </w:r>
      <w:r>
        <w:rPr>
          <w:rFonts w:ascii="Arial" w:cs="Arial" w:eastAsia="Arial" w:hAnsi="Arial"/>
          <w:sz w:val="16"/>
          <w:szCs w:val="16"/>
          <w:color w:val="auto"/>
        </w:rPr>
        <w:t xml:space="preserve"> to the Disclosure Letter;</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Permitted Acquisitions (other than Investments that are covered by </w:t>
      </w:r>
      <w:r>
        <w:rPr>
          <w:rFonts w:ascii="Arial" w:cs="Arial" w:eastAsia="Arial" w:hAnsi="Arial"/>
          <w:sz w:val="18"/>
          <w:szCs w:val="18"/>
          <w:u w:val="single" w:color="auto"/>
          <w:color w:val="auto"/>
        </w:rPr>
        <w:t>Section 7.03(c)(iv)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70" w:lineRule="exact"/>
        <w:rPr>
          <w:rFonts w:ascii="Arial" w:cs="Arial" w:eastAsia="Arial" w:hAnsi="Arial"/>
          <w:sz w:val="18"/>
          <w:szCs w:val="18"/>
          <w:color w:val="auto"/>
        </w:rPr>
      </w:pPr>
    </w:p>
    <w:p>
      <w:pPr>
        <w:ind w:firstLine="464"/>
        <w:spacing w:after="0" w:line="264" w:lineRule="auto"/>
        <w:tabs>
          <w:tab w:leader="none" w:pos="67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Investments held by any Person that becomes a Subsidiary of the Company after the Closing Date pursuant to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Investments are existing at the time such Person becomes a Subsidiary of the Company and were not made in contemplation of such Permitted Acquisition;</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Swap Contracts permitted by </w:t>
      </w:r>
      <w:r>
        <w:rPr>
          <w:rFonts w:ascii="Arial" w:cs="Arial" w:eastAsia="Arial" w:hAnsi="Arial"/>
          <w:sz w:val="18"/>
          <w:szCs w:val="18"/>
          <w:u w:val="single" w:color="auto"/>
          <w:color w:val="auto"/>
        </w:rPr>
        <w:t>Section 7.02(g)</w:t>
      </w:r>
      <w:r>
        <w:rPr>
          <w:rFonts w:ascii="Arial" w:cs="Arial" w:eastAsia="Arial" w:hAnsi="Arial"/>
          <w:sz w:val="18"/>
          <w:szCs w:val="18"/>
          <w:color w:val="auto"/>
        </w:rPr>
        <w:t xml:space="preserve"> and Permitted Call Spread Swap Agreements;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to the extent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Investments consisting of non-cash consideration received from any Disposition;</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Investments that consist of or result from a merger or consolidation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ind w:right="520" w:firstLine="464"/>
        <w:spacing w:after="0" w:line="277" w:lineRule="auto"/>
        <w:tabs>
          <w:tab w:leader="none" w:pos="7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Guarantees of the Company or any Subsidiary in respect of leases (other than capitalized leases) or of other obligations that do not constitute Indebtedness, in each case, entered into in the ordinary course of business;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Investments consisting of Restricted Payments permitted by </w:t>
      </w:r>
      <w:r>
        <w:rPr>
          <w:rFonts w:ascii="Arial" w:cs="Arial" w:eastAsia="Arial" w:hAnsi="Arial"/>
          <w:sz w:val="18"/>
          <w:szCs w:val="18"/>
          <w:u w:val="single" w:color="auto"/>
          <w:color w:val="auto"/>
        </w:rPr>
        <w:t>Section 7.06</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other Investments not contemplated by the above provisions not exceeding $5,000,000 in the aggregate in any fiscal year of the Company;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7.04 </w:t>
      </w:r>
      <w:r>
        <w:rPr>
          <w:rFonts w:ascii="Arial" w:cs="Arial" w:eastAsia="Arial" w:hAnsi="Arial"/>
          <w:sz w:val="18"/>
          <w:szCs w:val="18"/>
          <w:b w:val="1"/>
          <w:bCs w:val="1"/>
          <w:u w:val="single" w:color="auto"/>
          <w:color w:val="auto"/>
        </w:rPr>
        <w:t>Fundamental Changes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Merge, dissolve, liquidate, wind-up,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81" w:lineRule="exact"/>
        <w:rPr>
          <w:sz w:val="20"/>
          <w:szCs w:val="20"/>
          <w:color w:val="auto"/>
        </w:rPr>
      </w:pPr>
    </w:p>
    <w:p>
      <w:pPr>
        <w:ind w:right="260" w:firstLine="464"/>
        <w:spacing w:after="0" w:line="342" w:lineRule="auto"/>
        <w:tabs>
          <w:tab w:leader="none" w:pos="70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any Subsidiary may merge with (i)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the continuing or surviving Person, or (ii) any one of more other Subsidiaries; provided that when any Loan Party is merging with another Subsidiary, a Loan Party shall be the continuing or surviving Person;</w:t>
      </w:r>
    </w:p>
    <w:p>
      <w:pPr>
        <w:spacing w:after="0" w:line="123" w:lineRule="exact"/>
        <w:rPr>
          <w:rFonts w:ascii="Arial" w:cs="Arial" w:eastAsia="Arial" w:hAnsi="Arial"/>
          <w:sz w:val="16"/>
          <w:szCs w:val="16"/>
          <w:color w:val="auto"/>
        </w:rPr>
      </w:pPr>
    </w:p>
    <w:p>
      <w:pPr>
        <w:ind w:right="540" w:firstLine="464"/>
        <w:spacing w:after="0" w:line="277" w:lineRule="auto"/>
        <w:tabs>
          <w:tab w:leader="none" w:pos="71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Loan Party (other than the Borrower) may Dispose of all or substantially all of its assets (upon voluntary liquidation or otherwise) to the Borrower or to another Loan Party;</w:t>
      </w:r>
    </w:p>
    <w:p>
      <w:pPr>
        <w:spacing w:after="0" w:line="170" w:lineRule="exact"/>
        <w:rPr>
          <w:rFonts w:ascii="Arial" w:cs="Arial" w:eastAsia="Arial" w:hAnsi="Arial"/>
          <w:sz w:val="18"/>
          <w:szCs w:val="18"/>
          <w:color w:val="auto"/>
        </w:rPr>
      </w:pPr>
    </w:p>
    <w:p>
      <w:pPr>
        <w:ind w:right="760" w:firstLine="464"/>
        <w:spacing w:after="0" w:line="277" w:lineRule="auto"/>
        <w:tabs>
          <w:tab w:leader="none" w:pos="70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Subsidiary that is not a Loan Party may dispose of all or substantially all its assets (including any Disposition that is in the nature of a liquidation, dissolution or winding up) to (i) another Subsidiary that is not a Loan Party or (ii) to a Loan Party;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4" w:right="279" w:bottom="1440" w:gutter="0" w:footer="0" w:header="0"/>
        </w:sectPr>
      </w:pPr>
    </w:p>
    <w:bookmarkStart w:id="101" w:name="page102"/>
    <w:bookmarkEnd w:id="101"/>
    <w:p>
      <w:pPr>
        <w:ind w:right="40" w:firstLine="464"/>
        <w:spacing w:after="0" w:line="259" w:lineRule="auto"/>
        <w:tabs>
          <w:tab w:leader="none" w:pos="7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connection with any Permitted Acquisition, any Subsidiary of the Borrower may merge into or consolidate with any other Person or permit any other Person to merge into or consolidate with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Person surviving such merger shall be a wholly-owned Subsidiary (other than directors’ qualifying shares) of the Borrower and (ii) in the case of any such merger to which any Loan Party (other than the Borrower) is a party, a Loan Party is the surviving Person; and</w:t>
      </w:r>
    </w:p>
    <w:p>
      <w:pPr>
        <w:spacing w:after="0" w:line="186" w:lineRule="exact"/>
        <w:rPr>
          <w:rFonts w:ascii="Arial" w:cs="Arial" w:eastAsia="Arial" w:hAnsi="Arial"/>
          <w:sz w:val="18"/>
          <w:szCs w:val="18"/>
          <w:color w:val="auto"/>
        </w:rPr>
      </w:pPr>
    </w:p>
    <w:p>
      <w:pPr>
        <w:ind w:right="120" w:firstLine="464"/>
        <w:spacing w:after="0" w:line="279" w:lineRule="auto"/>
        <w:tabs>
          <w:tab w:leader="none" w:pos="70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so long as no Default has occurred and is continuing or would result therefrom, each of the Borrower and any of its Subsidiaries may merge into or consolidate with any other Person or permit any other Person to merge into or consolidate with it;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in each case, immediately after giving effect thereto (i) in the case of any such merger to which the Borrower is a party, the Borrower is the surviving Person and (ii) in the case of any such merger to which any Loan Party (other than the Borrower) is a party, a Loan Party is the surviving Person.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7.05 </w:t>
      </w:r>
      <w:r>
        <w:rPr>
          <w:rFonts w:ascii="Arial" w:cs="Arial" w:eastAsia="Arial" w:hAnsi="Arial"/>
          <w:sz w:val="18"/>
          <w:szCs w:val="18"/>
          <w:b w:val="1"/>
          <w:bCs w:val="1"/>
          <w:u w:val="single" w:color="auto"/>
          <w:color w:val="auto"/>
        </w:rPr>
        <w:t>Dispositions</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Make any Disposition or enter into any agreement to make any Disposition, except:</w:t>
      </w:r>
    </w:p>
    <w:p>
      <w:pPr>
        <w:spacing w:after="0" w:line="225" w:lineRule="exact"/>
        <w:rPr>
          <w:sz w:val="20"/>
          <w:szCs w:val="20"/>
          <w:color w:val="auto"/>
        </w:rPr>
      </w:pPr>
    </w:p>
    <w:p>
      <w:pPr>
        <w:ind w:left="700" w:hanging="236"/>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Permitted Transfers;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 in the ordinary course of business;</w:t>
      </w:r>
    </w:p>
    <w:p>
      <w:pPr>
        <w:spacing w:after="0" w:line="225" w:lineRule="exact"/>
        <w:rPr>
          <w:rFonts w:ascii="Arial" w:cs="Arial" w:eastAsia="Arial" w:hAnsi="Arial"/>
          <w:sz w:val="18"/>
          <w:szCs w:val="18"/>
          <w:color w:val="auto"/>
        </w:rPr>
      </w:pPr>
    </w:p>
    <w:p>
      <w:pPr>
        <w:ind w:right="820" w:firstLine="464"/>
        <w:spacing w:after="0" w:line="342" w:lineRule="auto"/>
        <w:tabs>
          <w:tab w:leader="none" w:pos="70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Sections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7.04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unwinding of any Swap Contract </w:t>
      </w:r>
      <w:r>
        <w:rPr>
          <w:rFonts w:ascii="Arial" w:cs="Arial" w:eastAsia="Arial" w:hAnsi="Arial"/>
          <w:sz w:val="18"/>
          <w:szCs w:val="18"/>
          <w:color w:val="auto"/>
          <w:strike w:val="1"/>
        </w:rPr>
        <w:t>pursuant to its terms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20" w:firstLine="464"/>
        <w:spacing w:after="0" w:line="253" w:lineRule="auto"/>
        <w:tabs>
          <w:tab w:leader="none" w:pos="68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other Dispositions so long as (i) at least seventy-five percent (75%) of the consideration paid in connection therewith shall be cash or Cash Equivalents paid contemporaneously with consummation of the transaction and shall be in an amount not less than the fair market value (as determined by the Company in good faith) of the property disposed of, (ii) if such transaction is a Sale and Leaseback Transaction, such transaction is not prohibited by the terms of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(iii) such transaction does not involve the sale or other disposition of a minority Equity Interest in any Subsidiary, (iv) such transaction does not involve a sale or other disposition of receivables other than receivables owned by or attributable to other property concurrently being disposed of in a transaction otherwise permitted under this Section, and (v) the aggregate net book value of all of the assets sold or otherwise disposed of by the Loan Parties and their Subsidiaries in all such transactions in any fiscal year of the Company shall not exceed five percent (5%) of the Consolidated total assets of the Loan Parties and their Subsidiaries (as determined based on the most recently delivered financial statements on the Closing Date or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as applicable).</w:t>
      </w:r>
    </w:p>
    <w:p>
      <w:pPr>
        <w:spacing w:after="0" w:line="19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For purposes of </w:t>
      </w:r>
      <w:r>
        <w:rPr>
          <w:rFonts w:ascii="Arial" w:cs="Arial" w:eastAsia="Arial" w:hAnsi="Arial"/>
          <w:sz w:val="17"/>
          <w:szCs w:val="17"/>
          <w:u w:val="single" w:color="auto"/>
          <w:color w:val="auto"/>
        </w:rPr>
        <w:t>Section 7.05(f)(i</w:t>
      </w:r>
      <w:r>
        <w:rPr>
          <w:rFonts w:ascii="Arial" w:cs="Arial" w:eastAsia="Arial" w:hAnsi="Arial"/>
          <w:sz w:val="17"/>
          <w:szCs w:val="17"/>
          <w:color w:val="auto"/>
        </w:rPr>
        <w:t>), the amount of (x) any liabilities (as shown on the Company’s or such Subsidiary’s most recent balance sheet or in the notes thereto) of the Company or any Subsidiary (other than liabilities that are by their terms subordinated to the Obligations) that are assumed by the transferee of any such assets and from which the Company and all Subsidiaries have been validly released by all applicable creditors in writing and (y) any securities, notes or other obligations received by the Company or such Subsidiary from such transferee that are converted by the Company or such Subsidiary into cash or Cash Equivalents (to the extent of the cash or Cash Equivalents received) within one hundred eighty (180) days following the closing of such sale, transfer or other disposition, in each case shall be deemed to be cash paid contemporaneously with such Disposition.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7.06 </w:t>
      </w:r>
      <w:r>
        <w:rPr>
          <w:rFonts w:ascii="Arial" w:cs="Arial" w:eastAsia="Arial" w:hAnsi="Arial"/>
          <w:sz w:val="18"/>
          <w:szCs w:val="18"/>
          <w:b w:val="1"/>
          <w:bCs w:val="1"/>
          <w:u w:val="single" w:color="auto"/>
          <w:color w:val="auto"/>
        </w:rPr>
        <w:t>Restricted Payments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Make, directly or indirectly, any Restricted Payment, except that, so long as no Default shall have occurred and be continuing at the time of any action described below or would result therefrom:</w:t>
      </w:r>
    </w:p>
    <w:p>
      <w:pPr>
        <w:spacing w:after="0" w:line="170" w:lineRule="exact"/>
        <w:rPr>
          <w:sz w:val="20"/>
          <w:szCs w:val="20"/>
          <w:color w:val="auto"/>
        </w:rPr>
      </w:pPr>
    </w:p>
    <w:p>
      <w:pPr>
        <w:ind w:right="220" w:firstLine="464"/>
        <w:spacing w:after="0" w:line="277" w:lineRule="auto"/>
        <w:tabs>
          <w:tab w:leader="none" w:pos="7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Subsidiary may make Restricted Payments to any Person that owns Equity Interests in such Subsidiary, ratably according to their respective holdings of the type of Equity Interest in respect of which such Restricted Payment is being made;</w:t>
      </w:r>
    </w:p>
    <w:p>
      <w:pPr>
        <w:spacing w:after="0" w:line="170" w:lineRule="exact"/>
        <w:rPr>
          <w:rFonts w:ascii="Arial" w:cs="Arial" w:eastAsia="Arial" w:hAnsi="Arial"/>
          <w:sz w:val="18"/>
          <w:szCs w:val="18"/>
          <w:color w:val="auto"/>
        </w:rPr>
      </w:pPr>
    </w:p>
    <w:p>
      <w:pPr>
        <w:ind w:right="260" w:firstLine="464"/>
        <w:spacing w:after="0" w:line="277"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and each Subsidiary may declare and make dividend payments or other distributions payable solely in common Equity Interests of such Person;</w:t>
      </w:r>
    </w:p>
    <w:p>
      <w:pPr>
        <w:spacing w:after="0" w:line="170" w:lineRule="exact"/>
        <w:rPr>
          <w:rFonts w:ascii="Arial" w:cs="Arial" w:eastAsia="Arial" w:hAnsi="Arial"/>
          <w:sz w:val="18"/>
          <w:szCs w:val="18"/>
          <w:color w:val="auto"/>
        </w:rPr>
      </w:pPr>
    </w:p>
    <w:p>
      <w:pPr>
        <w:ind w:firstLine="464"/>
        <w:spacing w:after="0" w:line="259" w:lineRule="auto"/>
        <w:tabs>
          <w:tab w:leader="none" w:pos="7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and its Subsidiaries may make non-cash Restricted Payments pursuant to and in accordance with stock option plans or other benefit plans for management, employees or other eligible service providers of the Company and its Subsidiaries or in connection with a Permitted Acquisition involving the issuance of Equity Interests of the Company to its employees or other eligible service providers outside of a stock option or benefit plan that are subject to vesting and forfeiture conditions;</w:t>
      </w:r>
    </w:p>
    <w:p>
      <w:pPr>
        <w:spacing w:after="0" w:line="186"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Company may distribute rights pursuant to a stockholder rights plan or redeem such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redemption is in accordance with the terms of such stockholder rights plan;</w:t>
      </w:r>
    </w:p>
    <w:p>
      <w:pPr>
        <w:spacing w:after="0" w:line="170" w:lineRule="exact"/>
        <w:rPr>
          <w:rFonts w:ascii="Arial" w:cs="Arial" w:eastAsia="Arial" w:hAnsi="Arial"/>
          <w:sz w:val="18"/>
          <w:szCs w:val="18"/>
          <w:color w:val="auto"/>
        </w:rPr>
      </w:pPr>
    </w:p>
    <w:p>
      <w:pPr>
        <w:ind w:right="80" w:firstLine="464"/>
        <w:spacing w:after="0" w:line="277" w:lineRule="auto"/>
        <w:tabs>
          <w:tab w:leader="none" w:pos="7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may purchase, redeem or otherwise acquire Equity Interests issued by it with the proceeds received from the substantially concurrent issuance of its Equity Interests;</w:t>
      </w:r>
    </w:p>
    <w:p>
      <w:pPr>
        <w:spacing w:after="0" w:line="170" w:lineRule="exact"/>
        <w:rPr>
          <w:rFonts w:ascii="Arial" w:cs="Arial" w:eastAsia="Arial" w:hAnsi="Arial"/>
          <w:sz w:val="18"/>
          <w:szCs w:val="18"/>
          <w:color w:val="auto"/>
        </w:rPr>
      </w:pPr>
    </w:p>
    <w:p>
      <w:pPr>
        <w:ind w:right="260" w:firstLine="464"/>
        <w:spacing w:after="0" w:line="277" w:lineRule="auto"/>
        <w:tabs>
          <w:tab w:leader="none" w:pos="68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Company may repurchase or pay cash in lieu of fractional shares of its Equity Interests arising out of stock dividends, splits or combinations, business combinations or conversions of convertible securities (including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w:t>
      </w:r>
    </w:p>
    <w:p>
      <w:pPr>
        <w:spacing w:after="0" w:line="170" w:lineRule="exact"/>
        <w:rPr>
          <w:rFonts w:ascii="Arial" w:cs="Arial" w:eastAsia="Arial" w:hAnsi="Arial"/>
          <w:sz w:val="18"/>
          <w:szCs w:val="18"/>
          <w:color w:val="auto"/>
        </w:rPr>
      </w:pPr>
    </w:p>
    <w:p>
      <w:pPr>
        <w:ind w:right="740" w:firstLine="464"/>
        <w:spacing w:after="0" w:line="277"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and its Subsidiaries may pay withholding taxes in connection with the retention of Equity Interests pursuant to equity-based compensation plans;</w:t>
      </w:r>
    </w:p>
    <w:p>
      <w:pPr>
        <w:spacing w:after="0" w:line="170" w:lineRule="exact"/>
        <w:rPr>
          <w:rFonts w:ascii="Arial" w:cs="Arial" w:eastAsia="Arial" w:hAnsi="Arial"/>
          <w:sz w:val="18"/>
          <w:szCs w:val="18"/>
          <w:color w:val="auto"/>
        </w:rPr>
      </w:pPr>
    </w:p>
    <w:p>
      <w:pPr>
        <w:ind w:right="440" w:firstLine="464"/>
        <w:spacing w:after="0" w:line="277"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or any Subsidiary may receive or accept the return to the Company or any Subsidiary of Equity Interests of the Company or any Subsidiary constituting a portion of the purchase price consideration in settlement of indemnification claims;</w:t>
      </w:r>
    </w:p>
    <w:p>
      <w:pPr>
        <w:spacing w:after="0" w:line="170" w:lineRule="exact"/>
        <w:rPr>
          <w:rFonts w:ascii="Arial" w:cs="Arial" w:eastAsia="Arial" w:hAnsi="Arial"/>
          <w:sz w:val="18"/>
          <w:szCs w:val="18"/>
          <w:color w:val="auto"/>
        </w:rPr>
      </w:pPr>
    </w:p>
    <w:p>
      <w:pPr>
        <w:ind w:right="320" w:firstLine="464"/>
        <w:spacing w:after="0" w:line="277" w:lineRule="auto"/>
        <w:tabs>
          <w:tab w:leader="none" w:pos="67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or any Subsidiary may pay cash in lieu of fractional shares in connection with the conversion of any Equity Interests or make cash settlement payments upon the exercise of warrants to purchase its Equity Interests or “net share settle” warrants;</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may make payments or distributions to dissenting stockholders as required by applicable Law;</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may enter into, exercise its rights and perform its obligations under any Permitted Call Spread Swap Agreements; and</w:t>
      </w:r>
    </w:p>
    <w:p>
      <w:pPr>
        <w:spacing w:after="0" w:line="225" w:lineRule="exact"/>
        <w:rPr>
          <w:rFonts w:ascii="Arial" w:cs="Arial" w:eastAsia="Arial" w:hAnsi="Arial"/>
          <w:sz w:val="18"/>
          <w:szCs w:val="18"/>
          <w:color w:val="auto"/>
        </w:rPr>
      </w:pPr>
    </w:p>
    <w:p>
      <w:pPr>
        <w:ind w:right="400" w:firstLine="464"/>
        <w:spacing w:after="0" w:line="342" w:lineRule="auto"/>
        <w:tabs>
          <w:tab w:leader="none" w:pos="67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Company may make other Restricted Payments in an aggregate amount during any fiscal year of the Company not to exceed eighty percent (80%) of the Company’s Consolidated Net Income for the fiscal year immediately preceding the date on which such Restricted Payment is made.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7.07 </w:t>
      </w:r>
      <w:r>
        <w:rPr>
          <w:rFonts w:ascii="Arial" w:cs="Arial" w:eastAsia="Arial" w:hAnsi="Arial"/>
          <w:sz w:val="18"/>
          <w:szCs w:val="18"/>
          <w:b w:val="1"/>
          <w:bCs w:val="1"/>
          <w:u w:val="single" w:color="auto"/>
          <w:color w:val="auto"/>
        </w:rPr>
        <w:t>Change in Nature of Business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Engage in any material line of business substantially different from those lines of business conducted by the Company and its Subsidiaries on the date hereof or any business substantially related or incidental thereto.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70" w:right="2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7.08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 xml:space="preserve">Enter into any transaction or series of transactions with any officer, director or Affiliate of such Person other than transactions which are entered into in the ordinary course of such Person’s business on fair and reasonable terms and conditions substantially as favorable to such Person as would be obtainable by it in a comparable arms length transaction with a Person other than an officer, director or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apply to</w:t>
      </w:r>
    </w:p>
    <w:p>
      <w:pPr>
        <w:ind w:right="100" w:firstLine="8"/>
        <w:spacing w:after="0" w:line="281" w:lineRule="auto"/>
        <w:tabs>
          <w:tab w:leader="none" w:pos="24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advances of working capital to any Loan Party; (b) transfers of cash and assets to any Loan Party; (c) intercompany transactions not prohibited by this Agreement; (d) indemnification arrangements and employee agreements, compensation arrangements (including equity-based compensation and reasonable and customary fees paid to directors) with, and reimbursement of, expenses of, in each case, current or former officers, directors, employees and consultants;</w:t>
      </w:r>
    </w:p>
    <w:p>
      <w:pPr>
        <w:spacing w:after="0" w:line="2" w:lineRule="exact"/>
        <w:rPr>
          <w:rFonts w:ascii="Arial" w:cs="Arial" w:eastAsia="Arial" w:hAnsi="Arial"/>
          <w:sz w:val="16"/>
          <w:szCs w:val="16"/>
          <w:color w:val="auto"/>
        </w:rPr>
      </w:pPr>
    </w:p>
    <w:p>
      <w:pPr>
        <w:ind w:firstLine="8"/>
        <w:spacing w:after="0" w:line="255" w:lineRule="auto"/>
        <w:tabs>
          <w:tab w:leader="none" w:pos="24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Permitted Transfers and Restricted Payments permitted by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(f) extraordinary retention, bonus or similar arrangements approved by the Company’s Board of Directors (or a committee thereof); (g) severance arrangements entered into in the ordinary course of business; (h) Investments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(i) intercompany transactions disclosed on </w:t>
      </w:r>
      <w:r>
        <w:rPr>
          <w:rFonts w:ascii="Arial" w:cs="Arial" w:eastAsia="Arial" w:hAnsi="Arial"/>
          <w:sz w:val="18"/>
          <w:szCs w:val="18"/>
          <w:u w:val="single" w:color="auto"/>
          <w:color w:val="auto"/>
        </w:rPr>
        <w:t>Schedule 7.08</w:t>
      </w:r>
      <w:r>
        <w:rPr>
          <w:rFonts w:ascii="Arial" w:cs="Arial" w:eastAsia="Arial" w:hAnsi="Arial"/>
          <w:sz w:val="18"/>
          <w:szCs w:val="18"/>
          <w:color w:val="auto"/>
        </w:rPr>
        <w:t xml:space="preserve"> to the Disclosure Letter.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7.09 </w:t>
      </w:r>
      <w:r>
        <w:rPr>
          <w:rFonts w:ascii="Arial" w:cs="Arial" w:eastAsia="Arial" w:hAnsi="Arial"/>
          <w:sz w:val="18"/>
          <w:szCs w:val="18"/>
          <w:b w:val="1"/>
          <w:bCs w:val="1"/>
          <w:u w:val="single" w:color="auto"/>
          <w:color w:val="auto"/>
        </w:rPr>
        <w:t>Burdensome Agreements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Enter into any Contractual Obligation (except for this Agreement and the other Loan Documents or as disclosed on </w:t>
      </w:r>
      <w:r>
        <w:rPr>
          <w:rFonts w:ascii="Arial" w:cs="Arial" w:eastAsia="Arial" w:hAnsi="Arial"/>
          <w:sz w:val="16"/>
          <w:szCs w:val="16"/>
          <w:u w:val="single" w:color="auto"/>
          <w:color w:val="auto"/>
        </w:rPr>
        <w:t>Schedule 7.09</w:t>
      </w:r>
      <w:r>
        <w:rPr>
          <w:rFonts w:ascii="Arial" w:cs="Arial" w:eastAsia="Arial" w:hAnsi="Arial"/>
          <w:sz w:val="16"/>
          <w:szCs w:val="16"/>
          <w:color w:val="auto"/>
        </w:rPr>
        <w:t xml:space="preserve"> to the Disclosure Letter) that (a) encumbers or restricts the ability of any such Person to (i) to act as a Loan Party; (ii) make Restricted Payments to any Loan Party, (iii) pay any Indebtedness or other obligation owed to any Loan Party, (iv) make loans or advances to any Loan Party, or (v) in the case of the Borrower, create any Lien upon any of its properties or assets, whether now owned or hereafter acquired, except, in the case of clause (a)(v) only, for any document or instrument governing Indebtedness incurred pursuant to </w:t>
      </w:r>
      <w:r>
        <w:rPr>
          <w:rFonts w:ascii="Arial" w:cs="Arial" w:eastAsia="Arial" w:hAnsi="Arial"/>
          <w:sz w:val="16"/>
          <w:szCs w:val="16"/>
          <w:u w:val="single" w:color="auto"/>
          <w:color w:val="auto"/>
        </w:rPr>
        <w:t>Section 7.02(c)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constructed or acquired in connection therewith (and any additions, accessions, parts, improvements and attachments thereto, and the proceeds thereof), and except for</w:t>
      </w:r>
    </w:p>
    <w:p>
      <w:pPr>
        <w:spacing w:after="0" w:line="5" w:lineRule="exact"/>
        <w:rPr>
          <w:sz w:val="20"/>
          <w:szCs w:val="20"/>
          <w:color w:val="auto"/>
        </w:rPr>
      </w:pPr>
    </w:p>
    <w:p>
      <w:pPr>
        <w:ind w:right="60" w:firstLine="8"/>
        <w:spacing w:after="0" w:line="284" w:lineRule="auto"/>
        <w:tabs>
          <w:tab w:leader="none" w:pos="2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any Permitted Lien or any document or instrument governing any Permitted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subject to such Permitted Lien, (2) customary restrictions and conditions contained in any agreement relating to the sale of any property permitted under Section 7.05 pending the consummation of such sale, (3) customary provisions in leases, licenses and other contracts restricting the assignment, subletting or encumbrance thereof, (4) restrictions and conditions in any indenture, agreement, document, instrument or other arrangement relating to the assets or business of any Subsidiary existing prior to the consummation of a Permitted Acquisition in which such assets were, or Subsidiary was, acquired (and not created in contemplation of such Permitted Acquisition) so long as such restrictions and conditions do not apply to the Borrower or any of its other Subsidiaries, (5) customary rights of first refusal, voting, redemption, transfer or other restrictions with respect to the Equity Interests in any joint venture entities or other Persons other than Persons whose Equity Interests are pledged to the Administrative Agent for the benefit of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provisions apply only to such joint venture or Person and to Equity Interests in such joint venture or Person, (6) restrictions on deposits imposed by customers of the Borrower or any Subsidiary under contracts entered into in the ordinary course of business and (7) restrictions and conditions imposed by Law, or (b) requires the grant of any Lien on property for any obligation if a Lien on such property is given as security for the Secured Obligations, except for (i) any Contractual Obligation of any Subsidiary in effect at the time such Subsidiary becomes a Subsidiary of the Borrower, so long as such Contractual Obligation was not entered into solely in contemplation of such Person becoming a Subsidiary of the Borrower and (ii) customary provisions in indentures for high yield or investment grade securities, so long as, in each case under the foregoing clauses (i) and (ii), the applicable Contractual Obligation or indenture does not require the grant of a Lien on any Collateral.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7.10 </w:t>
      </w:r>
      <w:r>
        <w:rPr>
          <w:rFonts w:ascii="Arial" w:cs="Arial" w:eastAsia="Arial" w:hAnsi="Arial"/>
          <w:sz w:val="18"/>
          <w:szCs w:val="18"/>
          <w:b w:val="1"/>
          <w:bCs w:val="1"/>
          <w:u w:val="single" w:color="auto"/>
          <w:color w:val="auto"/>
        </w:rPr>
        <w:t>Use of Proceeds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b w:val="1"/>
          <w:bCs w:val="1"/>
          <w:u w:val="single" w:color="auto"/>
          <w:color w:val="auto"/>
        </w:rPr>
        <w:t>Financial Covenants</w:t>
      </w:r>
      <w:r>
        <w:rPr>
          <w:rFonts w:ascii="Arial" w:cs="Arial" w:eastAsia="Arial" w:hAnsi="Arial"/>
          <w:sz w:val="18"/>
          <w:szCs w:val="18"/>
          <w:b w:val="1"/>
          <w:bCs w:val="1"/>
          <w:color w:val="auto"/>
        </w:rPr>
        <w:t>.</w:t>
      </w:r>
    </w:p>
    <w:p>
      <w:pPr>
        <w:spacing w:after="0" w:line="121" w:lineRule="exact"/>
        <w:rPr>
          <w:sz w:val="20"/>
          <w:szCs w:val="20"/>
          <w:color w:val="auto"/>
        </w:rPr>
      </w:pPr>
    </w:p>
    <w:p>
      <w:pPr>
        <w:ind w:left="700" w:hanging="236"/>
        <w:spacing w:after="0"/>
        <w:tabs>
          <w:tab w:leader="none" w:pos="700"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Consolidated Tangible Net Worth</w:t>
      </w:r>
      <w:r>
        <w:rPr>
          <w:rFonts w:ascii="Arial" w:cs="Arial" w:eastAsia="Arial" w:hAnsi="Arial"/>
          <w:sz w:val="16"/>
          <w:szCs w:val="16"/>
          <w:color w:val="auto"/>
        </w:rPr>
        <w:t>. Permit Consolidated Tangible Net Worth at any time to be less than the sum of (i) $</w:t>
      </w:r>
      <w:r>
        <w:rPr>
          <w:rFonts w:ascii="Arial" w:cs="Arial" w:eastAsia="Arial" w:hAnsi="Arial"/>
          <w:sz w:val="16"/>
          <w:szCs w:val="16"/>
          <w:color w:val="auto"/>
          <w:strike w:val="1"/>
        </w:rPr>
        <w:t>200,000,000</w:t>
      </w:r>
      <w:r>
        <w:rPr>
          <w:rFonts w:ascii="Arial" w:cs="Arial" w:eastAsia="Arial" w:hAnsi="Arial"/>
          <w:sz w:val="16"/>
          <w:szCs w:val="16"/>
          <w:u w:val="single" w:color="auto"/>
          <w:color w:val="auto"/>
        </w:rPr>
        <w:t>338,000,000</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right="140" w:firstLine="8"/>
        <w:spacing w:after="0" w:line="261" w:lineRule="auto"/>
        <w:tabs>
          <w:tab w:leader="none" w:pos="26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an amount equal to fifty percent (50%) of the Consolidated Net Income earned each full fiscal quarter ending after </w:t>
      </w:r>
      <w:r>
        <w:rPr>
          <w:rFonts w:ascii="Arial" w:cs="Arial" w:eastAsia="Arial" w:hAnsi="Arial"/>
          <w:sz w:val="18"/>
          <w:szCs w:val="18"/>
          <w:color w:val="auto"/>
          <w:strike w:val="1"/>
        </w:rPr>
        <w:t>March 31</w:t>
      </w:r>
      <w:r>
        <w:rPr>
          <w:rFonts w:ascii="Arial" w:cs="Arial" w:eastAsia="Arial" w:hAnsi="Arial"/>
          <w:sz w:val="18"/>
          <w:szCs w:val="18"/>
          <w:u w:val="single" w:color="auto"/>
          <w:color w:val="auto"/>
        </w:rPr>
        <w:t>June 30</w:t>
      </w:r>
      <w:r>
        <w:rPr>
          <w:rFonts w:ascii="Arial" w:cs="Arial" w:eastAsia="Arial" w:hAnsi="Arial"/>
          <w:sz w:val="18"/>
          <w:szCs w:val="18"/>
          <w:color w:val="auto"/>
        </w:rPr>
        <w:t xml:space="preserve">, </w:t>
      </w:r>
      <w:r>
        <w:rPr>
          <w:rFonts w:ascii="Arial" w:cs="Arial" w:eastAsia="Arial" w:hAnsi="Arial"/>
          <w:sz w:val="18"/>
          <w:szCs w:val="18"/>
          <w:color w:val="auto"/>
          <w:strike w:val="1"/>
        </w:rPr>
        <w:t>2014</w:t>
      </w:r>
      <w:r>
        <w:rPr>
          <w:rFonts w:ascii="Arial" w:cs="Arial" w:eastAsia="Arial" w:hAnsi="Arial"/>
          <w:sz w:val="18"/>
          <w:szCs w:val="18"/>
          <w:u w:val="single" w:color="auto"/>
          <w:color w:val="auto"/>
        </w:rPr>
        <w:t>2018</w:t>
      </w:r>
      <w:r>
        <w:rPr>
          <w:rFonts w:ascii="Arial" w:cs="Arial" w:eastAsia="Arial" w:hAnsi="Arial"/>
          <w:sz w:val="18"/>
          <w:szCs w:val="18"/>
          <w:color w:val="auto"/>
        </w:rPr>
        <w:t xml:space="preserve"> (with no deduction for net loss in any such fiscal quarter).</w:t>
      </w:r>
    </w:p>
    <w:p>
      <w:pPr>
        <w:spacing w:after="0" w:line="183" w:lineRule="exact"/>
        <w:rPr>
          <w:rFonts w:ascii="Arial" w:cs="Arial" w:eastAsia="Arial" w:hAnsi="Arial"/>
          <w:sz w:val="18"/>
          <w:szCs w:val="18"/>
          <w:color w:val="auto"/>
        </w:rPr>
      </w:pPr>
    </w:p>
    <w:p>
      <w:pPr>
        <w:ind w:right="700" w:firstLine="464"/>
        <w:spacing w:after="0" w:line="277" w:lineRule="auto"/>
        <w:tabs>
          <w:tab w:leader="none" w:pos="711"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Consolidated Debt Service Coverage Ratio</w:t>
      </w:r>
      <w:r>
        <w:rPr>
          <w:rFonts w:ascii="Arial" w:cs="Arial" w:eastAsia="Arial" w:hAnsi="Arial"/>
          <w:sz w:val="18"/>
          <w:szCs w:val="18"/>
          <w:color w:val="auto"/>
        </w:rPr>
        <w:t>. Permit the Consolidated Debt Service Coverage Ratio as of the end of any fiscal quarter of the Company, beginning with the fiscal quarter ending June 27, 2014, to be less than 1.50:1.00.</w:t>
      </w:r>
    </w:p>
    <w:p>
      <w:pPr>
        <w:spacing w:after="0" w:line="170" w:lineRule="exact"/>
        <w:rPr>
          <w:rFonts w:ascii="Arial" w:cs="Arial" w:eastAsia="Arial" w:hAnsi="Arial"/>
          <w:sz w:val="18"/>
          <w:szCs w:val="18"/>
          <w:color w:val="auto"/>
        </w:rPr>
      </w:pPr>
    </w:p>
    <w:p>
      <w:pPr>
        <w:ind w:right="160" w:firstLine="464"/>
        <w:spacing w:after="0" w:line="297" w:lineRule="auto"/>
        <w:tabs>
          <w:tab w:leader="none" w:pos="701"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Consolidated</w:t>
      </w:r>
      <w:r>
        <w:rPr>
          <w:rFonts w:ascii="Arial" w:cs="Arial" w:eastAsia="Arial" w:hAnsi="Arial"/>
          <w:sz w:val="16"/>
          <w:szCs w:val="16"/>
          <w:color w:val="auto"/>
        </w:rPr>
        <w:t xml:space="preserve"> </w:t>
      </w:r>
      <w:r>
        <w:rPr>
          <w:rFonts w:ascii="Arial" w:cs="Arial" w:eastAsia="Arial" w:hAnsi="Arial"/>
          <w:sz w:val="16"/>
          <w:szCs w:val="16"/>
          <w:color w:val="auto"/>
          <w:strike w:val="1"/>
        </w:rPr>
        <w:t>Senior</w:t>
      </w:r>
      <w:r>
        <w:rPr>
          <w:rFonts w:ascii="Arial" w:cs="Arial" w:eastAsia="Arial" w:hAnsi="Arial"/>
          <w:sz w:val="16"/>
          <w:szCs w:val="16"/>
          <w:u w:val="single" w:color="auto"/>
          <w:color w:val="auto"/>
        </w:rPr>
        <w:t>Total Leverage Ratio</w:t>
      </w:r>
      <w:r>
        <w:rPr>
          <w:rFonts w:ascii="Arial" w:cs="Arial" w:eastAsia="Arial" w:hAnsi="Arial"/>
          <w:sz w:val="16"/>
          <w:szCs w:val="16"/>
          <w:color w:val="auto"/>
        </w:rPr>
        <w:t xml:space="preserve">. Permit the Consolidated </w:t>
      </w:r>
      <w:r>
        <w:rPr>
          <w:rFonts w:ascii="Arial" w:cs="Arial" w:eastAsia="Arial" w:hAnsi="Arial"/>
          <w:sz w:val="16"/>
          <w:szCs w:val="16"/>
          <w:color w:val="auto"/>
          <w:strike w:val="1"/>
        </w:rPr>
        <w:t>Senior</w:t>
      </w:r>
      <w:r>
        <w:rPr>
          <w:rFonts w:ascii="Arial" w:cs="Arial" w:eastAsia="Arial" w:hAnsi="Arial"/>
          <w:sz w:val="16"/>
          <w:szCs w:val="16"/>
          <w:u w:val="single" w:color="auto"/>
          <w:color w:val="auto"/>
        </w:rPr>
        <w:t>Total</w:t>
      </w:r>
      <w:r>
        <w:rPr>
          <w:rFonts w:ascii="Arial" w:cs="Arial" w:eastAsia="Arial" w:hAnsi="Arial"/>
          <w:sz w:val="16"/>
          <w:szCs w:val="16"/>
          <w:color w:val="auto"/>
        </w:rPr>
        <w:t xml:space="preserve"> Leverage Ratio as of the end of any fiscal quarter of the Company, beginning with the fiscal quarter ending June 27, 2014, to be greater than 2.50:1.00</w:t>
      </w:r>
      <w:r>
        <w:rPr>
          <w:rFonts w:ascii="Arial" w:cs="Arial" w:eastAsia="Arial" w:hAnsi="Arial"/>
          <w:sz w:val="16"/>
          <w:szCs w:val="16"/>
          <w:color w:val="auto"/>
          <w:strike w:val="1"/>
        </w:rPr>
        <w:t>.</w:t>
      </w:r>
      <w:r>
        <w:rPr>
          <w:rFonts w:ascii="Arial" w:cs="Arial" w:eastAsia="Arial" w:hAnsi="Arial"/>
          <w:sz w:val="16"/>
          <w:szCs w:val="16"/>
          <w:u w:val="single" w:color="auto"/>
          <w:color w:val="auto"/>
        </w:rPr>
        <w:t>; provided, that no Loan Party shall permit the Consolidated Total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Leverage Ratio, to be greater than (i) for the fiscal quarter in which a Leverage Event occurs, 3.25:1.00; (ii) for the second full fiscal quarter ending immediately after such Leverage Event, 3.00:1.00; (iii) for the third fiscal quarter ending immediately after such Leverage Event, 2.75:1.00; and (iv) for the fourth full fiscal quarter ending immediately after such Leverage Event and for all fiscal quarters ending thereafter, 2.50:1.00.</w:t>
      </w:r>
    </w:p>
    <w:p>
      <w:pPr>
        <w:spacing w:after="0" w:line="158" w:lineRule="exact"/>
        <w:rPr>
          <w:rFonts w:ascii="Arial" w:cs="Arial" w:eastAsia="Arial" w:hAnsi="Arial"/>
          <w:sz w:val="16"/>
          <w:szCs w:val="16"/>
          <w:color w:val="auto"/>
        </w:rPr>
      </w:pPr>
    </w:p>
    <w:p>
      <w:pPr>
        <w:ind w:firstLine="464"/>
        <w:spacing w:after="0" w:line="277" w:lineRule="auto"/>
        <w:tabs>
          <w:tab w:leader="none" w:pos="711"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Consolidated Quick Ratio</w:t>
      </w:r>
      <w:r>
        <w:rPr>
          <w:rFonts w:ascii="Arial" w:cs="Arial" w:eastAsia="Arial" w:hAnsi="Arial"/>
          <w:sz w:val="18"/>
          <w:szCs w:val="18"/>
          <w:color w:val="auto"/>
        </w:rPr>
        <w:t>. Permit the Consolidated Quick Ratio as of the end of any fiscal quarter of the Company, beginning with the fiscal quarter ending June 27, 2014, to be less than 1.10:1.00.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b w:val="1"/>
          <w:bCs w:val="1"/>
          <w:u w:val="single" w:color="auto"/>
          <w:color w:val="auto"/>
        </w:rPr>
        <w:t>Capital Expenditures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Make any Capital Expenditure, except for (i) Capital Expenditures made in connection with the construction</w:t>
      </w:r>
      <w:r>
        <w:rPr>
          <w:rFonts w:ascii="Arial" w:cs="Arial" w:eastAsia="Arial" w:hAnsi="Arial"/>
          <w:sz w:val="18"/>
          <w:szCs w:val="18"/>
          <w:u w:val="single" w:color="auto"/>
          <w:color w:val="auto"/>
        </w:rPr>
        <w:t>, improvements to, or expanstion</w:t>
      </w:r>
      <w:r>
        <w:rPr>
          <w:rFonts w:ascii="Arial" w:cs="Arial" w:eastAsia="Arial" w:hAnsi="Arial"/>
          <w:sz w:val="18"/>
          <w:szCs w:val="18"/>
          <w:color w:val="auto"/>
        </w:rPr>
        <w:t xml:space="preserve"> of the Thai Manufacturing Facility and (ii) Consolidated Capital Expenditures in the ordinary course of business not exceeding, in the aggregate for the Company and its Subsidiaries during each fiscal year set forth below, the amount set forth opposite such fiscal year:</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260" w:type="dxa"/>
            <w:vAlign w:val="bottom"/>
            <w:gridSpan w:val="5"/>
          </w:tcPr>
          <w:p>
            <w:pPr>
              <w:spacing w:after="0"/>
              <w:rPr>
                <w:sz w:val="20"/>
                <w:szCs w:val="20"/>
                <w:color w:val="auto"/>
              </w:rPr>
            </w:pPr>
            <w:r>
              <w:rPr>
                <w:rFonts w:ascii="Arial" w:cs="Arial" w:eastAsia="Arial" w:hAnsi="Arial"/>
                <w:sz w:val="14"/>
                <w:szCs w:val="14"/>
                <w:color w:val="auto"/>
              </w:rPr>
              <w:t>Fiscal Year</w:t>
            </w: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ind w:left="52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strike w:val="1"/>
                <w:w w:val="89"/>
              </w:rPr>
              <w:t>2014</w:t>
            </w: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w w:val="72"/>
              </w:rPr>
              <w:t>2017</w:t>
            </w: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1540" w:type="dxa"/>
            <w:vAlign w:val="bottom"/>
            <w:tcBorders>
              <w:top w:val="single" w:sz="8" w:color="CCEEFF"/>
              <w:bottom w:val="single" w:sz="8" w:color="CCEEFF"/>
            </w:tcBorders>
            <w:shd w:val="clear" w:color="auto" w:fill="CCEEFF"/>
          </w:tcPr>
          <w:p>
            <w:pPr>
              <w:spacing w:after="0"/>
              <w:rPr>
                <w:sz w:val="16"/>
                <w:szCs w:val="16"/>
                <w:color w:val="auto"/>
              </w:rPr>
            </w:pPr>
          </w:p>
        </w:tc>
        <w:tc>
          <w:tcPr>
            <w:tcW w:w="37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40,000,000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strike w:val="1"/>
                <w:w w:val="79"/>
              </w:rPr>
              <w:t>2015</w:t>
            </w:r>
          </w:p>
        </w:tc>
        <w:tc>
          <w:tcPr>
            <w:tcW w:w="190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rPr>
              <w:t>2018</w:t>
            </w:r>
          </w:p>
        </w:tc>
        <w:tc>
          <w:tcPr>
            <w:tcW w:w="38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62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40,000,000</w:t>
            </w: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strike w:val="1"/>
                <w:w w:val="79"/>
              </w:rPr>
              <w:t>2016</w:t>
            </w:r>
          </w:p>
        </w:tc>
        <w:tc>
          <w:tcPr>
            <w:tcW w:w="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4"/>
              </w:rPr>
              <w:t>2019</w:t>
            </w:r>
          </w:p>
        </w:tc>
        <w:tc>
          <w:tcPr>
            <w:tcW w:w="154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strike w:val="1"/>
                <w:w w:val="88"/>
              </w:rPr>
              <w:t>40,000,000</w:t>
            </w: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6"/>
              </w:rPr>
              <w:t>60,000,000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line="176" w:lineRule="exact"/>
              <w:rPr>
                <w:sz w:val="20"/>
                <w:szCs w:val="20"/>
                <w:color w:val="auto"/>
              </w:rPr>
            </w:pPr>
            <w:r>
              <w:rPr>
                <w:rFonts w:ascii="Arial" w:cs="Arial" w:eastAsia="Arial" w:hAnsi="Arial"/>
                <w:sz w:val="18"/>
                <w:szCs w:val="18"/>
                <w:color w:val="auto"/>
                <w:strike w:val="1"/>
                <w:w w:val="79"/>
              </w:rPr>
              <w:t>2017</w:t>
            </w:r>
          </w:p>
        </w:tc>
        <w:tc>
          <w:tcPr>
            <w:tcW w:w="1900" w:type="dxa"/>
            <w:vAlign w:val="bottom"/>
            <w:gridSpan w:val="3"/>
          </w:tcPr>
          <w:p>
            <w:pPr>
              <w:spacing w:after="0" w:line="176" w:lineRule="exact"/>
              <w:rPr>
                <w:sz w:val="20"/>
                <w:szCs w:val="20"/>
                <w:color w:val="auto"/>
              </w:rPr>
            </w:pPr>
            <w:r>
              <w:rPr>
                <w:rFonts w:ascii="Arial" w:cs="Arial" w:eastAsia="Arial" w:hAnsi="Arial"/>
                <w:sz w:val="18"/>
                <w:szCs w:val="18"/>
                <w:color w:val="auto"/>
              </w:rPr>
              <w:t>2020</w:t>
            </w:r>
          </w:p>
        </w:tc>
        <w:tc>
          <w:tcPr>
            <w:tcW w:w="3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strike w:val="1"/>
                <w:w w:val="88"/>
              </w:rPr>
              <w:t>40,000,000</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w w:val="86"/>
              </w:rPr>
              <w:t>60,000,000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strike w:val="1"/>
                <w:w w:val="79"/>
              </w:rPr>
              <w:t>2018</w:t>
            </w:r>
          </w:p>
        </w:tc>
        <w:tc>
          <w:tcPr>
            <w:tcW w:w="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4"/>
              </w:rPr>
              <w:t>2021</w:t>
            </w:r>
          </w:p>
        </w:tc>
        <w:tc>
          <w:tcPr>
            <w:tcW w:w="154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strike w:val="1"/>
                <w:w w:val="88"/>
              </w:rPr>
              <w:t>40,000,000</w:t>
            </w: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6"/>
              </w:rPr>
              <w:t>60,000,000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gridSpan w:val="2"/>
          </w:tcPr>
          <w:p>
            <w:pPr>
              <w:spacing w:after="0" w:line="176" w:lineRule="exact"/>
              <w:rPr>
                <w:sz w:val="20"/>
                <w:szCs w:val="20"/>
                <w:color w:val="auto"/>
              </w:rPr>
            </w:pPr>
            <w:r>
              <w:rPr>
                <w:rFonts w:ascii="Arial" w:cs="Arial" w:eastAsia="Arial" w:hAnsi="Arial"/>
                <w:sz w:val="18"/>
                <w:szCs w:val="18"/>
                <w:color w:val="auto"/>
              </w:rPr>
              <w:t>2022</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60,000,000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60,000,000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3700" w:type="dxa"/>
            <w:vAlign w:val="bottom"/>
            <w:tcBorders>
              <w:top w:val="single" w:sz="8" w:color="CCEEFF"/>
            </w:tcBorders>
          </w:tcPr>
          <w:p>
            <w:pPr>
              <w:jc w:val="right"/>
              <w:ind w:right="1910"/>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105" w:name="page106"/>
    <w:bookmarkEnd w:id="105"/>
    <w:p>
      <w:pPr>
        <w:ind w:right="120" w:firstLine="8"/>
        <w:spacing w:after="0" w:line="259" w:lineRule="auto"/>
        <w:tabs>
          <w:tab w:leader="none" w:pos="9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w:t>
      </w:r>
      <w:r>
        <w:rPr>
          <w:rFonts w:ascii="Arial" w:cs="Arial" w:eastAsia="Arial" w:hAnsi="Arial"/>
          <w:sz w:val="18"/>
          <w:szCs w:val="18"/>
          <w:color w:val="auto"/>
        </w:rPr>
        <w:t xml:space="preserve">, that so long as no Default has occurred and is continuing or would result from such expenditure, any portion of any amount set forth above, if not expended in the fiscal year for which it is permitted above, may be carried over for expenditure in the next following fiscal year (excluding any carry forward available from any prior fiscal year);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if any such amount is so carried over, it will be deemed used in the applicable subsequent fiscal year before the amount set forth opposite such fiscal year above.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7.13 </w:t>
      </w:r>
      <w:r>
        <w:rPr>
          <w:rFonts w:ascii="Arial" w:cs="Arial" w:eastAsia="Arial" w:hAnsi="Arial"/>
          <w:sz w:val="17"/>
          <w:szCs w:val="17"/>
          <w:b w:val="1"/>
          <w:bCs w:val="1"/>
          <w:u w:val="single" w:color="auto"/>
          <w:color w:val="auto"/>
        </w:rPr>
        <w:t>Amendments of Organization Documents; Fiscal Year; Legal Name, Jurisdiction of Formation; Form of Entity and Accounting Changes</w:t>
      </w:r>
      <w:r>
        <w:rPr>
          <w:rFonts w:ascii="Arial" w:cs="Arial" w:eastAsia="Arial" w:hAnsi="Arial"/>
          <w:sz w:val="17"/>
          <w:szCs w:val="17"/>
          <w:b w:val="1"/>
          <w:bCs w:val="1"/>
          <w:color w:val="auto"/>
        </w:rPr>
        <w:t>.</w:t>
      </w:r>
    </w:p>
    <w:p>
      <w:pPr>
        <w:spacing w:after="0" w:line="133" w:lineRule="exact"/>
        <w:rPr>
          <w:sz w:val="20"/>
          <w:szCs w:val="20"/>
          <w:color w:val="auto"/>
        </w:rPr>
      </w:pPr>
    </w:p>
    <w:p>
      <w:pPr>
        <w:ind w:left="700" w:hanging="236"/>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Amend the Organization Documents of any Loan Party in a manner materially adverse to the rights of the Lenders;</w:t>
      </w:r>
    </w:p>
    <w:p>
      <w:pPr>
        <w:spacing w:after="0" w:line="225"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change the fiscal year of the Company without the consent of the Administrative Agent, which such consent is not to be unreasonably withheld, delayed or conditioned; or</w:t>
      </w:r>
    </w:p>
    <w:p>
      <w:pPr>
        <w:spacing w:after="0" w:line="170" w:lineRule="exact"/>
        <w:rPr>
          <w:rFonts w:ascii="Arial" w:cs="Arial" w:eastAsia="Arial" w:hAnsi="Arial"/>
          <w:sz w:val="18"/>
          <w:szCs w:val="18"/>
          <w:color w:val="auto"/>
        </w:rPr>
      </w:pPr>
    </w:p>
    <w:p>
      <w:pPr>
        <w:ind w:right="240" w:firstLine="464"/>
        <w:spacing w:after="0" w:line="277" w:lineRule="auto"/>
        <w:tabs>
          <w:tab w:leader="none" w:pos="70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without providing ten (10) days prior written notice to the Administrative Agent (or such lesser period of time as agreed to by the Administrative Agent), change the name, jurisdiction of formation, form of organization or principal place of business of any Loan Party.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7.14 </w:t>
      </w:r>
      <w:r>
        <w:rPr>
          <w:rFonts w:ascii="Arial" w:cs="Arial" w:eastAsia="Arial" w:hAnsi="Arial"/>
          <w:sz w:val="18"/>
          <w:szCs w:val="18"/>
          <w:b w:val="1"/>
          <w:bCs w:val="1"/>
          <w:u w:val="single" w:color="auto"/>
          <w:color w:val="auto"/>
        </w:rPr>
        <w:t>Sale and Leaseback Transactions.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Consummate any Sale and Leaseback Transaction, except for any Sale and Leaseback Transaction in which: (a) the sale is permitted under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and is consummated within ninety (90) days after the Borrower or its Subsidiary, as applicable, acquires or completes the construction of such fixed or capital asset, (b) any Indebtedness of the Borrower or its Subsidiaries in respect of Capitalized Leases or Synthetic Lease Obligations arising from such transaction permitted by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and (c) any Liens on the assets of the Borrower or its Subsidiaries arising in connection with such transaction are permitted by </w:t>
      </w:r>
      <w:r>
        <w:rPr>
          <w:rFonts w:ascii="Arial" w:cs="Arial" w:eastAsia="Arial" w:hAnsi="Arial"/>
          <w:sz w:val="18"/>
          <w:szCs w:val="18"/>
          <w:u w:val="single" w:color="auto"/>
          <w:color w:val="auto"/>
        </w:rPr>
        <w:t>Section 7.01(i)</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7.15 </w:t>
      </w:r>
      <w:r>
        <w:rPr>
          <w:rFonts w:ascii="Arial" w:cs="Arial" w:eastAsia="Arial" w:hAnsi="Arial"/>
          <w:sz w:val="18"/>
          <w:szCs w:val="18"/>
          <w:b w:val="1"/>
          <w:bCs w:val="1"/>
          <w:u w:val="single" w:color="auto"/>
          <w:color w:val="auto"/>
        </w:rPr>
        <w:t>Prepayments, Etc. of Indebtedness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Voluntarily prepay, redeem, purchase, defease or otherwise satisfy prior to the scheduled maturity thereof in any manner (including by the exercise of any right of setoff), or make any payment in violation of any subordination, standstill or collateral sharing terms of or governing, any Indebtedness permitted under </w:t>
      </w:r>
      <w:r>
        <w:rPr>
          <w:rFonts w:ascii="Arial" w:cs="Arial" w:eastAsia="Arial" w:hAnsi="Arial"/>
          <w:sz w:val="17"/>
          <w:szCs w:val="17"/>
          <w:u w:val="single" w:color="auto"/>
          <w:color w:val="auto"/>
        </w:rPr>
        <w:t>Section 7.02(f)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(h)</w:t>
      </w:r>
      <w:r>
        <w:rPr>
          <w:rFonts w:ascii="Arial" w:cs="Arial" w:eastAsia="Arial" w:hAnsi="Arial"/>
          <w:sz w:val="17"/>
          <w:szCs w:val="17"/>
          <w:color w:val="auto"/>
        </w:rPr>
        <w:t xml:space="preserve">, except: (a) refinancing and refunding of the Indebtedness in compliance with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(b) </w:t>
      </w:r>
      <w:r>
        <w:rPr>
          <w:rFonts w:ascii="Arial" w:cs="Arial" w:eastAsia="Arial" w:hAnsi="Arial"/>
          <w:sz w:val="17"/>
          <w:szCs w:val="17"/>
          <w:color w:val="auto"/>
          <w:strike w:val="1"/>
        </w:rPr>
        <w:t>honoring conversion requests</w:t>
      </w:r>
      <w:r>
        <w:rPr>
          <w:rFonts w:ascii="Arial" w:cs="Arial" w:eastAsia="Arial" w:hAnsi="Arial"/>
          <w:sz w:val="17"/>
          <w:szCs w:val="17"/>
          <w:color w:val="auto"/>
        </w:rPr>
        <w:t xml:space="preserve"> </w:t>
      </w:r>
      <w:r>
        <w:rPr>
          <w:rFonts w:ascii="Arial" w:cs="Arial" w:eastAsia="Arial" w:hAnsi="Arial"/>
          <w:sz w:val="17"/>
          <w:szCs w:val="17"/>
          <w:color w:val="auto"/>
          <w:strike w:val="1"/>
        </w:rPr>
        <w:t>in respect of Convertible Subordinated Debt Securities</w:t>
      </w:r>
      <w:r>
        <w:rPr>
          <w:rFonts w:ascii="Arial" w:cs="Arial" w:eastAsia="Arial" w:hAnsi="Arial"/>
          <w:sz w:val="17"/>
          <w:szCs w:val="17"/>
          <w:color w:val="auto"/>
        </w:rPr>
        <w:t xml:space="preserve"> regularly scheduled or required repayments or redemptions of Indebtedness under the Indebtedness set forth in </w:t>
      </w:r>
      <w:r>
        <w:rPr>
          <w:rFonts w:ascii="Arial" w:cs="Arial" w:eastAsia="Arial" w:hAnsi="Arial"/>
          <w:sz w:val="17"/>
          <w:szCs w:val="17"/>
          <w:u w:val="single" w:color="auto"/>
          <w:color w:val="auto"/>
        </w:rPr>
        <w:t>Schedule 7.02</w:t>
      </w:r>
      <w:r>
        <w:rPr>
          <w:rFonts w:ascii="Arial" w:cs="Arial" w:eastAsia="Arial" w:hAnsi="Arial"/>
          <w:sz w:val="17"/>
          <w:szCs w:val="17"/>
          <w:color w:val="auto"/>
        </w:rPr>
        <w:t xml:space="preserve"> to the Disclosure Letter and refinancings and refundings of such Indebtedness in compliance with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(c) honoring conversion requests in respect of Convertible </w:t>
      </w:r>
      <w:r>
        <w:rPr>
          <w:rFonts w:ascii="Arial" w:cs="Arial" w:eastAsia="Arial" w:hAnsi="Arial"/>
          <w:sz w:val="17"/>
          <w:szCs w:val="17"/>
          <w:color w:val="auto"/>
          <w:strike w:val="1"/>
        </w:rPr>
        <w:t>Subordinated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Debt Securities and the making of any regularly scheduled payment or repurchase on any required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 of repayment or repurchase in respect of any Convertible</w:t>
      </w:r>
      <w:r>
        <w:rPr>
          <w:rFonts w:ascii="Arial" w:cs="Arial" w:eastAsia="Arial" w:hAnsi="Arial"/>
          <w:sz w:val="17"/>
          <w:szCs w:val="17"/>
          <w:color w:val="auto"/>
        </w:rPr>
        <w:t xml:space="preserve"> Debt Securities and (d) payment in cash in lieu of fractional shares in connection with the conversions of Convertible </w:t>
      </w:r>
      <w:r>
        <w:rPr>
          <w:rFonts w:ascii="Arial" w:cs="Arial" w:eastAsia="Arial" w:hAnsi="Arial"/>
          <w:sz w:val="17"/>
          <w:szCs w:val="17"/>
          <w:color w:val="auto"/>
          <w:strike w:val="1"/>
        </w:rPr>
        <w:t>Subordinated</w:t>
      </w:r>
      <w:r>
        <w:rPr>
          <w:rFonts w:ascii="Arial" w:cs="Arial" w:eastAsia="Arial" w:hAnsi="Arial"/>
          <w:sz w:val="17"/>
          <w:szCs w:val="17"/>
          <w:color w:val="auto"/>
        </w:rPr>
        <w:t xml:space="preserve"> Debt Securities.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7.16 </w:t>
      </w:r>
      <w:r>
        <w:rPr>
          <w:rFonts w:ascii="Arial" w:cs="Arial" w:eastAsia="Arial" w:hAnsi="Arial"/>
          <w:sz w:val="18"/>
          <w:szCs w:val="18"/>
          <w:b w:val="1"/>
          <w:bCs w:val="1"/>
          <w:u w:val="single" w:color="auto"/>
          <w:color w:val="auto"/>
        </w:rPr>
        <w:t>Amendment, Etc. of Indebtedness</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302" w:lineRule="auto"/>
        <w:tabs>
          <w:tab w:leader="none" w:pos="70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Amend, modify or change in any manner any term or condition of any Convertible </w:t>
      </w:r>
      <w:r>
        <w:rPr>
          <w:rFonts w:ascii="Arial" w:cs="Arial" w:eastAsia="Arial" w:hAnsi="Arial"/>
          <w:sz w:val="16"/>
          <w:szCs w:val="16"/>
          <w:color w:val="auto"/>
          <w:strike w:val="1"/>
        </w:rPr>
        <w:t>Subordinated</w:t>
      </w:r>
      <w:r>
        <w:rPr>
          <w:rFonts w:ascii="Arial" w:cs="Arial" w:eastAsia="Arial" w:hAnsi="Arial"/>
          <w:sz w:val="16"/>
          <w:szCs w:val="16"/>
          <w:color w:val="auto"/>
        </w:rPr>
        <w:t xml:space="preserve"> Debt Securities Document or give any consent, waiver or approval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Convertible </w:t>
      </w:r>
      <w:r>
        <w:rPr>
          <w:rFonts w:ascii="Arial" w:cs="Arial" w:eastAsia="Arial" w:hAnsi="Arial"/>
          <w:sz w:val="16"/>
          <w:szCs w:val="16"/>
          <w:color w:val="auto"/>
          <w:strike w:val="1"/>
        </w:rPr>
        <w:t>Subordinated</w:t>
      </w:r>
      <w:r>
        <w:rPr>
          <w:rFonts w:ascii="Arial" w:cs="Arial" w:eastAsia="Arial" w:hAnsi="Arial"/>
          <w:sz w:val="16"/>
          <w:szCs w:val="16"/>
          <w:color w:val="auto"/>
        </w:rPr>
        <w:t xml:space="preserve"> Debt Securities Documents may be amended or modified to extend the amortization or maturity of the indebtedness evidenced thereby, reduce the interest rate thereon, or otherwise amend or modify the terms thereof so long as the terms of any such amendment or modification are no more restrictive on the Loan Parties than the terms of such documents as in effect on the date hereof;</w:t>
      </w:r>
    </w:p>
    <w:p>
      <w:pPr>
        <w:spacing w:after="0" w:line="154" w:lineRule="exact"/>
        <w:rPr>
          <w:rFonts w:ascii="Arial" w:cs="Arial" w:eastAsia="Arial" w:hAnsi="Arial"/>
          <w:sz w:val="16"/>
          <w:szCs w:val="16"/>
          <w:color w:val="auto"/>
        </w:rPr>
      </w:pPr>
    </w:p>
    <w:p>
      <w:pPr>
        <w:ind w:right="360" w:firstLine="464"/>
        <w:spacing w:after="0" w:line="277" w:lineRule="auto"/>
        <w:tabs>
          <w:tab w:leader="none" w:pos="71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take any other action in connection with any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 Document that would impair the value of the interest or rights of any Loan Party thereunder or that would impair the rights or interests of the Administrative Agent or any Lender; or</w:t>
      </w:r>
    </w:p>
    <w:p>
      <w:pPr>
        <w:spacing w:after="0" w:line="170" w:lineRule="exact"/>
        <w:rPr>
          <w:rFonts w:ascii="Arial" w:cs="Arial" w:eastAsia="Arial" w:hAnsi="Arial"/>
          <w:sz w:val="18"/>
          <w:szCs w:val="18"/>
          <w:color w:val="auto"/>
        </w:rPr>
      </w:pPr>
    </w:p>
    <w:p>
      <w:pPr>
        <w:ind w:right="100" w:firstLine="464"/>
        <w:spacing w:after="0" w:line="312" w:lineRule="auto"/>
        <w:tabs>
          <w:tab w:leader="none" w:pos="70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amend, modify or change in any manner any term or condition of any Subordinated Indebtedness if such amendment or modification would add or change any terms in a manner materially adverse to any Loan Party or any Subsidiary (as determined in good faith by the Borrower), or shorten the final maturity or average life to maturity or require any payment to be made sooner than originally scheduled or increase the interest rate applicable thereto.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7.17 </w:t>
      </w:r>
      <w:r>
        <w:rPr>
          <w:rFonts w:ascii="Arial" w:cs="Arial" w:eastAsia="Arial" w:hAnsi="Arial"/>
          <w:sz w:val="18"/>
          <w:szCs w:val="18"/>
          <w:b w:val="1"/>
          <w:bCs w:val="1"/>
          <w:u w:val="single" w:color="auto"/>
          <w:color w:val="auto"/>
        </w:rPr>
        <w:t>Sanctions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Directly or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or otherwise) of Sanctions.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7.18 </w:t>
      </w:r>
      <w:r>
        <w:rPr>
          <w:rFonts w:ascii="Arial" w:cs="Arial" w:eastAsia="Arial" w:hAnsi="Arial"/>
          <w:sz w:val="18"/>
          <w:szCs w:val="18"/>
          <w:b w:val="1"/>
          <w:bCs w:val="1"/>
          <w:u w:val="single" w:color="auto"/>
          <w:color w:val="auto"/>
        </w:rPr>
        <w:t>Anti-Corruption Laws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Directly or indirectly, use any Credit Extension or the proceeds of any Credit Extension for any purpose which would violate the United States Foreign Corrupt Practices Act of 1977, the UK Bribery Act 2010 and other similar anti-corruption legislation in other jurisdictions that is applicable to the Company and its Subsidiaries.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EVENTS OF DEFAULT AND REMEDIES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8.01 </w:t>
      </w: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225" w:lineRule="exact"/>
        <w:rPr>
          <w:sz w:val="20"/>
          <w:szCs w:val="20"/>
          <w:color w:val="auto"/>
        </w:rPr>
      </w:pPr>
    </w:p>
    <w:p>
      <w:pPr>
        <w:ind w:right="140" w:firstLine="464"/>
        <w:spacing w:after="0" w:line="264" w:lineRule="auto"/>
        <w:tabs>
          <w:tab w:leader="none" w:pos="70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pay (i) when and as required to be paid herein, any amount of principal of any Loan, or (ii) within three (3) days after the same becomes due, any interest on any Loan or any fee due hereunder, or (iii) within five (5) days after the same becomes due, any other amount payable hereunder or under any other Loan Document; or</w:t>
      </w:r>
    </w:p>
    <w:p>
      <w:pPr>
        <w:spacing w:after="0" w:line="181"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Any Loan Party fails to perform or observe any term, covenant or agreement contained in any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(solely with respect to the existence of any Loan Party), </w:t>
      </w:r>
      <w:r>
        <w:rPr>
          <w:rFonts w:ascii="Arial" w:cs="Arial" w:eastAsia="Arial" w:hAnsi="Arial"/>
          <w:sz w:val="18"/>
          <w:szCs w:val="18"/>
          <w:u w:val="single" w:color="auto"/>
          <w:color w:val="auto"/>
        </w:rPr>
        <w:t>6.08</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right="160" w:firstLine="464"/>
        <w:spacing w:after="0" w:line="259" w:lineRule="auto"/>
        <w:tabs>
          <w:tab w:leader="none" w:pos="70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thirty (30) days after the earlier of (i) a Responsible Officer of the Company becoming aware of such failure and (ii) the date written notice thereof shall have been given to the Company by the Administrative Agent;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270" w:right="279" w:bottom="1440" w:gutter="0" w:footer="0" w:header="0"/>
        </w:sectPr>
      </w:pPr>
    </w:p>
    <w:bookmarkStart w:id="107" w:name="page108"/>
    <w:bookmarkEnd w:id="107"/>
    <w:p>
      <w:pPr>
        <w:jc w:val="both"/>
        <w:ind w:left="-8" w:right="480" w:firstLine="464"/>
        <w:spacing w:after="0" w:line="264" w:lineRule="auto"/>
        <w:tabs>
          <w:tab w:leader="none" w:pos="703"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w:t>
      </w:r>
      <w:r>
        <w:rPr>
          <w:rFonts w:ascii="Arial" w:cs="Arial" w:eastAsia="Arial" w:hAnsi="Arial"/>
          <w:sz w:val="18"/>
          <w:szCs w:val="18"/>
          <w:color w:val="auto"/>
        </w:rPr>
        <w:t>. Any representation, warranty, certification or statement of fact made or deemed made by or on behalf of the Borrower or any other Loan Party herein, in any other Loan Document, or in any document delivered by the Borrower or any Loan Party in connection herewith or therewith shall be incorrect or misleading when made or deemed made; or</w:t>
      </w:r>
    </w:p>
    <w:p>
      <w:pPr>
        <w:spacing w:after="0" w:line="181" w:lineRule="exact"/>
        <w:rPr>
          <w:rFonts w:ascii="Arial" w:cs="Arial" w:eastAsia="Arial" w:hAnsi="Arial"/>
          <w:sz w:val="18"/>
          <w:szCs w:val="18"/>
          <w:color w:val="auto"/>
        </w:rPr>
      </w:pPr>
    </w:p>
    <w:p>
      <w:pPr>
        <w:ind w:left="-8" w:right="60" w:firstLine="464"/>
        <w:spacing w:after="0" w:line="284" w:lineRule="auto"/>
        <w:tabs>
          <w:tab w:leader="none" w:pos="693"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Any Loan Party or any Subsidiary thereof (A) fails to make any payment when due (whether by scheduled maturity, required prepayment, acceleration, demand, or otherwise) in respect of any Indebtedness (other than Indebtedness hereunder and Indebtedness under Swap Contracts) having an aggregate outstanding principal amount (including amounts owing to all creditors under any combined or syndicated credit arrangement) of more than the Threshold Amount and such default continues beyond any applicable grace period, or (B) fails to observe or perform any other agreement or condition relating to any such Indebtedness or contained in any instrument or agreement evidencing, securing or relating thereto, or any other event occurs, the effect of which default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w:t>
      </w:r>
    </w:p>
    <w:p>
      <w:pPr>
        <w:spacing w:after="0" w:line="1" w:lineRule="exact"/>
        <w:rPr>
          <w:rFonts w:ascii="Arial" w:cs="Arial" w:eastAsia="Arial" w:hAnsi="Arial"/>
          <w:sz w:val="16"/>
          <w:szCs w:val="16"/>
          <w:color w:val="auto"/>
        </w:rPr>
      </w:pPr>
    </w:p>
    <w:p>
      <w:pPr>
        <w:ind w:left="-8" w:firstLine="8"/>
        <w:spacing w:after="0" w:line="268" w:lineRule="auto"/>
        <w:tabs>
          <w:tab w:leader="none" w:pos="25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(e) shall not apply to (x) Indebtedness secured by a Permitted Lien that becomes due as a result of the voluntary sale or transfer of the property or assets securing such Indebtedness in a sale or transfer permitted under this Agreement, so long as such Indebtedness is repaid when required under the documents providing for such Indebtedness, (y) any redemption, repurchase, conversion or settlement of any Convertible </w:t>
      </w:r>
      <w:r>
        <w:rPr>
          <w:rFonts w:ascii="Arial" w:cs="Arial" w:eastAsia="Arial" w:hAnsi="Arial"/>
          <w:sz w:val="17"/>
          <w:szCs w:val="17"/>
          <w:color w:val="auto"/>
          <w:strike w:val="1"/>
        </w:rPr>
        <w:t>Subordinated</w:t>
      </w:r>
      <w:r>
        <w:rPr>
          <w:rFonts w:ascii="Arial" w:cs="Arial" w:eastAsia="Arial" w:hAnsi="Arial"/>
          <w:sz w:val="17"/>
          <w:szCs w:val="17"/>
          <w:color w:val="auto"/>
        </w:rPr>
        <w:t xml:space="preserve"> Debt Security pursuant to its terms unless such redemption, repurchase, conversion or settlement results from a default thereunder or an event of the type that constitutes an Event of Default or (z) any early payment requirement or unwinding or termination with respect to any Permitted Call Spread Swap Agreement not resulting from an event of default thereunder; or</w:t>
      </w:r>
    </w:p>
    <w:p>
      <w:pPr>
        <w:spacing w:after="0" w:line="179" w:lineRule="exact"/>
        <w:rPr>
          <w:rFonts w:ascii="Arial" w:cs="Arial" w:eastAsia="Arial" w:hAnsi="Arial"/>
          <w:sz w:val="17"/>
          <w:szCs w:val="17"/>
          <w:color w:val="auto"/>
        </w:rPr>
      </w:pPr>
    </w:p>
    <w:p>
      <w:pPr>
        <w:ind w:left="-8" w:right="80" w:firstLine="464"/>
        <w:spacing w:after="0" w:line="272" w:lineRule="auto"/>
        <w:tabs>
          <w:tab w:leader="none" w:pos="673"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Any Loan Party or any Subsidiary (other than any Immaterial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77" w:lineRule="exact"/>
        <w:rPr>
          <w:rFonts w:ascii="Arial" w:cs="Arial" w:eastAsia="Arial" w:hAnsi="Arial"/>
          <w:sz w:val="17"/>
          <w:szCs w:val="17"/>
          <w:color w:val="auto"/>
        </w:rPr>
      </w:pPr>
    </w:p>
    <w:p>
      <w:pPr>
        <w:jc w:val="both"/>
        <w:ind w:left="-8" w:right="40" w:firstLine="464"/>
        <w:spacing w:after="0" w:line="259" w:lineRule="auto"/>
        <w:tabs>
          <w:tab w:leader="none" w:pos="703"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or any Subsidiary (other than any Immaterial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11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52"/>
          </w:cols>
          <w:pgMar w:left="248" w:top="274" w:right="299" w:bottom="1440" w:gutter="0" w:footer="0" w:header="0"/>
        </w:sectPr>
      </w:pPr>
    </w:p>
    <w:bookmarkStart w:id="108" w:name="page109"/>
    <w:bookmarkEnd w:id="108"/>
    <w:p>
      <w:pPr>
        <w:ind w:firstLine="464"/>
        <w:spacing w:after="0" w:line="257" w:lineRule="auto"/>
        <w:tabs>
          <w:tab w:leader="none" w:pos="71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Judgments</w:t>
      </w:r>
      <w:r>
        <w:rPr>
          <w:rFonts w:ascii="Arial" w:cs="Arial" w:eastAsia="Arial" w:hAnsi="Arial"/>
          <w:sz w:val="18"/>
          <w:szCs w:val="18"/>
          <w:color w:val="auto"/>
        </w:rPr>
        <w:t>. There is entered against any Loan Party or any Subsidiary thereof one or more final judgments or orders for the payment of money in an aggregate amount (as to all such judgments and orders) exceeding the Threshold Amount (to the extent not covered by independent third-party insurance as to which the insurer is solvent, has been notified of the potential claim and does not dispute coverage) and (i) enforcement proceedings are commenced by any creditor upon such judgment or order, or (ii) there is a period of twenty (20) consecutive days during which a stay of enforcement of such judgment, by reason of a pending appeal or otherwise, is not in effect; or</w:t>
      </w:r>
    </w:p>
    <w:p>
      <w:pPr>
        <w:spacing w:after="0" w:line="188" w:lineRule="exact"/>
        <w:rPr>
          <w:rFonts w:ascii="Arial" w:cs="Arial" w:eastAsia="Arial" w:hAnsi="Arial"/>
          <w:sz w:val="18"/>
          <w:szCs w:val="18"/>
          <w:color w:val="auto"/>
        </w:rPr>
      </w:pPr>
    </w:p>
    <w:p>
      <w:pPr>
        <w:ind w:right="80" w:firstLine="464"/>
        <w:spacing w:after="0" w:line="257" w:lineRule="auto"/>
        <w:tabs>
          <w:tab w:leader="none" w:pos="67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8" w:lineRule="exact"/>
        <w:rPr>
          <w:rFonts w:ascii="Arial" w:cs="Arial" w:eastAsia="Arial" w:hAnsi="Arial"/>
          <w:sz w:val="18"/>
          <w:szCs w:val="18"/>
          <w:color w:val="auto"/>
        </w:rPr>
      </w:pPr>
    </w:p>
    <w:p>
      <w:pPr>
        <w:ind w:right="40" w:firstLine="464"/>
        <w:spacing w:after="0" w:line="257" w:lineRule="auto"/>
        <w:tabs>
          <w:tab w:leader="none" w:pos="67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provision of any Loan Document, at any time after its execution and delivery and for any reason other than as expressly permitted hereunder or thereunder or satisfaction in full of all Obligations arising under the Loan Documents,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p>
      <w:pPr>
        <w:spacing w:after="0" w:line="188" w:lineRule="exact"/>
        <w:rPr>
          <w:rFonts w:ascii="Arial" w:cs="Arial" w:eastAsia="Arial" w:hAnsi="Arial"/>
          <w:sz w:val="18"/>
          <w:szCs w:val="18"/>
          <w:color w:val="auto"/>
        </w:rPr>
      </w:pPr>
    </w:p>
    <w:p>
      <w:pPr>
        <w:ind w:right="160" w:firstLine="464"/>
        <w:spacing w:after="0" w:line="342" w:lineRule="auto"/>
        <w:tabs>
          <w:tab w:leader="none" w:pos="711"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Collateral Documents</w:t>
      </w:r>
      <w:r>
        <w:rPr>
          <w:rFonts w:ascii="Arial" w:cs="Arial" w:eastAsia="Arial" w:hAnsi="Arial"/>
          <w:sz w:val="16"/>
          <w:szCs w:val="16"/>
          <w:color w:val="auto"/>
        </w:rPr>
        <w:t>. Any Collateral Document after delivery thereof pursuant to the terms of the Loan Documents shall for any reason cease to create a valid Lien (subject to Permitted Liens) on the Collateral purported to be covered thereby, or any Loan Party shall assert the invalidity of such Liens;</w:t>
      </w:r>
    </w:p>
    <w:p>
      <w:pPr>
        <w:spacing w:after="0" w:line="123" w:lineRule="exact"/>
        <w:rPr>
          <w:rFonts w:ascii="Arial" w:cs="Arial" w:eastAsia="Arial" w:hAnsi="Arial"/>
          <w:sz w:val="16"/>
          <w:szCs w:val="16"/>
          <w:color w:val="auto"/>
        </w:rPr>
      </w:pPr>
    </w:p>
    <w:p>
      <w:pPr>
        <w:ind w:left="680" w:hanging="216"/>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ind w:right="40" w:firstLine="464"/>
        <w:spacing w:after="0" w:line="255" w:lineRule="auto"/>
        <w:tabs>
          <w:tab w:leader="none" w:pos="76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(i) Any of the subordination, standstill, payover and insolvency related provisions of any of the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 Documents (the “</w:t>
      </w:r>
      <w:r>
        <w:rPr>
          <w:rFonts w:ascii="Arial" w:cs="Arial" w:eastAsia="Arial" w:hAnsi="Arial"/>
          <w:sz w:val="18"/>
          <w:szCs w:val="18"/>
          <w:u w:val="single" w:color="auto"/>
          <w:color w:val="auto"/>
        </w:rPr>
        <w:t>Subordination Provisions</w:t>
      </w:r>
      <w:r>
        <w:rPr>
          <w:rFonts w:ascii="Arial" w:cs="Arial" w:eastAsia="Arial" w:hAnsi="Arial"/>
          <w:sz w:val="18"/>
          <w:szCs w:val="18"/>
          <w:color w:val="auto"/>
        </w:rPr>
        <w:t xml:space="preserve">”) shall, in whole or in part, terminate, cease to be effective or cease to be legally valid, binding and enforceable against any holder of the applicable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 or (ii) the Borrower or any other Loan Party shall, directly or indirectly, disavow or contest in any manner (A) the effectiveness, validity or enforceability of any of the Subordination Provisions, (B) that the Subordination Provisions exist for the benefit of the Administrative Agent and the Secured Parties or (C) that all payments of principal of or premium and interest on the applicable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 or realized from the liquidation of any property of any Loan Party, shall be subject to any of the Subordination Provisions.</w:t>
      </w:r>
    </w:p>
    <w:p>
      <w:pPr>
        <w:spacing w:after="0" w:line="18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Without limiting the provisions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if a Default shall have occurred under the Loan Documents, then such Default will continue to exist until it either is cured (to the extent specifically permitted) in accordance with the Loan Documents or is otherwise expressly waived by Administrative Agent (with the approval of the requisite Appropriate Lenders (in their sole discretion) as determined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8.02 </w:t>
      </w:r>
      <w:r>
        <w:rPr>
          <w:rFonts w:ascii="Arial" w:cs="Arial" w:eastAsia="Arial" w:hAnsi="Arial"/>
          <w:sz w:val="18"/>
          <w:szCs w:val="18"/>
          <w:b w:val="1"/>
          <w:bCs w:val="1"/>
          <w:u w:val="single" w:color="auto"/>
          <w:color w:val="auto"/>
        </w:rPr>
        <w:t>Remedies upon Event of Default</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170" w:lineRule="exact"/>
        <w:rPr>
          <w:sz w:val="20"/>
          <w:szCs w:val="20"/>
          <w:color w:val="auto"/>
        </w:rPr>
      </w:pPr>
    </w:p>
    <w:p>
      <w:pPr>
        <w:ind w:left="700" w:hanging="236"/>
        <w:spacing w:after="0"/>
        <w:tabs>
          <w:tab w:leader="none" w:pos="7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declare the Commitment of each Lender to make Loans to be terminated, whereupon such commitments and obligations shall be terminated;</w:t>
      </w:r>
    </w:p>
    <w:p>
      <w:pPr>
        <w:spacing w:after="0" w:line="236" w:lineRule="exact"/>
        <w:rPr>
          <w:rFonts w:ascii="Arial" w:cs="Arial" w:eastAsia="Arial" w:hAnsi="Arial"/>
          <w:sz w:val="17"/>
          <w:szCs w:val="17"/>
          <w:color w:val="auto"/>
        </w:rPr>
      </w:pPr>
    </w:p>
    <w:p>
      <w:pPr>
        <w:ind w:right="220" w:firstLine="464"/>
        <w:spacing w:after="0" w:line="264"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and the Lenders under the Loan Documents or applicable Law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equity;</w:t>
      </w:r>
    </w:p>
    <w:p>
      <w:pPr>
        <w:spacing w:after="0" w:line="21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as aforesaid shall automatically become due and payable without further act of the Administrative Agent or any Lender.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8.03 </w:t>
      </w:r>
      <w:r>
        <w:rPr>
          <w:rFonts w:ascii="Arial" w:cs="Arial" w:eastAsia="Arial" w:hAnsi="Arial"/>
          <w:sz w:val="18"/>
          <w:szCs w:val="18"/>
          <w:b w:val="1"/>
          <w:bCs w:val="1"/>
          <w:u w:val="single" w:color="auto"/>
          <w:color w:val="auto"/>
        </w:rPr>
        <w:t>Application of Funds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at any time insufficient funds are received by and available to the Administrative Agent to pay fully all Secured Obligations then due hereunder, any amounts received on account of the Secured Obligations shall, subject to the provisions of </w:t>
      </w:r>
      <w:r>
        <w:rPr>
          <w:rFonts w:ascii="Arial" w:cs="Arial" w:eastAsia="Arial" w:hAnsi="Arial"/>
          <w:sz w:val="18"/>
          <w:szCs w:val="18"/>
          <w:u w:val="single" w:color="auto"/>
          <w:color w:val="auto"/>
        </w:rPr>
        <w:t>Section 2.12</w:t>
      </w:r>
      <w:r>
        <w:rPr>
          <w:rFonts w:ascii="Arial" w:cs="Arial" w:eastAsia="Arial" w:hAnsi="Arial"/>
          <w:sz w:val="18"/>
          <w:szCs w:val="18"/>
          <w:color w:val="auto"/>
        </w:rPr>
        <w:t>, be applied by the Administrative Agent in the following order:</w:t>
      </w:r>
    </w:p>
    <w:p>
      <w:pPr>
        <w:spacing w:after="0" w:line="18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Secured Obligations constituting fees, indemnities, expenses and other amounts (including fees, charges and disbursements of counsel (including any local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Secured Obligations constituting fees, indemnities and other amounts (other than principal and interest) payable to the Lenders under the Loan Documents (including fees, charges and disbursements of counsel to the respective Lenders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ratably among them in proportion to the respective amounts described in this clause Second payable to them;</w:t>
      </w:r>
    </w:p>
    <w:p>
      <w:pPr>
        <w:spacing w:after="0" w:line="18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to payment of that portion of the Secured Obligations constituting accrued and unpaid interest on the Loans and other Secured Obligations arising under the Loan Documents, ratably among the Lenders in proportion to the respective amounts described in this clause Third payable to them;</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to payment of that portion of the Secured Obligations constituting unpaid principal of the Loans and Secured Obligations then owing under the Secured Hedge Agreements and Secured Cash Management Agreements, ratably among the Administrative Agent, the Lenders, the Hedge Banks and the Cash Management Banks in proportion to the respective amounts described in this clause Fourth held by them; and</w:t>
      </w:r>
    </w:p>
    <w:p>
      <w:pPr>
        <w:spacing w:after="0" w:line="166"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Secured Obligations have been indefeasibly paid in full, to the Borrower or as otherwise required by Law. 90</w:t>
      </w:r>
    </w:p>
    <w:p>
      <w:pPr>
        <w:sectPr>
          <w:pgSz w:w="11900" w:h="16838" w:orient="portrait"/>
          <w:cols w:equalWidth="0" w:num="1">
            <w:col w:w="11320"/>
          </w:cols>
          <w:pgMar w:left="240" w:top="270" w:right="339" w:bottom="1440" w:gutter="0" w:footer="0" w:header="0"/>
        </w:sectPr>
      </w:pPr>
    </w:p>
    <w:bookmarkStart w:id="110" w:name="page111"/>
    <w:bookmarkEnd w:id="110"/>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Section.</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Article IX for itself and its Affiliates as if a “Lender” party hereto.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ADMINISTRATIVE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9.01 </w:t>
      </w:r>
      <w:r>
        <w:rPr>
          <w:rFonts w:ascii="Arial" w:cs="Arial" w:eastAsia="Arial" w:hAnsi="Arial"/>
          <w:sz w:val="18"/>
          <w:szCs w:val="18"/>
          <w:b w:val="1"/>
          <w:bCs w:val="1"/>
          <w:u w:val="single" w:color="auto"/>
          <w:color w:val="auto"/>
        </w:rPr>
        <w:t>Appointment and Authority</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64"/>
        <w:spacing w:after="0" w:line="253" w:lineRule="auto"/>
        <w:tabs>
          <w:tab w:leader="none" w:pos="70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xml:space="preserve">. Each of the Lenders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(except for the Borrower’s consultation rights provided in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and the provisions of </w:t>
      </w:r>
      <w:r>
        <w:rPr>
          <w:rFonts w:ascii="Arial" w:cs="Arial" w:eastAsia="Arial" w:hAnsi="Arial"/>
          <w:sz w:val="18"/>
          <w:szCs w:val="18"/>
          <w:u w:val="single" w:color="auto"/>
          <w:color w:val="auto"/>
        </w:rPr>
        <w:t>Section 9.10</w:t>
      </w:r>
      <w:r>
        <w:rPr>
          <w:rFonts w:ascii="Arial" w:cs="Arial" w:eastAsia="Arial" w:hAnsi="Arial"/>
          <w:sz w:val="18"/>
          <w:szCs w:val="18"/>
          <w:color w:val="auto"/>
        </w:rPr>
        <w:t>)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7" w:lineRule="exact"/>
        <w:rPr>
          <w:rFonts w:ascii="Arial" w:cs="Arial" w:eastAsia="Arial" w:hAnsi="Arial"/>
          <w:sz w:val="18"/>
          <w:szCs w:val="18"/>
          <w:color w:val="auto"/>
        </w:rPr>
      </w:pPr>
    </w:p>
    <w:p>
      <w:pPr>
        <w:ind w:firstLine="464"/>
        <w:spacing w:after="0" w:line="253" w:lineRule="auto"/>
        <w:tabs>
          <w:tab w:leader="none" w:pos="71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The Administrative Agent shall also act as the “collateral agent” under the Loan Documents, and each of the Lenders (including in its capacities as a potential Hedge Bank, and a potential Cash Management Bank)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11.04(c)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9.02 </w:t>
      </w:r>
      <w:r>
        <w:rPr>
          <w:rFonts w:ascii="Arial" w:cs="Arial" w:eastAsia="Arial" w:hAnsi="Arial"/>
          <w:sz w:val="18"/>
          <w:szCs w:val="18"/>
          <w:b w:val="1"/>
          <w:bCs w:val="1"/>
          <w:u w:val="single" w:color="auto"/>
          <w:color w:val="auto"/>
        </w:rPr>
        <w:t>Rights as a Lender</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111" w:name="page112"/>
    <w:bookmarkEnd w:id="11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9.03 </w:t>
      </w:r>
      <w:r>
        <w:rPr>
          <w:rFonts w:ascii="Arial" w:cs="Arial" w:eastAsia="Arial" w:hAnsi="Arial"/>
          <w:sz w:val="18"/>
          <w:szCs w:val="18"/>
          <w:b w:val="1"/>
          <w:bCs w:val="1"/>
          <w:u w:val="single" w:color="auto"/>
          <w:color w:val="auto"/>
        </w:rPr>
        <w:t>Exculpatory Provisions</w:t>
      </w:r>
      <w:r>
        <w:rPr>
          <w:rFonts w:ascii="Arial" w:cs="Arial" w:eastAsia="Arial" w:hAnsi="Arial"/>
          <w:sz w:val="18"/>
          <w:szCs w:val="18"/>
          <w:b w:val="1"/>
          <w:bCs w:val="1"/>
          <w:color w:val="auto"/>
        </w:rPr>
        <w:t>.</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24" w:lineRule="exact"/>
        <w:rPr>
          <w:sz w:val="20"/>
          <w:szCs w:val="20"/>
          <w:color w:val="auto"/>
        </w:rPr>
      </w:pPr>
    </w:p>
    <w:p>
      <w:pPr>
        <w:ind w:left="700" w:hanging="236"/>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right="40" w:firstLine="464"/>
        <w:spacing w:after="0" w:line="293" w:lineRule="auto"/>
        <w:tabs>
          <w:tab w:leader="none" w:pos="71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64" w:lineRule="exact"/>
        <w:rPr>
          <w:rFonts w:ascii="Arial" w:cs="Arial" w:eastAsia="Arial" w:hAnsi="Arial"/>
          <w:sz w:val="16"/>
          <w:szCs w:val="16"/>
          <w:color w:val="auto"/>
        </w:rPr>
      </w:pPr>
    </w:p>
    <w:p>
      <w:pPr>
        <w:ind w:right="100" w:firstLine="464"/>
        <w:spacing w:after="0" w:line="264" w:lineRule="auto"/>
        <w:tabs>
          <w:tab w:leader="none" w:pos="70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or responsibility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Sections 11.01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8.02</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4"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9.04 </w:t>
      </w:r>
      <w:r>
        <w:rPr>
          <w:rFonts w:ascii="Arial" w:cs="Arial" w:eastAsia="Arial" w:hAnsi="Arial"/>
          <w:sz w:val="18"/>
          <w:szCs w:val="18"/>
          <w:b w:val="1"/>
          <w:bCs w:val="1"/>
          <w:u w:val="single" w:color="auto"/>
          <w:color w:val="auto"/>
        </w:rPr>
        <w:t>Reliance by Administrative Agent</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9.05 </w:t>
      </w:r>
      <w:r>
        <w:rPr>
          <w:rFonts w:ascii="Arial" w:cs="Arial" w:eastAsia="Arial" w:hAnsi="Arial"/>
          <w:sz w:val="18"/>
          <w:szCs w:val="18"/>
          <w:b w:val="1"/>
          <w:bCs w:val="1"/>
          <w:u w:val="single" w:color="auto"/>
          <w:color w:val="auto"/>
        </w:rPr>
        <w:t>Delegation of Duties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9.06 </w:t>
      </w:r>
      <w:r>
        <w:rPr>
          <w:rFonts w:ascii="Arial" w:cs="Arial" w:eastAsia="Arial" w:hAnsi="Arial"/>
          <w:sz w:val="18"/>
          <w:szCs w:val="18"/>
          <w:b w:val="1"/>
          <w:bCs w:val="1"/>
          <w:u w:val="single" w:color="auto"/>
          <w:color w:val="auto"/>
        </w:rPr>
        <w:t>Resignation of Administrative Agent</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72" w:lineRule="auto"/>
        <w:tabs>
          <w:tab w:leader="none" w:pos="701"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77" w:lineRule="exact"/>
        <w:rPr>
          <w:rFonts w:ascii="Arial" w:cs="Arial" w:eastAsia="Arial" w:hAnsi="Arial"/>
          <w:sz w:val="17"/>
          <w:szCs w:val="17"/>
          <w:color w:val="auto"/>
        </w:rPr>
      </w:pPr>
    </w:p>
    <w:p>
      <w:pPr>
        <w:ind w:right="660" w:firstLine="464"/>
        <w:spacing w:after="0" w:line="264" w:lineRule="auto"/>
        <w:tabs>
          <w:tab w:leader="none" w:pos="711"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Defaulting Lender</w:t>
      </w:r>
      <w:r>
        <w:rPr>
          <w:rFonts w:ascii="Arial" w:cs="Arial" w:eastAsia="Arial" w:hAnsi="Arial"/>
          <w:sz w:val="18"/>
          <w:szCs w:val="18"/>
          <w:color w:val="auto"/>
        </w:rPr>
        <w:t>. If the Person serving as Administrative Agent is a Defaulting Lender pursuant to clause (d) of the definition thereof, the Required Lenders may, to the extent permitted by applicable Law, by notice in writing to the Borrower and such Person remove such Person as Administrative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0" w:right="239" w:bottom="1440" w:gutter="0" w:footer="0" w:header="0"/>
        </w:sectPr>
      </w:pPr>
    </w:p>
    <w:bookmarkStart w:id="113" w:name="page114"/>
    <w:bookmarkEnd w:id="113"/>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66" w:lineRule="exact"/>
        <w:rPr>
          <w:sz w:val="20"/>
          <w:szCs w:val="20"/>
          <w:color w:val="auto"/>
        </w:rPr>
      </w:pPr>
    </w:p>
    <w:p>
      <w:pPr>
        <w:ind w:firstLine="464"/>
        <w:spacing w:after="0" w:line="268" w:lineRule="auto"/>
        <w:tabs>
          <w:tab w:leader="none" w:pos="701"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Effect of Resignation or Removal</w:t>
      </w:r>
      <w:r>
        <w:rPr>
          <w:rFonts w:ascii="Arial" w:cs="Arial" w:eastAsia="Arial" w:hAnsi="Arial"/>
          <w:sz w:val="17"/>
          <w:szCs w:val="17"/>
          <w:color w:val="auto"/>
        </w:rPr>
        <w:t xml:space="preserve">.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9.07 </w:t>
      </w:r>
      <w:r>
        <w:rPr>
          <w:rFonts w:ascii="Arial" w:cs="Arial" w:eastAsia="Arial" w:hAnsi="Arial"/>
          <w:sz w:val="18"/>
          <w:szCs w:val="18"/>
          <w:b w:val="1"/>
          <w:bCs w:val="1"/>
          <w:u w:val="single" w:color="auto"/>
          <w:color w:val="auto"/>
        </w:rPr>
        <w:t>Non-Reliance on Administrative Agent and Other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9.08 </w:t>
      </w:r>
      <w:r>
        <w:rPr>
          <w:rFonts w:ascii="Arial" w:cs="Arial" w:eastAsia="Arial" w:hAnsi="Arial"/>
          <w:sz w:val="18"/>
          <w:szCs w:val="18"/>
          <w:b w:val="1"/>
          <w:bCs w:val="1"/>
          <w:u w:val="single" w:color="auto"/>
          <w:color w:val="auto"/>
        </w:rPr>
        <w:t>No Other Duties, Etc</w:t>
      </w:r>
      <w:r>
        <w:rPr>
          <w:rFonts w:ascii="Arial" w:cs="Arial" w:eastAsia="Arial" w:hAnsi="Arial"/>
          <w:sz w:val="18"/>
          <w:szCs w:val="18"/>
          <w:b w:val="1"/>
          <w:bCs w:val="1"/>
          <w:color w:val="auto"/>
        </w:rPr>
        <w:t>.</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the Arranger, or a Lender 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9.09 </w:t>
      </w:r>
      <w:r>
        <w:rPr>
          <w:rFonts w:ascii="Arial" w:cs="Arial" w:eastAsia="Arial" w:hAnsi="Arial"/>
          <w:sz w:val="18"/>
          <w:szCs w:val="18"/>
          <w:b w:val="1"/>
          <w:bCs w:val="1"/>
          <w:u w:val="single" w:color="auto"/>
          <w:color w:val="auto"/>
        </w:rPr>
        <w:t>Administrative Agent May File Proofs of Claim; Credit Bidding</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7" w:lineRule="exact"/>
        <w:rPr>
          <w:sz w:val="20"/>
          <w:szCs w:val="20"/>
          <w:color w:val="auto"/>
        </w:rPr>
      </w:pPr>
    </w:p>
    <w:p>
      <w:pPr>
        <w:ind w:right="220" w:firstLine="464"/>
        <w:spacing w:after="0" w:line="257" w:lineRule="auto"/>
        <w:tabs>
          <w:tab w:leader="none" w:pos="70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Secured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2.08(b)</w:t>
      </w:r>
      <w:r>
        <w:rPr>
          <w:rFonts w:ascii="Arial" w:cs="Arial" w:eastAsia="Arial" w:hAnsi="Arial"/>
          <w:sz w:val="18"/>
          <w:szCs w:val="18"/>
          <w:color w:val="auto"/>
        </w:rPr>
        <w:t xml:space="preserve"> and 11.04) allowed in such judicial proceeding; and</w:t>
      </w:r>
    </w:p>
    <w:p>
      <w:pPr>
        <w:spacing w:after="0" w:line="188" w:lineRule="exact"/>
        <w:rPr>
          <w:rFonts w:ascii="Arial" w:cs="Arial" w:eastAsia="Arial" w:hAnsi="Arial"/>
          <w:sz w:val="18"/>
          <w:szCs w:val="18"/>
          <w:color w:val="auto"/>
        </w:rPr>
      </w:pPr>
    </w:p>
    <w:p>
      <w:pPr>
        <w:ind w:left="720" w:hanging="256"/>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-421640</wp:posOffset>
            </wp:positionV>
            <wp:extent cx="2813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1305" cy="8890"/>
                    </a:xfrm>
                    <a:prstGeom prst="rect">
                      <a:avLst/>
                    </a:prstGeom>
                    <a:noFill/>
                  </pic:spPr>
                </pic:pic>
              </a:graphicData>
            </a:graphic>
          </wp:anchor>
        </w:drawing>
      </w:r>
    </w:p>
    <w:p>
      <w:pPr>
        <w:spacing w:after="0" w:line="205"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Secured Obligations or the rights of any Lender to authorize the Administrative Agent to vote in respect of the claim of any Lender or in any such proceeding.</w:t>
      </w:r>
    </w:p>
    <w:p>
      <w:pPr>
        <w:spacing w:after="0" w:line="181"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w:t>
      </w:r>
    </w:p>
    <w:p>
      <w:pPr>
        <w:ind w:firstLine="8"/>
        <w:spacing w:after="0" w:line="284" w:lineRule="auto"/>
        <w:tabs>
          <w:tab w:leader="none" w:pos="24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of this Agreement), and (iii)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pro rata and the Equity Interests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0" w:right="239" w:bottom="1440" w:gutter="0" w:footer="0" w:header="0"/>
        </w:sectPr>
      </w:pPr>
    </w:p>
    <w:bookmarkStart w:id="115" w:name="page116"/>
    <w:bookmarkEnd w:id="115"/>
    <w:p>
      <w:pPr>
        <w:ind w:right="5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9.10 </w:t>
      </w:r>
      <w:r>
        <w:rPr>
          <w:rFonts w:ascii="Arial" w:cs="Arial" w:eastAsia="Arial" w:hAnsi="Arial"/>
          <w:sz w:val="18"/>
          <w:szCs w:val="18"/>
          <w:b w:val="1"/>
          <w:bCs w:val="1"/>
          <w:u w:val="single" w:color="auto"/>
          <w:color w:val="auto"/>
        </w:rPr>
        <w:t>Collateral and Guaranty Matters</w:t>
      </w:r>
      <w:r>
        <w:rPr>
          <w:rFonts w:ascii="Arial" w:cs="Arial" w:eastAsia="Arial" w:hAnsi="Arial"/>
          <w:sz w:val="18"/>
          <w:szCs w:val="18"/>
          <w:b w:val="1"/>
          <w:bCs w:val="1"/>
          <w:color w:val="auto"/>
        </w:rPr>
        <w:t>.</w:t>
      </w:r>
    </w:p>
    <w:p>
      <w:pPr>
        <w:spacing w:after="0" w:line="12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Each of the Lenders (including in its capacities as a potential Cash Management Bank and a potential Hedge Bank) irrevocably authorize the Administrative Agent, at its option and in its discretion,</w:t>
      </w:r>
    </w:p>
    <w:p>
      <w:pPr>
        <w:spacing w:after="0" w:line="170" w:lineRule="exact"/>
        <w:rPr>
          <w:sz w:val="20"/>
          <w:szCs w:val="20"/>
          <w:color w:val="auto"/>
        </w:rPr>
      </w:pPr>
    </w:p>
    <w:p>
      <w:pPr>
        <w:ind w:firstLine="464"/>
        <w:spacing w:after="0" w:line="312" w:lineRule="auto"/>
        <w:tabs>
          <w:tab w:leader="none" w:pos="70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 Loan Document, or (iii) if approved, authorized or ratified in writing by the Required Lenders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340" w:firstLine="464"/>
        <w:spacing w:after="0" w:line="277" w:lineRule="auto"/>
        <w:tabs>
          <w:tab w:leader="none" w:pos="71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under the Loan Documents; and</w:t>
      </w:r>
    </w:p>
    <w:p>
      <w:pPr>
        <w:spacing w:after="0" w:line="170"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(i) hold Liens created under any Collateral Document governed by the laws of Mauritius (including, without limitation, the Fabrinet Mauritius Share Pledge) and (ii) the other rights resulting from any such Collateral Document governed by the laws of Mauritius (including all proceeds of realization), in trust for the benefit of the Secured Parties pursuant to the terms of this Agreement.</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b w:val="1"/>
          <w:bCs w:val="1"/>
          <w:u w:val="single" w:color="auto"/>
          <w:color w:val="auto"/>
        </w:rPr>
        <w:t>Secured Cash Management Agreements and Secured Hedge Agreements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expressly set forth herein, no Cash Management Bank or Hedge Bank that obtains the benefit of the provisions of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the contrary, the Administrative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4" w:right="259" w:bottom="1440" w:gutter="0" w:footer="0" w:header="0"/>
        </w:sectPr>
      </w:pPr>
    </w:p>
    <w:bookmarkStart w:id="116" w:name="page117"/>
    <w:bookmarkEnd w:id="11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CONTINUING GUARANTY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10.01 </w:t>
      </w:r>
      <w:r>
        <w:rPr>
          <w:rFonts w:ascii="Arial" w:cs="Arial" w:eastAsia="Arial" w:hAnsi="Arial"/>
          <w:sz w:val="18"/>
          <w:szCs w:val="18"/>
          <w:b w:val="1"/>
          <w:bCs w:val="1"/>
          <w:u w:val="single" w:color="auto"/>
          <w:color w:val="auto"/>
        </w:rPr>
        <w:t>Guaranty</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Each Guarantor hereby absolutely and unconditionally, jointly and severally guarantees, as a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under or in connection with the Loan Documents (for each Guarantor, subject to the provisos in this sentence, its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Guaranteed Obligations of a Guarantor shall exclude any Excluded Swap Obligations with respect to such Guarantor;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or foreign law or other applicable Law; (c) in respect of any Thai Guarantor (including Fabrinet Thailand upon becoming a Guarantor) (i) the Guaranteed Obligations shall constitute the principal amount of $200,000,000 (plus the amount of any Incremental Facility) plus all interest accrued thereon, default interest, indemnities, commissions, charges, fees, costs and expenses, debts or liabilities incurred or payable under the Loan Documents and (ii) such Thai Guarantor shall have obtained (A) a BOT Approval in Principle and (B) a Thai Guarantee License (to the extent that such Thai Material Subsidiary is required under the Foreign Business Act B.E. 2542 (1999), as amended, to obtain a Thai Guarantee License). The Administrative Agent’s books and records showing the amount of the Obligations shall be admissible in evidence in any action or proceeding, and shall be binding upon each Guarantor, and conclusive, absent manifest error,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10.02 </w:t>
      </w:r>
      <w:r>
        <w:rPr>
          <w:rFonts w:ascii="Arial" w:cs="Arial" w:eastAsia="Arial" w:hAnsi="Arial"/>
          <w:sz w:val="18"/>
          <w:szCs w:val="18"/>
          <w:b w:val="1"/>
          <w:bCs w:val="1"/>
          <w:u w:val="single" w:color="auto"/>
          <w:color w:val="auto"/>
        </w:rPr>
        <w:t>Rights of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and the Lenders in their sole discretion may determine; and (d) release or substitute one or more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74" w:right="259" w:bottom="1440" w:gutter="0" w:footer="0" w:header="0"/>
        </w:sectPr>
      </w:pPr>
    </w:p>
    <w:bookmarkStart w:id="117" w:name="page118"/>
    <w:bookmarkEnd w:id="117"/>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10.03 </w:t>
      </w:r>
      <w:r>
        <w:rPr>
          <w:rFonts w:ascii="Arial" w:cs="Arial" w:eastAsia="Arial" w:hAnsi="Arial"/>
          <w:sz w:val="18"/>
          <w:szCs w:val="18"/>
          <w:b w:val="1"/>
          <w:bCs w:val="1"/>
          <w:u w:val="single" w:color="auto"/>
          <w:color w:val="auto"/>
        </w:rPr>
        <w:t>Certain Waivers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64"/>
        <w:spacing w:after="0" w:line="269" w:lineRule="auto"/>
        <w:tabs>
          <w:tab w:leader="none" w:pos="70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Each Guarantor waives, to the extent permitted by applicable Law, (i) any defense arising by reason of any disability or other defense of the Borrower or any other guarantor, or the cessation from any cause whatsoever (including any act or omission of any Secured Party) of the liability of the Borrower or any other Loan Party; (ii) any defense based on any claim that such Guarantor’s obligations exceed or are more burdensome than those of the Borrower or any other Loan Party; (iii) the benefit of any statute of limitations affecting any Guarantor’s liability hereunder; (iv) any right to proceed against the Borrower or any other Loan Party, proceed against or exhaust any security for the Secured Obligations, or pursue any other remedy in the power of any Secured Party whatsoever; (v) any benefit of and any right to participate in any security now or hereafter held by any Secured Party; and (vi)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82" w:lineRule="exact"/>
        <w:rPr>
          <w:rFonts w:ascii="Arial" w:cs="Arial" w:eastAsia="Arial" w:hAnsi="Arial"/>
          <w:sz w:val="17"/>
          <w:szCs w:val="17"/>
          <w:color w:val="auto"/>
        </w:rPr>
      </w:pPr>
    </w:p>
    <w:p>
      <w:pPr>
        <w:ind w:right="180" w:firstLine="464"/>
        <w:spacing w:after="0" w:line="302" w:lineRule="auto"/>
        <w:tabs>
          <w:tab w:leader="none" w:pos="71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any Loan Document, each Thai Guarantor irrevocably and unconditionally, to the extent permitted by applicable law, waives all rights to avoid its obligations under this Guaranty which it may have under Sections 196, 293, 294, 684, 687, 688 to 690, 693, 694 and 697 to 701 of the Civil and Commercial Code of Thailand and agrees not to exercise any of its rights under Section 696 of the Civil and Commercial Code of Thailand unless and until the Guaranteed Obligations have been fully and irrevocably paid, repaid or discharged.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10.04 </w:t>
      </w:r>
      <w:r>
        <w:rPr>
          <w:rFonts w:ascii="Arial" w:cs="Arial" w:eastAsia="Arial" w:hAnsi="Arial"/>
          <w:sz w:val="18"/>
          <w:szCs w:val="18"/>
          <w:b w:val="1"/>
          <w:bCs w:val="1"/>
          <w:u w:val="single" w:color="auto"/>
          <w:color w:val="auto"/>
        </w:rPr>
        <w:t>Obligations Independent</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10.05 </w:t>
      </w:r>
      <w:r>
        <w:rPr>
          <w:rFonts w:ascii="Arial" w:cs="Arial" w:eastAsia="Arial" w:hAnsi="Arial"/>
          <w:sz w:val="18"/>
          <w:szCs w:val="18"/>
          <w:b w:val="1"/>
          <w:bCs w:val="1"/>
          <w:u w:val="single" w:color="auto"/>
          <w:color w:val="auto"/>
        </w:rPr>
        <w:t>Subrogation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Commitments and the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10.06 </w:t>
      </w:r>
      <w:r>
        <w:rPr>
          <w:rFonts w:ascii="Arial" w:cs="Arial" w:eastAsia="Arial" w:hAnsi="Arial"/>
          <w:sz w:val="18"/>
          <w:szCs w:val="18"/>
          <w:b w:val="1"/>
          <w:bCs w:val="1"/>
          <w:u w:val="single" w:color="auto"/>
          <w:color w:val="auto"/>
        </w:rPr>
        <w:t>Termination; Reinstatement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4" w:right="259" w:bottom="1440" w:gutter="0" w:footer="0" w:header="0"/>
        </w:sectPr>
      </w:pPr>
    </w:p>
    <w:bookmarkStart w:id="118" w:name="page119"/>
    <w:bookmarkEnd w:id="11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paragraph shall survive termination of this Guaranty.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10.07 </w:t>
      </w:r>
      <w:r>
        <w:rPr>
          <w:rFonts w:ascii="Arial" w:cs="Arial" w:eastAsia="Arial" w:hAnsi="Arial"/>
          <w:sz w:val="18"/>
          <w:szCs w:val="18"/>
          <w:b w:val="1"/>
          <w:bCs w:val="1"/>
          <w:u w:val="single" w:color="auto"/>
          <w:color w:val="auto"/>
        </w:rPr>
        <w:t>Stay of Acceleration</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10.08 </w:t>
      </w:r>
      <w:r>
        <w:rPr>
          <w:rFonts w:ascii="Arial" w:cs="Arial" w:eastAsia="Arial" w:hAnsi="Arial"/>
          <w:sz w:val="18"/>
          <w:szCs w:val="18"/>
          <w:b w:val="1"/>
          <w:bCs w:val="1"/>
          <w:u w:val="single" w:color="auto"/>
          <w:color w:val="auto"/>
        </w:rPr>
        <w:t>Condition of Borrower</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10.09 </w:t>
      </w:r>
      <w:r>
        <w:rPr>
          <w:rFonts w:ascii="Arial" w:cs="Arial" w:eastAsia="Arial" w:hAnsi="Arial"/>
          <w:sz w:val="18"/>
          <w:szCs w:val="18"/>
          <w:b w:val="1"/>
          <w:bCs w:val="1"/>
          <w:u w:val="single" w:color="auto"/>
          <w:color w:val="auto"/>
        </w:rPr>
        <w:t>Appointment of Company</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Each of the Loan Parties hereby appoints the Company to act as its agent for all purposes of this Agreement, the other Loan Documents and all other documents and electronic platforms entered into in connection herewith and agrees that (a) the Company may execute such documents and provide such authorizations on behalf of such Loan Parties as the Company deems appropriate in its sole discretion and each Loan Party shall be obligated by all of the terms of any such document and/or authorization executed on its behalf, (b) any notice or communication delivered by the Administrative Agent or a Lender to the Company shall be deemed delivered to each Loan Party and (c) the Administrative Agent or the Lenders may accept, and be permitted to rely on, any document, instrument or agreement executed by the Company on behalf of the Loan Parties.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b w:val="1"/>
          <w:bCs w:val="1"/>
          <w:u w:val="single" w:color="auto"/>
          <w:color w:val="auto"/>
        </w:rPr>
        <w:t>Right of Contribution</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Guarantors agree among themselves that, in connection with payments made hereunder, each Guarantor shall have contribution rights against the other Guarantors as permitted under applicable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b w:val="1"/>
          <w:bCs w:val="1"/>
          <w:u w:val="single" w:color="auto"/>
          <w:color w:val="auto"/>
        </w:rPr>
        <w:t>Keepwell</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74" w:right="259" w:bottom="1440" w:gutter="0" w:footer="0" w:header="0"/>
        </w:sectPr>
      </w:pPr>
    </w:p>
    <w:bookmarkStart w:id="119" w:name="page120"/>
    <w:bookmarkEnd w:id="119"/>
    <w:p>
      <w:pPr>
        <w:ind w:right="1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such liability that can be hereby incurred without rendering such Qualified ECP Guarantor’s obligations and undertakings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Secured Obligations have been indefeasibly paid and performed in full.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11.01 </w:t>
      </w:r>
      <w:r>
        <w:rPr>
          <w:rFonts w:ascii="Arial" w:cs="Arial" w:eastAsia="Arial" w:hAnsi="Arial"/>
          <w:sz w:val="18"/>
          <w:szCs w:val="18"/>
          <w:b w:val="1"/>
          <w:bCs w:val="1"/>
          <w:u w:val="single" w:color="auto"/>
          <w:color w:val="auto"/>
        </w:rPr>
        <w:t>Amendments, Etc</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 such amendment, waiver or consent shall:</w:t>
      </w:r>
    </w:p>
    <w:p>
      <w:pPr>
        <w:spacing w:after="0" w:line="188" w:lineRule="exact"/>
        <w:rPr>
          <w:sz w:val="20"/>
          <w:szCs w:val="20"/>
          <w:color w:val="auto"/>
        </w:rPr>
      </w:pPr>
    </w:p>
    <w:p>
      <w:pPr>
        <w:ind w:right="460" w:firstLine="464"/>
        <w:spacing w:after="0" w:line="277" w:lineRule="auto"/>
        <w:tabs>
          <w:tab w:leader="none" w:pos="70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to any Credit Extension under a particular Facility without the written consent of the Required Revolving Lenders or the Required Term Lenders, as the case may be;</w:t>
      </w:r>
    </w:p>
    <w:p>
      <w:pPr>
        <w:spacing w:after="0" w:line="170" w:lineRule="exact"/>
        <w:rPr>
          <w:rFonts w:ascii="Arial" w:cs="Arial" w:eastAsia="Arial" w:hAnsi="Arial"/>
          <w:sz w:val="18"/>
          <w:szCs w:val="18"/>
          <w:color w:val="auto"/>
        </w:rPr>
      </w:pPr>
    </w:p>
    <w:p>
      <w:pPr>
        <w:ind w:right="180" w:firstLine="464"/>
        <w:spacing w:after="0" w:line="264" w:lineRule="auto"/>
        <w:tabs>
          <w:tab w:leader="none" w:pos="71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without the written consent of such Lender (it being understood and agreed that a waiver of any condition precedent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of any Default or a mandatory reduction in Commitments is not considered an extension or increase in Commitments of any Lender);</w:t>
      </w:r>
    </w:p>
    <w:p>
      <w:pPr>
        <w:spacing w:after="0" w:line="181" w:lineRule="exact"/>
        <w:rPr>
          <w:rFonts w:ascii="Arial" w:cs="Arial" w:eastAsia="Arial" w:hAnsi="Arial"/>
          <w:sz w:val="18"/>
          <w:szCs w:val="18"/>
          <w:color w:val="auto"/>
        </w:rPr>
      </w:pPr>
    </w:p>
    <w:p>
      <w:pPr>
        <w:ind w:firstLine="464"/>
        <w:spacing w:after="0" w:line="312" w:lineRule="auto"/>
        <w:tabs>
          <w:tab w:leader="none" w:pos="701" w:val="left"/>
        </w:tabs>
        <w:numPr>
          <w:ilvl w:val="1"/>
          <w:numId w:val="156"/>
        </w:numPr>
        <w:rPr>
          <w:rFonts w:ascii="Arial" w:cs="Arial" w:eastAsia="Arial" w:hAnsi="Arial"/>
          <w:sz w:val="16"/>
          <w:szCs w:val="16"/>
          <w:color w:val="auto"/>
        </w:rPr>
      </w:pPr>
      <w:r>
        <w:rPr>
          <w:rFonts w:ascii="Arial" w:cs="Arial" w:eastAsia="Arial" w:hAnsi="Arial"/>
          <w:sz w:val="16"/>
          <w:szCs w:val="16"/>
          <w:color w:val="auto"/>
        </w:rPr>
        <w:t>postpone any date fixed by this Agreement or any other Loan Document for (i) any payment (excluding mandatory prepayments) of principal, interest, fees or other amounts due to any Lender hereunder or under such other Loan Document without the written consent of such Lender entitled to such payment or (ii) any scheduled reduction of any Facility hereunder or under any other Loan Document without the written consent of each Appropriate Lender;</w:t>
      </w:r>
    </w:p>
    <w:p>
      <w:pPr>
        <w:spacing w:after="0" w:line="146" w:lineRule="exact"/>
        <w:rPr>
          <w:rFonts w:ascii="Arial" w:cs="Arial" w:eastAsia="Arial" w:hAnsi="Arial"/>
          <w:sz w:val="16"/>
          <w:szCs w:val="16"/>
          <w:color w:val="auto"/>
        </w:rPr>
      </w:pPr>
    </w:p>
    <w:p>
      <w:pPr>
        <w:ind w:right="20" w:firstLine="464"/>
        <w:spacing w:after="0" w:line="297" w:lineRule="auto"/>
        <w:tabs>
          <w:tab w:leader="none" w:pos="711"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subject to clause (ii) of the third proviso of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fees or other amounts payable hereunder or under any other Loan Document, or change the manner of computation of any financial ratio (including any change in any applicable defined term) used in determining the Applicable Rate that would result in a reduction of any interest rate on any Loan or any fee payable hereunder without the written consent of each Lender entitled to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to amend the definition of “Default Rate” or to waive any obligation of the Borrower to pay interest at the Default Rate;</w:t>
      </w:r>
    </w:p>
    <w:p>
      <w:pPr>
        <w:spacing w:after="0" w:line="158" w:lineRule="exact"/>
        <w:rPr>
          <w:rFonts w:ascii="Arial" w:cs="Arial" w:eastAsia="Arial" w:hAnsi="Arial"/>
          <w:sz w:val="16"/>
          <w:szCs w:val="16"/>
          <w:color w:val="auto"/>
        </w:rPr>
      </w:pPr>
    </w:p>
    <w:p>
      <w:pPr>
        <w:ind w:left="700" w:hanging="236"/>
        <w:spacing w:after="0"/>
        <w:tabs>
          <w:tab w:leader="none" w:pos="70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change (i)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pro rata sharing of payments required thereby without the written consent of each Lender or</w:t>
      </w:r>
    </w:p>
    <w:p>
      <w:pPr>
        <w:spacing w:after="0" w:line="46" w:lineRule="exact"/>
        <w:rPr>
          <w:rFonts w:ascii="Arial" w:cs="Arial" w:eastAsia="Arial" w:hAnsi="Arial"/>
          <w:sz w:val="16"/>
          <w:szCs w:val="16"/>
          <w:color w:val="auto"/>
        </w:rPr>
      </w:pPr>
    </w:p>
    <w:p>
      <w:pPr>
        <w:ind w:right="120" w:firstLine="8"/>
        <w:spacing w:after="0" w:line="273" w:lineRule="auto"/>
        <w:tabs>
          <w:tab w:leader="none" w:pos="26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the order of application of any reduction in the Commitments or any prepayment of Loans among the Facilities from the application thereof set forth in the applicable provisions of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2.04(b)</w:t>
      </w:r>
      <w:r>
        <w:rPr>
          <w:rFonts w:ascii="Arial" w:cs="Arial" w:eastAsia="Arial" w:hAnsi="Arial"/>
          <w:sz w:val="17"/>
          <w:szCs w:val="17"/>
          <w:color w:val="auto"/>
        </w:rPr>
        <w:t>, respectively, in any manner that materially and adversely affects the Lenders under a Facility without the written consent of the Required Revolving Lenders or the Required Term Lenders, as applicable or (iii) 2.10(f) in a manner that would alter the pro rata application required thereby without the written consent of each Lender directly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4894580</wp:posOffset>
            </wp:positionH>
            <wp:positionV relativeFrom="paragraph">
              <wp:posOffset>-178435</wp:posOffset>
            </wp:positionV>
            <wp:extent cx="3714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120" w:name="page121"/>
    <w:bookmarkEnd w:id="120"/>
    <w:p>
      <w:pPr>
        <w:ind w:right="60" w:firstLine="464"/>
        <w:spacing w:after="0" w:line="257" w:lineRule="auto"/>
        <w:tabs>
          <w:tab w:leader="none" w:pos="681"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(i) any provision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(other than the definitions specified in clause (ii) of this </w:t>
      </w:r>
      <w:r>
        <w:rPr>
          <w:rFonts w:ascii="Arial" w:cs="Arial" w:eastAsia="Arial" w:hAnsi="Arial"/>
          <w:sz w:val="18"/>
          <w:szCs w:val="18"/>
          <w:u w:val="single" w:color="auto"/>
          <w:color w:val="auto"/>
        </w:rPr>
        <w:t>Section 11.01(f)</w:t>
      </w:r>
      <w:r>
        <w:rPr>
          <w:rFonts w:ascii="Arial" w:cs="Arial" w:eastAsia="Arial" w:hAnsi="Arial"/>
          <w:sz w:val="18"/>
          <w:szCs w:val="18"/>
          <w:color w:val="auto"/>
        </w:rPr>
        <w:t>), without the written consent of each Lender or (ii) the definitions of “Required Revolving Lenders” or “Required Term Lenders” as each relates to the related Facility (or the constituent definition therein relating to such Facility) without the written consent of each Lender under such Facility;</w:t>
      </w:r>
    </w:p>
    <w:p>
      <w:pPr>
        <w:spacing w:after="0" w:line="188" w:lineRule="exact"/>
        <w:rPr>
          <w:rFonts w:ascii="Arial" w:cs="Arial" w:eastAsia="Arial" w:hAnsi="Arial"/>
          <w:sz w:val="18"/>
          <w:szCs w:val="18"/>
          <w:color w:val="auto"/>
        </w:rPr>
      </w:pPr>
    </w:p>
    <w:p>
      <w:pPr>
        <w:ind w:left="720" w:hanging="256"/>
        <w:spacing w:after="0"/>
        <w:tabs>
          <w:tab w:leader="none" w:pos="7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release all or substantially all of the Collateral in any transaction or series of related transactions, without the written consent of each Lender;</w:t>
      </w:r>
    </w:p>
    <w:p>
      <w:pPr>
        <w:spacing w:after="0" w:line="236" w:lineRule="exact"/>
        <w:rPr>
          <w:rFonts w:ascii="Arial" w:cs="Arial" w:eastAsia="Arial" w:hAnsi="Arial"/>
          <w:sz w:val="17"/>
          <w:szCs w:val="17"/>
          <w:color w:val="auto"/>
        </w:rPr>
      </w:pPr>
    </w:p>
    <w:p>
      <w:pPr>
        <w:ind w:right="440" w:firstLine="464"/>
        <w:spacing w:after="0" w:line="342" w:lineRule="auto"/>
        <w:tabs>
          <w:tab w:leader="none" w:pos="71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(in which case such release may be made by the Administrative Agent acting alone);</w:t>
      </w:r>
    </w:p>
    <w:p>
      <w:pPr>
        <w:spacing w:after="0" w:line="123" w:lineRule="exact"/>
        <w:rPr>
          <w:rFonts w:ascii="Arial" w:cs="Arial" w:eastAsia="Arial" w:hAnsi="Arial"/>
          <w:sz w:val="16"/>
          <w:szCs w:val="16"/>
          <w:color w:val="auto"/>
        </w:rPr>
      </w:pPr>
    </w:p>
    <w:p>
      <w:pPr>
        <w:ind w:right="120" w:firstLine="464"/>
        <w:spacing w:after="0" w:line="264" w:lineRule="auto"/>
        <w:tabs>
          <w:tab w:leader="none" w:pos="67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release the Company (from its obligations as a Borrower or as a Guarantor hereunder) or any Designated Borrower, except in connection with the termination of a Designated Borrower’s status as such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 merger or consolidation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a Disposition permitted under </w:t>
      </w:r>
      <w:r>
        <w:rPr>
          <w:rFonts w:ascii="Arial" w:cs="Arial" w:eastAsia="Arial" w:hAnsi="Arial"/>
          <w:sz w:val="18"/>
          <w:szCs w:val="18"/>
          <w:u w:val="single" w:color="auto"/>
          <w:color w:val="auto"/>
        </w:rPr>
        <w:t>Section 7.05</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right="300" w:firstLine="464"/>
        <w:spacing w:after="0" w:line="277" w:lineRule="auto"/>
        <w:tabs>
          <w:tab w:leader="none" w:pos="67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the Required Facility Lenders under such Facility;</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no amendment, waiver or consent shall, unless in writing and signed by the Administrative Agent in addition to the Lenders required above, affect the rights or duties of the Administrative Agent under this Agreement or any other Loan Document</w:t>
      </w:r>
      <w:r>
        <w:rPr>
          <w:rFonts w:ascii="Arial" w:cs="Arial" w:eastAsia="Arial" w:hAnsi="Arial"/>
          <w:sz w:val="16"/>
          <w:szCs w:val="16"/>
          <w:color w:val="auto"/>
          <w:strike w:val="1"/>
        </w:rPr>
        <w:t>; and (ii) the Fee Letter may be</w:t>
      </w:r>
      <w:r>
        <w:rPr>
          <w:rFonts w:ascii="Arial" w:cs="Arial" w:eastAsia="Arial" w:hAnsi="Arial"/>
          <w:sz w:val="16"/>
          <w:szCs w:val="16"/>
          <w:color w:val="auto"/>
        </w:rPr>
        <w:t xml:space="preserve"> </w:t>
      </w:r>
      <w:r>
        <w:rPr>
          <w:rFonts w:ascii="Arial" w:cs="Arial" w:eastAsia="Arial" w:hAnsi="Arial"/>
          <w:sz w:val="16"/>
          <w:szCs w:val="16"/>
          <w:color w:val="auto"/>
          <w:strike w:val="1"/>
        </w:rPr>
        <w:t>amended, or rights or privileges thereunder waived, in a writing executed only by the parties thereto</w:t>
      </w:r>
      <w:r>
        <w:rPr>
          <w:rFonts w:ascii="Arial" w:cs="Arial" w:eastAsia="Arial" w:hAnsi="Arial"/>
          <w:sz w:val="16"/>
          <w:szCs w:val="16"/>
          <w:color w:val="auto"/>
        </w:rPr>
        <w:t>. Notwithstanding anything to the contrary herein, (A)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(1) the Commitment of any Defaulting Lender may not be increased or extended without the consent of such Lender and (2)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(B) each Lender is entitled to vote as such Lender sees fit on any bankruptcy reorganization plan that affects the Loans, and each Lender acknowledges that the provisions of Section 1126(c) of the Bankruptcy Code of the United States supersede the unanimous consent provisions set forth herein and (C) the Required Lenders shall determine whether or not to allow a Loan Party to use cash collateral in the context of a bankruptcy or insolvency proceeding and such determination shall be binding on all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1201420</wp:posOffset>
            </wp:positionH>
            <wp:positionV relativeFrom="paragraph">
              <wp:posOffset>-1598295</wp:posOffset>
            </wp:positionV>
            <wp:extent cx="1651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5100" cy="8890"/>
                    </a:xfrm>
                    <a:prstGeom prst="rect">
                      <a:avLst/>
                    </a:prstGeom>
                    <a:noFill/>
                  </pic:spPr>
                </pic:pic>
              </a:graphicData>
            </a:graphic>
          </wp:anchor>
        </w:drawing>
      </w:r>
    </w:p>
    <w:p>
      <w:pPr>
        <w:spacing w:after="0" w:line="14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Notwithstanding anything to the contrary herein the Administrative Agent may (x) with the prior written consent of the Borrower only, amend, modify or supplement this Agreement or any of the other Loan Documents to cure any ambiguity, omission, mistake, defect or inconsistency and (y) enter into any Joinder Agreement with the Borrower and the Guarantor(s) party thereto, without the consent of any Lenders.</w:t>
      </w:r>
    </w:p>
    <w:p>
      <w:pPr>
        <w:spacing w:after="0" w:line="166"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 xml:space="preserve">If any Lender does not consent to a proposed amendment, waiver, consent or release with respect to any Loan Document that requires the consent of each Lender and that has been approved by the Required Lenders, the Borrower may replace such Non-Consenting Lender in accordance with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121" w:name="page122"/>
    <w:bookmarkEnd w:id="121"/>
    <w:p>
      <w:pPr>
        <w:ind w:right="12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that such amendment, waiver, consent or release can be effected as a result of the assignment contemplated by such Section (together with all other such assignments required by the Borrower to be made pursuant to this paragraph).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11.02 </w:t>
      </w:r>
      <w:r>
        <w:rPr>
          <w:rFonts w:ascii="Arial" w:cs="Arial" w:eastAsia="Arial" w:hAnsi="Arial"/>
          <w:sz w:val="18"/>
          <w:szCs w:val="18"/>
          <w:b w:val="1"/>
          <w:bCs w:val="1"/>
          <w:u w:val="single" w:color="auto"/>
          <w:color w:val="auto"/>
        </w:rPr>
        <w:t>Notices; Effectiveness; Electronic Communications</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59" w:lineRule="auto"/>
        <w:tabs>
          <w:tab w:leader="none" w:pos="70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or sent by fax transmission or e-mail transmission as follows, and all notices and other communications expressly permitted hereunder to be given by telephone shall be made to the applicable telephone number, as follows:</w:t>
      </w:r>
    </w:p>
    <w:p>
      <w:pPr>
        <w:spacing w:after="0" w:line="78" w:lineRule="exact"/>
        <w:rPr>
          <w:rFonts w:ascii="Arial" w:cs="Arial" w:eastAsia="Arial" w:hAnsi="Arial"/>
          <w:sz w:val="18"/>
          <w:szCs w:val="18"/>
          <w:color w:val="auto"/>
        </w:rPr>
      </w:pPr>
    </w:p>
    <w:p>
      <w:pPr>
        <w:ind w:left="460" w:right="500" w:firstLine="443"/>
        <w:spacing w:after="0" w:line="277" w:lineRule="auto"/>
        <w:tabs>
          <w:tab w:leader="none" w:pos="111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if to the Borrower or any other Loan Party or the Administrative Agent, to the address, fax number, e-mail address or telephone number specified for such Person on </w:t>
      </w:r>
      <w:r>
        <w:rPr>
          <w:rFonts w:ascii="Arial" w:cs="Arial" w:eastAsia="Arial" w:hAnsi="Arial"/>
          <w:sz w:val="18"/>
          <w:szCs w:val="18"/>
          <w:u w:val="single" w:color="auto"/>
          <w:color w:val="auto"/>
        </w:rPr>
        <w:t>Schedule 1.01(a)</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460" w:firstLine="443"/>
        <w:spacing w:after="0" w:line="264" w:lineRule="auto"/>
        <w:tabs>
          <w:tab w:leader="none" w:pos="116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1" w:lineRule="exact"/>
        <w:rPr>
          <w:sz w:val="20"/>
          <w:szCs w:val="20"/>
          <w:color w:val="auto"/>
        </w:rPr>
      </w:pPr>
    </w:p>
    <w:p>
      <w:pPr>
        <w:ind w:right="420" w:firstLine="456"/>
        <w:spacing w:after="0" w:line="302" w:lineRule="auto"/>
        <w:rPr>
          <w:sz w:val="20"/>
          <w:szCs w:val="20"/>
          <w:color w:val="auto"/>
        </w:rPr>
      </w:pPr>
      <w:r>
        <w:rPr>
          <w:rFonts w:ascii="Arial" w:cs="Arial" w:eastAsia="Arial" w:hAnsi="Arial"/>
          <w:sz w:val="16"/>
          <w:szCs w:val="16"/>
          <w:color w:val="auto"/>
        </w:rPr>
        <w:t>Notices and other communications sent by hand or overnight courier service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54" w:lineRule="exact"/>
        <w:rPr>
          <w:sz w:val="20"/>
          <w:szCs w:val="20"/>
          <w:color w:val="auto"/>
        </w:rPr>
      </w:pPr>
    </w:p>
    <w:p>
      <w:pPr>
        <w:ind w:right="120" w:firstLine="464"/>
        <w:spacing w:after="0" w:line="273" w:lineRule="auto"/>
        <w:tabs>
          <w:tab w:leader="none" w:pos="711"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Administrative Agent and the Lenders hereunder may be delivered or furnished by electronic communication (including e-mail, FPML messaging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clauses (i) and (ii), if such notice or other communication is not sent during the normal business hours of the recipient, such notice, email or communication shall be deemed to have been sent at the opening of business on the next Business Day for the recipient.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4" w:right="259" w:bottom="1440" w:gutter="0" w:footer="0" w:header="0"/>
        </w:sectPr>
      </w:pPr>
    </w:p>
    <w:bookmarkStart w:id="122" w:name="page123"/>
    <w:bookmarkEnd w:id="122"/>
    <w:p>
      <w:pPr>
        <w:ind w:right="40" w:firstLine="464"/>
        <w:spacing w:after="0" w:line="253" w:lineRule="auto"/>
        <w:tabs>
          <w:tab w:leader="none" w:pos="701"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the Borrower, any Lender or any other Person for losses, claims, damages, liabilities or expenses of any kind (whether in tort, contract or otherwise) arising out of the Borrower’s, any Loan Party’s or the Administrative Agent’s transmission of Borrower Materials or notices through the Platform, any electronic platform or electronic messaging service or the Internet, except to the extent that such losses, claims, damages, liabilities or expenses are determined by a court of competent jurisdiction by a final nonappealable judgment to have resulted from the gross negligence or willful misconduct of such Agent Party.</w:t>
      </w:r>
    </w:p>
    <w:p>
      <w:pPr>
        <w:spacing w:after="0" w:line="192" w:lineRule="exact"/>
        <w:rPr>
          <w:rFonts w:ascii="Arial" w:cs="Arial" w:eastAsia="Arial" w:hAnsi="Arial"/>
          <w:sz w:val="18"/>
          <w:szCs w:val="18"/>
          <w:color w:val="auto"/>
        </w:rPr>
      </w:pPr>
    </w:p>
    <w:p>
      <w:pPr>
        <w:ind w:right="20" w:firstLine="464"/>
        <w:spacing w:after="0" w:line="288" w:lineRule="auto"/>
        <w:tabs>
          <w:tab w:leader="none" w:pos="711"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 and the Administrative Agent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9" w:lineRule="exact"/>
        <w:rPr>
          <w:rFonts w:ascii="Arial" w:cs="Arial" w:eastAsia="Arial" w:hAnsi="Arial"/>
          <w:sz w:val="16"/>
          <w:szCs w:val="16"/>
          <w:color w:val="auto"/>
        </w:rPr>
      </w:pPr>
    </w:p>
    <w:p>
      <w:pPr>
        <w:ind w:firstLine="464"/>
        <w:spacing w:after="0" w:line="271" w:lineRule="auto"/>
        <w:tabs>
          <w:tab w:leader="none" w:pos="701"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The Administrative Agent and the Lenders shall be entitled to rely and act upon any notices (including, without limitation, telephonic or electronic notices, Loan Notices and Notice of Loan Prepayment)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Lender and the Related Parties of each of them from all losses, costs, expenses and liabilities resulting from the reliance by such Person on each notice purportedly given by or on behalf of a Loan Party in the absence of gross negligence or willful misconduct by the Administrative Agent or the Lenders in such reliance. All telephonic notices to and other telephonic communications with the Administrative Agent may be recorded by the Administrative Agent, and each of the parties hereto hereby consents to such recording.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11.03 </w:t>
      </w:r>
      <w:r>
        <w:rPr>
          <w:rFonts w:ascii="Arial" w:cs="Arial" w:eastAsia="Arial" w:hAnsi="Arial"/>
          <w:sz w:val="18"/>
          <w:szCs w:val="18"/>
          <w:b w:val="1"/>
          <w:bCs w:val="1"/>
          <w:u w:val="single" w:color="auto"/>
          <w:color w:val="auto"/>
        </w:rPr>
        <w:t>No Waiver; Cumulative Remedies; Enforcement</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123" w:name="page124"/>
    <w:bookmarkEnd w:id="12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(c)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clauses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the preceding proviso and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11.04 </w:t>
      </w:r>
      <w:r>
        <w:rPr>
          <w:rFonts w:ascii="Arial" w:cs="Arial" w:eastAsia="Arial" w:hAnsi="Arial"/>
          <w:sz w:val="18"/>
          <w:szCs w:val="18"/>
          <w:b w:val="1"/>
          <w:bCs w:val="1"/>
          <w:u w:val="single" w:color="auto"/>
          <w:color w:val="auto"/>
        </w:rPr>
        <w:t>Expenses; Indemnity; Damage Waiver</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64"/>
        <w:spacing w:after="0" w:line="284" w:lineRule="auto"/>
        <w:tabs>
          <w:tab w:leader="none" w:pos="701" w:val="left"/>
        </w:tabs>
        <w:numPr>
          <w:ilvl w:val="1"/>
          <w:numId w:val="162"/>
        </w:numPr>
        <w:rPr>
          <w:rFonts w:ascii="Arial" w:cs="Arial" w:eastAsia="Arial" w:hAnsi="Arial"/>
          <w:sz w:val="16"/>
          <w:szCs w:val="16"/>
          <w:color w:val="auto"/>
          <w:strike w:val="1"/>
        </w:rPr>
      </w:pPr>
      <w:r>
        <w:rPr>
          <w:rFonts w:ascii="Arial" w:cs="Arial" w:eastAsia="Arial" w:hAnsi="Arial"/>
          <w:sz w:val="16"/>
          <w:szCs w:val="16"/>
          <w:color w:val="auto"/>
          <w:strike w:val="1"/>
        </w:rPr>
        <w:t>Costs and Expenses. The Loan Parties shall pay (i) all reasonable and documented out-of-pocket expenses incurred by the Administrative Agent and its Affiliates (including the reasonable and documented fees, charges and disbursements of counsel (including local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Administrative Agent or any Lender (including the reasonable and documented fees, charges and disbursements of any counsel (including local counsel) for the Administrative Agent or any Lender), and shall pay all fees and time charges for attorneys who may be employees of the Administrative Agent or any Lender, in connection with the enforcement or protection of its rights (A) in connection with this Agreement and the other Loan Documents, including its rights under this Section, or</w:t>
      </w:r>
    </w:p>
    <w:p>
      <w:pPr>
        <w:spacing w:after="0" w:line="1" w:lineRule="exact"/>
        <w:rPr>
          <w:rFonts w:ascii="Arial" w:cs="Arial" w:eastAsia="Arial" w:hAnsi="Arial"/>
          <w:sz w:val="16"/>
          <w:szCs w:val="16"/>
          <w:color w:val="auto"/>
          <w:strike w:val="1"/>
        </w:rPr>
      </w:pPr>
    </w:p>
    <w:p>
      <w:pPr>
        <w:ind w:right="680" w:firstLine="8"/>
        <w:spacing w:after="0" w:line="302" w:lineRule="auto"/>
        <w:tabs>
          <w:tab w:leader="none" w:pos="285" w:val="left"/>
        </w:tabs>
        <w:numPr>
          <w:ilvl w:val="0"/>
          <w:numId w:val="163"/>
        </w:numPr>
        <w:rPr>
          <w:rFonts w:ascii="Arial" w:cs="Arial" w:eastAsia="Arial" w:hAnsi="Arial"/>
          <w:sz w:val="16"/>
          <w:szCs w:val="16"/>
          <w:color w:val="auto"/>
          <w:strike w:val="1"/>
        </w:rPr>
      </w:pPr>
      <w:r>
        <w:rPr>
          <w:rFonts w:ascii="Arial" w:cs="Arial" w:eastAsia="Arial" w:hAnsi="Arial"/>
          <w:sz w:val="16"/>
          <w:szCs w:val="16"/>
          <w:color w:val="auto"/>
          <w:strike w:val="1"/>
        </w:rPr>
        <w:t>in connection with Loans made hereunder, including all such reasonable and documented out-of-pocket expenses incurred during any workout, restructuring or negotiations in respect of such Loans. Notwithstanding anything contained herein to the contrary, this Section 11.04 shall survive the termination of the Revolving Commitments and the Term Commitments as a result of any non-occurrence of the Effective Date.</w:t>
      </w:r>
    </w:p>
    <w:p>
      <w:pPr>
        <w:spacing w:after="0" w:line="155" w:lineRule="exact"/>
        <w:rPr>
          <w:rFonts w:ascii="Arial" w:cs="Arial" w:eastAsia="Arial" w:hAnsi="Arial"/>
          <w:sz w:val="16"/>
          <w:szCs w:val="16"/>
          <w:color w:val="auto"/>
          <w:strike w:val="1"/>
        </w:rPr>
      </w:pPr>
    </w:p>
    <w:p>
      <w:pPr>
        <w:ind w:left="700" w:hanging="236"/>
        <w:spacing w:after="0"/>
        <w:tabs>
          <w:tab w:leader="none" w:pos="700" w:val="left"/>
        </w:tabs>
        <w:numPr>
          <w:ilvl w:val="1"/>
          <w:numId w:val="1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u w:val="single" w:color="auto"/>
          <w:color w:val="auto"/>
        </w:rPr>
      </w:pPr>
    </w:p>
    <w:p>
      <w:pPr>
        <w:ind w:right="20" w:firstLine="464"/>
        <w:spacing w:after="0" w:line="276" w:lineRule="auto"/>
        <w:tabs>
          <w:tab w:leader="none" w:pos="711"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Indemnification by the Loan Parties</w:t>
      </w:r>
      <w:r>
        <w:rPr>
          <w:rFonts w:ascii="Arial" w:cs="Arial" w:eastAsia="Arial" w:hAnsi="Arial"/>
          <w:sz w:val="17"/>
          <w:szCs w:val="17"/>
          <w:color w:val="auto"/>
        </w:rPr>
        <w:t>. The Loan Parties shall indemnify the Administrative Agent (and any sub-agent thereof),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and related reasonable and documented expenses (including the reasonable and documented fees, charges and disbursements of any counsel for any Indemnitee (which, in the case of counsel, shall be limited to the reasonable and documented fees, disbursements and other charges of (x) one (1) primary counsel and one (1) additional local counsel in each relevant jurisdiction for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Indemnitees, taken as a whole, and (y) solely in the case of an actual or potential conflict of interest, as determined by the affected Indemnitees, one</w:t>
      </w:r>
    </w:p>
    <w:p>
      <w:pPr>
        <w:spacing w:after="0" w:line="35" w:lineRule="exact"/>
        <w:rPr>
          <w:sz w:val="20"/>
          <w:szCs w:val="20"/>
          <w:color w:val="auto"/>
        </w:rPr>
      </w:pPr>
    </w:p>
    <w:p>
      <w:pPr>
        <w:ind w:firstLine="8"/>
        <w:spacing w:after="0" w:line="281" w:lineRule="auto"/>
        <w:tabs>
          <w:tab w:leader="none" w:pos="25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additional counsel in each relevant jurisdiction to the affected Indemnitees (similarly situated taken as a whole))),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the use or proposed use of the proceeds therefrom,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gross negligence or willful misconduct of such Indemnitee,</w:t>
      </w:r>
    </w:p>
    <w:p>
      <w:pPr>
        <w:spacing w:after="0" w:line="8"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(B) the material breach in bad faith by such Indemnitee of its express obligations under the Loan Documents pursuant to a claim initiated solely by the Borrower, or (C) any dispute solely among Indemnitees (not arising as a result of any act or omission by the Borrower or any of its Subsidiaries or Affiliates) other than claims against Bank of America in its capacity or fulfilling its role as the Administrative Agent under the Loan Documents.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91" w:lineRule="exact"/>
        <w:rPr>
          <w:sz w:val="20"/>
          <w:szCs w:val="20"/>
          <w:color w:val="auto"/>
        </w:rPr>
      </w:pPr>
    </w:p>
    <w:p>
      <w:pPr>
        <w:ind w:firstLine="464"/>
        <w:spacing w:after="0" w:line="270" w:lineRule="auto"/>
        <w:tabs>
          <w:tab w:leader="none" w:pos="701"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To the extent that the Loan Parties for any reason fail to indefeasibly pay any amount required under subsection (</w:t>
      </w:r>
      <w:r>
        <w:rPr>
          <w:rFonts w:ascii="Arial" w:cs="Arial" w:eastAsia="Arial" w:hAnsi="Arial"/>
          <w:sz w:val="17"/>
          <w:szCs w:val="17"/>
          <w:color w:val="auto"/>
          <w:strike w:val="1"/>
        </w:rPr>
        <w:t>a) or</w:t>
      </w:r>
      <w:r>
        <w:rPr>
          <w:rFonts w:ascii="Arial" w:cs="Arial" w:eastAsia="Arial" w:hAnsi="Arial"/>
          <w:sz w:val="17"/>
          <w:szCs w:val="17"/>
          <w:color w:val="auto"/>
        </w:rPr>
        <w:t xml:space="preserve"> </w:t>
      </w:r>
      <w:r>
        <w:rPr>
          <w:rFonts w:ascii="Arial" w:cs="Arial" w:eastAsia="Arial" w:hAnsi="Arial"/>
          <w:sz w:val="17"/>
          <w:szCs w:val="17"/>
          <w:color w:val="auto"/>
          <w:strike w:val="1"/>
        </w:rPr>
        <w:t>(</w:t>
      </w:r>
      <w:r>
        <w:rPr>
          <w:rFonts w:ascii="Arial" w:cs="Arial" w:eastAsia="Arial" w:hAnsi="Arial"/>
          <w:sz w:val="17"/>
          <w:szCs w:val="17"/>
          <w:color w:val="auto"/>
        </w:rPr>
        <w:t xml:space="preserve">b) of this Section to be paid by it to the Administrative Agent (or any sub-agent thereof) or any Related Party of any of the foregoing,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subsection (c) are subject to the provisions of </w:t>
      </w:r>
      <w:r>
        <w:rPr>
          <w:rFonts w:ascii="Arial" w:cs="Arial" w:eastAsia="Arial" w:hAnsi="Arial"/>
          <w:sz w:val="17"/>
          <w:szCs w:val="17"/>
          <w:u w:val="single" w:color="auto"/>
          <w:color w:val="auto"/>
        </w:rPr>
        <w:t>Section 2.10(d)</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60" w:firstLine="464"/>
        <w:spacing w:after="0" w:line="255" w:lineRule="auto"/>
        <w:tabs>
          <w:tab w:leader="none" w:pos="711"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no Loan Party or Indemnitee shall assert, and each such Loan Party and Indemnitee hereby waives, and acknowledges that no other Person shall have, any claim against any Loan Party or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subsection (b) above shall be liable for any damages arising from the use by unintended recipients of any information or other materials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74" w:right="259" w:bottom="1440" w:gutter="0" w:footer="0" w:header="0"/>
        </w:sectPr>
      </w:pPr>
    </w:p>
    <w:bookmarkStart w:id="125" w:name="page126"/>
    <w:bookmarkEnd w:id="125"/>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nonappealable judgment of a court of competent jurisdiction.</w:t>
      </w:r>
    </w:p>
    <w:p>
      <w:pPr>
        <w:spacing w:after="0" w:line="147" w:lineRule="exact"/>
        <w:rPr>
          <w:sz w:val="20"/>
          <w:szCs w:val="20"/>
          <w:color w:val="auto"/>
        </w:rPr>
      </w:pPr>
    </w:p>
    <w:p>
      <w:pPr>
        <w:ind w:left="700" w:hanging="236"/>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(10) Business Days after demand therefor.</w:t>
      </w:r>
    </w:p>
    <w:p>
      <w:pPr>
        <w:spacing w:after="0" w:line="225" w:lineRule="exact"/>
        <w:rPr>
          <w:rFonts w:ascii="Arial" w:cs="Arial" w:eastAsia="Arial" w:hAnsi="Arial"/>
          <w:sz w:val="18"/>
          <w:szCs w:val="18"/>
          <w:color w:val="auto"/>
        </w:rPr>
      </w:pPr>
    </w:p>
    <w:p>
      <w:pPr>
        <w:ind w:right="40" w:firstLine="464"/>
        <w:spacing w:after="0" w:line="342" w:lineRule="auto"/>
        <w:tabs>
          <w:tab w:leader="none" w:pos="681"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The agreements in this Section and the indemnity provisions of </w:t>
      </w:r>
      <w:r>
        <w:rPr>
          <w:rFonts w:ascii="Arial" w:cs="Arial" w:eastAsia="Arial" w:hAnsi="Arial"/>
          <w:sz w:val="16"/>
          <w:szCs w:val="16"/>
          <w:u w:val="single" w:color="auto"/>
          <w:color w:val="auto"/>
        </w:rPr>
        <w:t>Section 11.02(e)</w:t>
      </w:r>
      <w:r>
        <w:rPr>
          <w:rFonts w:ascii="Arial" w:cs="Arial" w:eastAsia="Arial" w:hAnsi="Arial"/>
          <w:sz w:val="16"/>
          <w:szCs w:val="16"/>
          <w:color w:val="auto"/>
        </w:rPr>
        <w:t xml:space="preserve"> shall survive the resignation of the Administrative Agent, the replacement of any Lender, the termination of the Aggregate Commitments and the repayment, satisfaction or discharge of all the other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11.05 </w:t>
      </w:r>
      <w:r>
        <w:rPr>
          <w:rFonts w:ascii="Arial" w:cs="Arial" w:eastAsia="Arial" w:hAnsi="Arial"/>
          <w:sz w:val="18"/>
          <w:szCs w:val="18"/>
          <w:b w:val="1"/>
          <w:bCs w:val="1"/>
          <w:u w:val="single" w:color="auto"/>
          <w:color w:val="auto"/>
        </w:rPr>
        <w:t>Payments Set Aside</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70" w:lineRule="auto"/>
        <w:tabs>
          <w:tab w:leader="none" w:pos="701"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Agreement and the other Loan Documents shall be binding upon and inure to the benefit of the parties hereto and thereto and their respective successors and assigns permitted hereby or thereby, except neither the Borrower nor any other Loan Party may assign or otherwise transfer any of its rights or obligations hereunder without the prior written consent of the Administrative Agent and, to the extent required by Section 11.01, the Lenders except pursuant to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274" w:right="259" w:bottom="1440" w:gutter="0" w:footer="0" w:header="0"/>
        </w:sectPr>
      </w:pPr>
    </w:p>
    <w:bookmarkStart w:id="126" w:name="page127"/>
    <w:bookmarkEnd w:id="126"/>
    <w:p>
      <w:pPr>
        <w:ind w:left="-20" w:right="80" w:firstLine="464"/>
        <w:spacing w:after="0" w:line="264" w:lineRule="auto"/>
        <w:tabs>
          <w:tab w:leader="none" w:pos="691"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and the other Loan Documents (including all or a portion of its Commitment(s)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Facility) any such assignment shall be subject to the following conditions:</w:t>
      </w:r>
    </w:p>
    <w:p>
      <w:pPr>
        <w:spacing w:after="0" w:line="73" w:lineRule="exact"/>
        <w:rPr>
          <w:rFonts w:ascii="Arial" w:cs="Arial" w:eastAsia="Arial" w:hAnsi="Arial"/>
          <w:sz w:val="18"/>
          <w:szCs w:val="18"/>
          <w:color w:val="auto"/>
        </w:rPr>
      </w:pPr>
    </w:p>
    <w:p>
      <w:pPr>
        <w:ind w:left="1100" w:hanging="217"/>
        <w:spacing w:after="0"/>
        <w:tabs>
          <w:tab w:leader="none" w:pos="1100"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firstLine="421"/>
        <w:spacing w:after="0" w:line="302" w:lineRule="auto"/>
        <w:tabs>
          <w:tab w:leader="none" w:pos="1615" w:val="left"/>
        </w:tabs>
        <w:numPr>
          <w:ilvl w:val="2"/>
          <w:numId w:val="168"/>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46" w:lineRule="exact"/>
        <w:rPr>
          <w:rFonts w:ascii="Arial" w:cs="Arial" w:eastAsia="Arial" w:hAnsi="Arial"/>
          <w:sz w:val="16"/>
          <w:szCs w:val="16"/>
          <w:color w:val="auto"/>
        </w:rPr>
      </w:pPr>
    </w:p>
    <w:p>
      <w:pPr>
        <w:ind w:left="900" w:right="40" w:firstLine="421"/>
        <w:spacing w:after="0" w:line="272" w:lineRule="auto"/>
        <w:tabs>
          <w:tab w:leader="none" w:pos="1605" w:val="left"/>
        </w:tabs>
        <w:numPr>
          <w:ilvl w:val="2"/>
          <w:numId w:val="168"/>
        </w:numPr>
        <w:rPr>
          <w:rFonts w:ascii="Arial" w:cs="Arial" w:eastAsia="Arial" w:hAnsi="Arial"/>
          <w:sz w:val="17"/>
          <w:szCs w:val="17"/>
          <w:color w:val="auto"/>
        </w:rPr>
      </w:pPr>
      <w:r>
        <w:rPr>
          <w:rFonts w:ascii="Arial" w:cs="Arial" w:eastAsia="Arial" w:hAnsi="Arial"/>
          <w:sz w:val="17"/>
          <w:szCs w:val="17"/>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$2,500,000, in the case of any assignment in respect of the Revolving Facility, or $1,000,000, in the case of any assignment in respect of the Term Facility, unless each of the Administrative Agent and, so long as no Event of Default has occurred and is continuing, the Borrower otherwise consents (each such consent not to be unreasonably withheld or delayed).</w:t>
      </w:r>
    </w:p>
    <w:p>
      <w:pPr>
        <w:spacing w:after="0" w:line="69" w:lineRule="exact"/>
        <w:rPr>
          <w:rFonts w:ascii="Arial" w:cs="Arial" w:eastAsia="Arial" w:hAnsi="Arial"/>
          <w:sz w:val="17"/>
          <w:szCs w:val="17"/>
          <w:color w:val="auto"/>
        </w:rPr>
      </w:pPr>
    </w:p>
    <w:p>
      <w:pPr>
        <w:ind w:left="440" w:right="240" w:firstLine="443"/>
        <w:spacing w:after="0" w:line="312" w:lineRule="auto"/>
        <w:tabs>
          <w:tab w:leader="none" w:pos="1143"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and the other Loan Documents with respect to the Loans and/or the Commitment assigned, except that this clause (ii) shall not prohibit any Lender from assigning all or a portion of its rights and obligations among separate Facilities on a non-pro rata basis.</w:t>
      </w:r>
    </w:p>
    <w:p>
      <w:pPr>
        <w:spacing w:after="0" w:line="38" w:lineRule="exact"/>
        <w:rPr>
          <w:rFonts w:ascii="Arial" w:cs="Arial" w:eastAsia="Arial" w:hAnsi="Arial"/>
          <w:sz w:val="16"/>
          <w:szCs w:val="16"/>
          <w:color w:val="auto"/>
        </w:rPr>
      </w:pPr>
    </w:p>
    <w:p>
      <w:pPr>
        <w:ind w:left="440" w:right="40" w:firstLine="443"/>
        <w:spacing w:after="0" w:line="277" w:lineRule="auto"/>
        <w:tabs>
          <w:tab w:leader="none" w:pos="1193"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rFonts w:ascii="Arial" w:cs="Arial" w:eastAsia="Arial" w:hAnsi="Arial"/>
          <w:sz w:val="18"/>
          <w:szCs w:val="18"/>
          <w:color w:val="auto"/>
        </w:rPr>
      </w:pPr>
    </w:p>
    <w:p>
      <w:pPr>
        <w:ind w:left="900" w:firstLine="421"/>
        <w:spacing w:after="0" w:line="257" w:lineRule="auto"/>
        <w:tabs>
          <w:tab w:leader="none" w:pos="1615" w:val="left"/>
        </w:tabs>
        <w:numPr>
          <w:ilvl w:val="2"/>
          <w:numId w:val="168"/>
        </w:numPr>
        <w:rPr>
          <w:rFonts w:ascii="Arial" w:cs="Arial" w:eastAsia="Arial" w:hAnsi="Arial"/>
          <w:sz w:val="18"/>
          <w:szCs w:val="18"/>
          <w:color w:val="auto"/>
        </w:rPr>
      </w:pPr>
      <w:r>
        <w:rPr>
          <w:rFonts w:ascii="Arial" w:cs="Arial" w:eastAsia="Arial" w:hAnsi="Arial"/>
          <w:sz w:val="18"/>
          <w:szCs w:val="18"/>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ten (10) Business Days after having received notice thereof;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Company’s consent shall not be required during the primary syndication of the Facilities; and</w:t>
      </w:r>
    </w:p>
    <w:p>
      <w:pPr>
        <w:spacing w:after="0" w:line="80" w:lineRule="exact"/>
        <w:rPr>
          <w:rFonts w:ascii="Arial" w:cs="Arial" w:eastAsia="Arial" w:hAnsi="Arial"/>
          <w:sz w:val="18"/>
          <w:szCs w:val="18"/>
          <w:color w:val="auto"/>
        </w:rPr>
      </w:pPr>
    </w:p>
    <w:p>
      <w:pPr>
        <w:ind w:left="900" w:right="40" w:firstLine="421"/>
        <w:spacing w:after="0" w:line="259" w:lineRule="auto"/>
        <w:tabs>
          <w:tab w:leader="none" w:pos="1605"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(1) any unfunded Term Commitment or any Revolving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w:t>
      </w:r>
    </w:p>
    <w:p>
      <w:pPr>
        <w:spacing w:after="0" w:line="78" w:lineRule="exact"/>
        <w:rPr>
          <w:rFonts w:ascii="Arial" w:cs="Arial" w:eastAsia="Arial" w:hAnsi="Arial"/>
          <w:sz w:val="18"/>
          <w:szCs w:val="18"/>
          <w:color w:val="auto"/>
        </w:rPr>
      </w:pPr>
    </w:p>
    <w:p>
      <w:pPr>
        <w:ind w:left="440" w:right="80" w:firstLine="443"/>
        <w:spacing w:after="0" w:line="259" w:lineRule="auto"/>
        <w:tabs>
          <w:tab w:leader="none" w:pos="1183"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60" w:top="274" w:right="259" w:bottom="1440" w:gutter="0" w:footer="0" w:header="0"/>
        </w:sectPr>
      </w:pPr>
    </w:p>
    <w:bookmarkStart w:id="127" w:name="page128"/>
    <w:bookmarkEnd w:id="127"/>
    <w:p>
      <w:pPr>
        <w:ind w:left="1160" w:hanging="257"/>
        <w:spacing w:after="0"/>
        <w:tabs>
          <w:tab w:leader="none" w:pos="1160"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Assignment to Certain Persons</w:t>
      </w:r>
      <w:r>
        <w:rPr>
          <w:rFonts w:ascii="Arial" w:cs="Arial" w:eastAsia="Arial" w:hAnsi="Arial"/>
          <w:sz w:val="16"/>
          <w:szCs w:val="16"/>
          <w:color w:val="auto"/>
        </w:rPr>
        <w:t>. No such assignment shall be made (A) to the Borrower or any of the Borrower’s Affiliates or Subsidiaries,</w:t>
      </w:r>
    </w:p>
    <w:p>
      <w:pPr>
        <w:spacing w:after="0" w:line="46" w:lineRule="exact"/>
        <w:rPr>
          <w:rFonts w:ascii="Arial" w:cs="Arial" w:eastAsia="Arial" w:hAnsi="Arial"/>
          <w:sz w:val="16"/>
          <w:szCs w:val="16"/>
          <w:color w:val="auto"/>
        </w:rPr>
      </w:pPr>
    </w:p>
    <w:p>
      <w:pPr>
        <w:ind w:left="460" w:right="160" w:firstLine="4"/>
        <w:spacing w:after="0" w:line="255" w:lineRule="auto"/>
        <w:tabs>
          <w:tab w:leader="none" w:pos="74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to any Defaulting Lender or any of its Subsidiaries, or any Person who, upon becoming a Lender hereunder, would constitute any of the foregoing Persons described in this clause (B), (C) to a natural Person (or a holding company, investment vehicle or trust for, or owned and operated for the primary benefit of a natural Person) or (D) any holder of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w:t>
      </w:r>
    </w:p>
    <w:p>
      <w:pPr>
        <w:spacing w:after="0" w:line="82" w:lineRule="exact"/>
        <w:rPr>
          <w:rFonts w:ascii="Arial" w:cs="Arial" w:eastAsia="Arial" w:hAnsi="Arial"/>
          <w:sz w:val="18"/>
          <w:szCs w:val="18"/>
          <w:color w:val="auto"/>
        </w:rPr>
      </w:pPr>
    </w:p>
    <w:p>
      <w:pPr>
        <w:ind w:left="460" w:firstLine="443"/>
        <w:spacing w:after="0" w:line="288" w:lineRule="auto"/>
        <w:tabs>
          <w:tab w:leader="none" w:pos="1203"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3" w:lineRule="exact"/>
        <w:rPr>
          <w:sz w:val="20"/>
          <w:szCs w:val="20"/>
          <w:color w:val="auto"/>
        </w:rPr>
      </w:pPr>
    </w:p>
    <w:p>
      <w:pPr>
        <w:ind w:firstLine="464"/>
        <w:spacing w:after="0" w:line="255" w:lineRule="auto"/>
        <w:tabs>
          <w:tab w:leader="none" w:pos="701"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74" w:right="239" w:bottom="1440" w:gutter="0" w:footer="0" w:header="0"/>
        </w:sectPr>
      </w:pPr>
    </w:p>
    <w:bookmarkStart w:id="128" w:name="page129"/>
    <w:bookmarkEnd w:id="128"/>
    <w:p>
      <w:pPr>
        <w:ind w:right="200" w:firstLine="464"/>
        <w:spacing w:after="0" w:line="271" w:lineRule="auto"/>
        <w:tabs>
          <w:tab w:leader="none" w:pos="711"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without regard to the existence of any participations.</w:t>
      </w:r>
    </w:p>
    <w:p>
      <w:pPr>
        <w:spacing w:after="0" w:line="17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as if it were an assignee under paragraph (b) of this Section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8" w:lineRule="exact"/>
        <w:rPr>
          <w:sz w:val="20"/>
          <w:szCs w:val="20"/>
          <w:color w:val="auto"/>
        </w:rPr>
      </w:pPr>
    </w:p>
    <w:p>
      <w:pPr>
        <w:ind w:right="20" w:firstLine="464"/>
        <w:spacing w:after="0" w:line="259" w:lineRule="auto"/>
        <w:tabs>
          <w:tab w:leader="none" w:pos="701"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11.07 </w:t>
      </w:r>
      <w:r>
        <w:rPr>
          <w:rFonts w:ascii="Arial" w:cs="Arial" w:eastAsia="Arial" w:hAnsi="Arial"/>
          <w:sz w:val="18"/>
          <w:szCs w:val="18"/>
          <w:b w:val="1"/>
          <w:bCs w:val="1"/>
          <w:u w:val="single" w:color="auto"/>
          <w:color w:val="auto"/>
        </w:rPr>
        <w:t>Treatment of Certain Information; Confidentiality</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64"/>
        <w:spacing w:after="0" w:line="283" w:lineRule="auto"/>
        <w:tabs>
          <w:tab w:leader="none" w:pos="701"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Treatment of Certain Information</w:t>
      </w:r>
      <w:r>
        <w:rPr>
          <w:rFonts w:ascii="Arial" w:cs="Arial" w:eastAsia="Arial" w:hAnsi="Arial"/>
          <w:sz w:val="16"/>
          <w:szCs w:val="16"/>
          <w:color w:val="auto"/>
        </w:rPr>
        <w:t>. Each of the Administrative Agent, the Lenders agrees to maintain the confidentiality of the Information (as defined below), except that Information may be disclosed (i) on a need to know basis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in which case (except in the context of regular examinations by any regulatory authority of any Lender), the Administrative Agent and the Lenders agree to the extent not prohibited by applicable Law, rule or regulation or order, to use commercially reasonable efforts to promptly inform the Borrower of the disclosure thereof, (iii) to the extent required by applicable Laws or regulations or by any subpoena or similar legal process, in which case, the Administrative Agent and the Lenders agree to the extent not prohibited by applicable Law, rule or regulation or order, to use commercially reasonable efforts to promptly inform the Borrower of the disclosure thereof,</w:t>
      </w:r>
    </w:p>
    <w:p>
      <w:pPr>
        <w:spacing w:after="0" w:line="6" w:lineRule="exact"/>
        <w:rPr>
          <w:rFonts w:ascii="Arial" w:cs="Arial" w:eastAsia="Arial" w:hAnsi="Arial"/>
          <w:sz w:val="16"/>
          <w:szCs w:val="16"/>
          <w:color w:val="auto"/>
        </w:rPr>
      </w:pPr>
    </w:p>
    <w:p>
      <w:pPr>
        <w:ind w:right="20" w:firstLine="8"/>
        <w:spacing w:after="0" w:line="266" w:lineRule="auto"/>
        <w:tabs>
          <w:tab w:leader="none" w:pos="30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to any other party hereto, (v) to the extent necessary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any Eligible Assignee invited to be a Lender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(B) the provider of any Platform or other electronic delivery service used by the Administrative Agent to deliver Borrower Materials or notices to the Lenders or (C) the CUSIP Service Bureau or any similar agency in connection with the issuance and monitoring of CUSIP numbers or other market identifiers with respect to the credit facilities provided hereunder, or (viii) with the consent of the Borrower or to the extent such Information (1) becomes publicly available other than as a result of a breach of this Section or (2) becomes available to the Administrative Agent, any Lender, or any of their respective Affiliates on a nonconfidential basis from a source other than the Borrower. 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publicly available information about this Agreement to market data collectors, similar service providers to the lending industry and service providers to the Administrative Agent and the Lenders in connection with the administration of this Agreement, the other Loan Documents and their Commitments.</w:t>
      </w:r>
    </w:p>
    <w:p>
      <w:pPr>
        <w:spacing w:after="0" w:line="190" w:lineRule="exact"/>
        <w:rPr>
          <w:rFonts w:ascii="Arial" w:cs="Arial" w:eastAsia="Arial" w:hAnsi="Arial"/>
          <w:sz w:val="17"/>
          <w:szCs w:val="17"/>
          <w:color w:val="auto"/>
        </w:rPr>
      </w:pPr>
    </w:p>
    <w:p>
      <w:pPr>
        <w:ind w:firstLine="464"/>
        <w:spacing w:after="0" w:line="259" w:lineRule="auto"/>
        <w:tabs>
          <w:tab w:leader="none" w:pos="711"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Non-Public Information</w:t>
      </w:r>
      <w:r>
        <w:rPr>
          <w:rFonts w:ascii="Arial" w:cs="Arial" w:eastAsia="Arial" w:hAnsi="Arial"/>
          <w:sz w:val="18"/>
          <w:szCs w:val="18"/>
          <w:color w:val="auto"/>
        </w:rPr>
        <w:t>. Each of the Administrative Agent and the Lenders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70" w:right="259" w:bottom="1440" w:gutter="0" w:footer="0" w:header="0"/>
        </w:sectPr>
      </w:pPr>
    </w:p>
    <w:bookmarkStart w:id="130" w:name="page131"/>
    <w:bookmarkEnd w:id="130"/>
    <w:p>
      <w:pPr>
        <w:jc w:val="both"/>
        <w:ind w:right="260" w:firstLine="464"/>
        <w:spacing w:after="0" w:line="302" w:lineRule="auto"/>
        <w:tabs>
          <w:tab w:leader="none" w:pos="701"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Press Releases</w:t>
      </w:r>
      <w:r>
        <w:rPr>
          <w:rFonts w:ascii="Arial" w:cs="Arial" w:eastAsia="Arial" w:hAnsi="Arial"/>
          <w:sz w:val="16"/>
          <w:szCs w:val="16"/>
          <w:color w:val="auto"/>
        </w:rPr>
        <w:t>. 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p>
      <w:pPr>
        <w:spacing w:after="0" w:line="154" w:lineRule="exact"/>
        <w:rPr>
          <w:rFonts w:ascii="Arial" w:cs="Arial" w:eastAsia="Arial" w:hAnsi="Arial"/>
          <w:sz w:val="16"/>
          <w:szCs w:val="16"/>
          <w:color w:val="auto"/>
        </w:rPr>
      </w:pPr>
    </w:p>
    <w:p>
      <w:pPr>
        <w:ind w:right="160" w:firstLine="464"/>
        <w:spacing w:after="0" w:line="312" w:lineRule="auto"/>
        <w:tabs>
          <w:tab w:leader="none" w:pos="711"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Customary Advertising Material</w:t>
      </w:r>
      <w:r>
        <w:rPr>
          <w:rFonts w:ascii="Arial" w:cs="Arial" w:eastAsia="Arial" w:hAnsi="Arial"/>
          <w:sz w:val="16"/>
          <w:szCs w:val="16"/>
          <w:color w:val="auto"/>
        </w:rPr>
        <w:t>. The Loan Parties consent to the publication by the Administrative Agent or any Lender of customary advertising material relating to the transactions contemplated hereby using the name, product photographs or logo of the Loan Parties, subject to the Administrative Agent or such Lender providing the Loan Parties a reasonable opportunity to review such advertising materials prior to their use or distribution.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11.08 </w:t>
      </w:r>
      <w:r>
        <w:rPr>
          <w:rFonts w:ascii="Arial" w:cs="Arial" w:eastAsia="Arial" w:hAnsi="Arial"/>
          <w:sz w:val="18"/>
          <w:szCs w:val="18"/>
          <w:b w:val="1"/>
          <w:bCs w:val="1"/>
          <w:u w:val="single" w:color="auto"/>
          <w:color w:val="auto"/>
        </w:rPr>
        <w:t>Right of Setoff</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or such Loan Party may be contingent or unmatured, secured or unsecured, or are owed to a branch, office or Affiliate of such Lender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w:t>
      </w:r>
    </w:p>
    <w:p>
      <w:pPr>
        <w:spacing w:after="0" w:line="6" w:lineRule="exact"/>
        <w:rPr>
          <w:sz w:val="20"/>
          <w:szCs w:val="20"/>
          <w:color w:val="auto"/>
        </w:rPr>
      </w:pPr>
    </w:p>
    <w:p>
      <w:pPr>
        <w:ind w:right="260" w:firstLine="8"/>
        <w:spacing w:after="0" w:line="253"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Defaulting Lender shall provide promptly to the Administrative Agent a statement describing in reasonable detail the Secured Obligations owing to such Defaulting Lender as to which it exercised such right of setoff. The rights of each Lender and its Affiliates under this Section are in addition to other rights and remedies (including other rights of setoff) that such Lender or its Affiliates may have. Each Lender agrees to notify the Borrower and the Administrative Agent promptly after any such setoff and application, provided that the failure to give such notice shall not affect the validity of such setoff and application.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11.09 </w:t>
      </w:r>
      <w:r>
        <w:rPr>
          <w:rFonts w:ascii="Arial" w:cs="Arial" w:eastAsia="Arial" w:hAnsi="Arial"/>
          <w:sz w:val="18"/>
          <w:szCs w:val="18"/>
          <w:b w:val="1"/>
          <w:bCs w:val="1"/>
          <w:u w:val="single" w:color="auto"/>
          <w:color w:val="auto"/>
        </w:rPr>
        <w:t>Interest Rate Limitation</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4"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11.10 </w:t>
      </w:r>
      <w:r>
        <w:rPr>
          <w:rFonts w:ascii="Arial" w:cs="Arial" w:eastAsia="Arial" w:hAnsi="Arial"/>
          <w:sz w:val="18"/>
          <w:szCs w:val="18"/>
          <w:b w:val="1"/>
          <w:bCs w:val="1"/>
          <w:u w:val="single" w:color="auto"/>
          <w:color w:val="auto"/>
        </w:rPr>
        <w:t>Counterparts; Integration; Effectiveness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b w:val="1"/>
          <w:bCs w:val="1"/>
          <w:u w:val="single" w:color="auto"/>
          <w:color w:val="auto"/>
        </w:rPr>
        <w:t>Survival of Representations and Warranties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b w:val="1"/>
          <w:bCs w:val="1"/>
          <w:u w:val="single" w:color="auto"/>
          <w:color w:val="auto"/>
        </w:rPr>
        <w:t>Replacement of Lenders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If the Borrower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11.06</w:t>
      </w:r>
      <w:r>
        <w:rPr>
          <w:rFonts w:ascii="Arial" w:cs="Arial" w:eastAsia="Arial" w:hAnsi="Arial"/>
          <w:sz w:val="18"/>
          <w:szCs w:val="18"/>
          <w:color w:val="auto"/>
        </w:rPr>
        <w:t>), all of its interests, rights (other than its existing rights to payments pursuant to</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270" w:right="299" w:bottom="1440" w:gutter="0" w:footer="0" w:header="0"/>
        </w:sectPr>
      </w:pPr>
    </w:p>
    <w:bookmarkStart w:id="132" w:name="page133"/>
    <w:bookmarkEnd w:id="132"/>
    <w:p>
      <w:pPr>
        <w:ind w:right="36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sz w:val="20"/>
          <w:szCs w:val="20"/>
          <w:color w:val="auto"/>
        </w:rPr>
      </w:pPr>
    </w:p>
    <w:p>
      <w:pPr>
        <w:ind w:left="700" w:hanging="236"/>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464"/>
        <w:spacing w:after="0" w:line="286" w:lineRule="auto"/>
        <w:tabs>
          <w:tab w:leader="none" w:pos="71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such Lender shall have received payment of an amount equal to 100% of the outstanding principal of its Loans,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Section 3.05</w:t>
      </w:r>
      <w:r>
        <w:rPr>
          <w:rFonts w:ascii="Arial" w:cs="Arial" w:eastAsia="Arial" w:hAnsi="Arial"/>
          <w:sz w:val="17"/>
          <w:szCs w:val="17"/>
          <w:color w:val="auto"/>
        </w:rPr>
        <w:t>) from the assignee (to the extent of such outstanding principal and accrued interest and fees) or the Borrower (in the case of all other amounts);</w:t>
      </w:r>
    </w:p>
    <w:p>
      <w:pPr>
        <w:spacing w:after="0" w:line="165" w:lineRule="exact"/>
        <w:rPr>
          <w:rFonts w:ascii="Arial" w:cs="Arial" w:eastAsia="Arial" w:hAnsi="Arial"/>
          <w:sz w:val="17"/>
          <w:szCs w:val="17"/>
          <w:color w:val="auto"/>
        </w:rPr>
      </w:pPr>
    </w:p>
    <w:p>
      <w:pPr>
        <w:ind w:right="620" w:firstLine="464"/>
        <w:spacing w:after="0" w:line="277" w:lineRule="auto"/>
        <w:tabs>
          <w:tab w:leader="none" w:pos="70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Section 3.04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auto"/>
        </w:rPr>
      </w:pPr>
    </w:p>
    <w:p>
      <w:pPr>
        <w:ind w:right="540" w:firstLine="464"/>
        <w:spacing w:after="0" w:line="277" w:lineRule="auto"/>
        <w:tabs>
          <w:tab w:leader="none" w:pos="70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b w:val="1"/>
          <w:bCs w:val="1"/>
          <w:u w:val="single" w:color="auto"/>
          <w:color w:val="auto"/>
        </w:rPr>
        <w:t>Governing Law; Jurisdiction; Etc</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76" w:lineRule="auto"/>
        <w:tabs>
          <w:tab w:leader="none" w:pos="701"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2" w:lineRule="exact"/>
        <w:rPr>
          <w:rFonts w:ascii="Arial" w:cs="Arial" w:eastAsia="Arial" w:hAnsi="Arial"/>
          <w:sz w:val="17"/>
          <w:szCs w:val="17"/>
          <w:color w:val="auto"/>
        </w:rPr>
      </w:pPr>
    </w:p>
    <w:p>
      <w:pPr>
        <w:ind w:right="140" w:firstLine="464"/>
        <w:spacing w:after="0" w:line="270" w:lineRule="auto"/>
        <w:tabs>
          <w:tab w:leader="none" w:pos="711"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133" w:name="page134"/>
    <w:bookmarkEnd w:id="133"/>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 LITIGATION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ANY OTHER LOAN PARTY OR ITS PROPERTIES IN THE COURTS OF ANY JURISDICTION.</w:t>
      </w:r>
    </w:p>
    <w:p>
      <w:pPr>
        <w:spacing w:after="0" w:line="188" w:lineRule="exact"/>
        <w:rPr>
          <w:sz w:val="20"/>
          <w:szCs w:val="20"/>
          <w:color w:val="auto"/>
        </w:rPr>
      </w:pPr>
    </w:p>
    <w:p>
      <w:pPr>
        <w:ind w:right="40" w:firstLine="464"/>
        <w:spacing w:after="0" w:line="255" w:lineRule="auto"/>
        <w:tabs>
          <w:tab w:leader="none" w:pos="701"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18"/>
          <w:szCs w:val="18"/>
          <w:color w:val="auto"/>
        </w:rPr>
      </w:pPr>
    </w:p>
    <w:p>
      <w:pPr>
        <w:jc w:val="both"/>
        <w:ind w:right="40" w:firstLine="464"/>
        <w:spacing w:after="0" w:line="264" w:lineRule="auto"/>
        <w:tabs>
          <w:tab w:leader="none" w:pos="711"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EACH PARTY HERETO IRREVOCABLY CONSENTS TO SERVICE OF PROCESS IN THE MANNER PROVIDED FOR NOTICES IN SECTION 11.02. NOTHING IN THIS AGREEMENT WILL AFFECT THE RIGHT OF ANY PARTY HERETO TO SERVE PROCESS IN ANY OTHER MANNER PERMITTED BY APPLICABLE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11.15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b w:val="1"/>
          <w:bCs w:val="1"/>
          <w:u w:val="single" w:color="auto"/>
          <w:color w:val="auto"/>
        </w:rPr>
        <w:t>Subordination</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Each Loan Party (a “</w:t>
      </w:r>
      <w:r>
        <w:rPr>
          <w:rFonts w:ascii="Arial" w:cs="Arial" w:eastAsia="Arial" w:hAnsi="Arial"/>
          <w:sz w:val="17"/>
          <w:szCs w:val="17"/>
          <w:u w:val="single" w:color="auto"/>
          <w:color w:val="auto"/>
        </w:rPr>
        <w:t>Subordinating Loan Party</w:t>
      </w:r>
      <w:r>
        <w:rPr>
          <w:rFonts w:ascii="Arial" w:cs="Arial" w:eastAsia="Arial" w:hAnsi="Arial"/>
          <w:sz w:val="17"/>
          <w:szCs w:val="17"/>
          <w:color w:val="auto"/>
        </w:rPr>
        <w:t>”)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during the continuance of an Event of Default,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Event of Default has occurred and is continuing, the Loan Parties may make and receive payments with respect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274" w:right="259" w:bottom="1440" w:gutter="0" w:footer="0" w:header="0"/>
        </w:sectPr>
      </w:pPr>
    </w:p>
    <w:bookmarkStart w:id="134" w:name="page135"/>
    <w:bookmarkEnd w:id="13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Intercompany Debt and other intercompany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Loan Party receives any payment of any Intercompany Debt or other intercompany obligations at a time when such payment is prohibited by this Section, such payment shall be held by such Loan Party, in trust for the benefit of, and shall be paid forthwith over and delivered, upon written request, to the Administrative Agent.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11.17 </w:t>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the Administrative Agent and any Affiliate thereof, the Arranger and the Lenders are arm’s-length commercial transactions between the Borrower, each other Loan Party and their respective Affiliates, on the one hand, and the Administrative Agent and, as applicable, its Affiliates (including the Arranger) and the Lenders and their Affiliates (collectively, solely for purposes of this Section, the “</w:t>
      </w:r>
      <w:r>
        <w:rPr>
          <w:rFonts w:ascii="Arial" w:cs="Arial" w:eastAsia="Arial" w:hAnsi="Arial"/>
          <w:sz w:val="16"/>
          <w:szCs w:val="16"/>
          <w:u w:val="single" w:color="auto"/>
          <w:color w:val="auto"/>
        </w:rPr>
        <w:t>Lenders</w:t>
      </w:r>
      <w:r>
        <w:rPr>
          <w:rFonts w:ascii="Arial" w:cs="Arial" w:eastAsia="Arial" w:hAnsi="Arial"/>
          <w:sz w:val="16"/>
          <w:szCs w:val="16"/>
          <w:color w:val="auto"/>
        </w:rPr>
        <w:t>”),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 (i) the Administrative Agent and its Affiliates (including the Arranger) and each Lender each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(ii) neither the Administrative Agent, any of its Affiliates (including the Arranger) nor any Lender has any obligation to the Borrower, any other Loan Party or any of their respective Affiliates with respect to the transactions contemplated hereby except those obligations expressly set forth herein and in the other Loan Documents; and (c) the Administrative Agent and its Affiliates (including the Arranger) and the Lenders may be engaged in a broad range of transactions that involve interests that differ from those of the Borrower, the other Loan Parties and their respective Affiliates, and neither the Administrative Agent, any of its Affiliates (including the Arranger) nor any Lender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any of its Affiliates (including the Arranger) or any Lender with respect to any breach or alleged breach of agency or fiduciary duty in connection with any aspect of any transactions contemplated hereby.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11.18 </w:t>
      </w:r>
      <w:r>
        <w:rPr>
          <w:rFonts w:ascii="Arial" w:cs="Arial" w:eastAsia="Arial" w:hAnsi="Arial"/>
          <w:sz w:val="18"/>
          <w:szCs w:val="18"/>
          <w:b w:val="1"/>
          <w:bCs w:val="1"/>
          <w:u w:val="single" w:color="auto"/>
          <w:color w:val="auto"/>
        </w:rPr>
        <w:t>Electronic Execution of Assignments and Certain Other Documents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herein to the contrary neither the Administrative Agent nor any Lender is under any obligation to agree to accept electronic signatures in any form or in any format unless expressly agreed to by the Administrative Agent or such Lender pursuant to procedures approved by it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without limiting the foregoing, upon the request of any party, any electronic signature shall be promptly followed by such manually executed counterpart.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274" w:right="2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11.19 </w:t>
      </w:r>
      <w:r>
        <w:rPr>
          <w:rFonts w:ascii="Arial" w:cs="Arial" w:eastAsia="Arial" w:hAnsi="Arial"/>
          <w:sz w:val="18"/>
          <w:szCs w:val="18"/>
          <w:b w:val="1"/>
          <w:bCs w:val="1"/>
          <w:u w:val="single" w:color="auto"/>
          <w:color w:val="auto"/>
        </w:rPr>
        <w:t>USA PATRIOT Act Notice</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Lender that is subject to the Act (as hereinafter defined) and the Administrative Agent (for itself and not on behalf of any Lender) hereby notifies the Borrower and the other Loan Parties that pursuant to the requirements of the USA PATRIOT Act (Title III 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and the Loan Parties agree to,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b w:val="1"/>
          <w:bCs w:val="1"/>
          <w:u w:val="single" w:color="auto"/>
          <w:color w:val="auto"/>
        </w:rPr>
        <w:t>USA PATRIOT Act Notice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u w:val="single" w:color="auto"/>
          <w:color w:val="auto"/>
        </w:rPr>
        <w:t>Solely to the extent any Lender that is an EEA Financial Institution is a party to this Agreement and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right="20" w:firstLine="464"/>
        <w:spacing w:after="0" w:line="277" w:lineRule="auto"/>
        <w:tabs>
          <w:tab w:leader="none" w:pos="701" w:val="left"/>
        </w:tabs>
        <w:numPr>
          <w:ilvl w:val="0"/>
          <w:numId w:val="1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application of any Write-Down and Conversion Powers by an EEA Resolution Authority to any such liabilities arising hereunder which may be payable to it by any Lender that is an EEA Financial Institution; and</w:t>
      </w:r>
    </w:p>
    <w:p>
      <w:pPr>
        <w:spacing w:after="0" w:line="170" w:lineRule="exact"/>
        <w:rPr>
          <w:rFonts w:ascii="Arial" w:cs="Arial" w:eastAsia="Arial" w:hAnsi="Arial"/>
          <w:sz w:val="18"/>
          <w:szCs w:val="18"/>
          <w:u w:val="single" w:color="auto"/>
          <w:color w:val="auto"/>
        </w:rPr>
      </w:pPr>
    </w:p>
    <w:p>
      <w:pPr>
        <w:ind w:left="720" w:hanging="256"/>
        <w:spacing w:after="0"/>
        <w:tabs>
          <w:tab w:leader="none" w:pos="720" w:val="left"/>
        </w:tabs>
        <w:numPr>
          <w:ilvl w:val="0"/>
          <w:numId w:val="1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effects of any Bail-In Action on any such liability, including, if applicable:</w:t>
      </w:r>
    </w:p>
    <w:p>
      <w:pPr>
        <w:spacing w:after="0" w:line="117" w:lineRule="exact"/>
        <w:rPr>
          <w:rFonts w:ascii="Arial" w:cs="Arial" w:eastAsia="Arial" w:hAnsi="Arial"/>
          <w:sz w:val="18"/>
          <w:szCs w:val="18"/>
          <w:u w:val="single" w:color="auto"/>
          <w:color w:val="auto"/>
        </w:rPr>
      </w:pPr>
    </w:p>
    <w:p>
      <w:pPr>
        <w:ind w:left="1120" w:hanging="217"/>
        <w:spacing w:after="0"/>
        <w:tabs>
          <w:tab w:leader="none" w:pos="1120" w:val="left"/>
        </w:tabs>
        <w:numPr>
          <w:ilvl w:val="1"/>
          <w:numId w:val="1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 reduction in full or in part or cancellation of any such liability;</w:t>
      </w:r>
    </w:p>
    <w:p>
      <w:pPr>
        <w:spacing w:after="0" w:line="117" w:lineRule="exact"/>
        <w:rPr>
          <w:rFonts w:ascii="Arial" w:cs="Arial" w:eastAsia="Arial" w:hAnsi="Arial"/>
          <w:sz w:val="18"/>
          <w:szCs w:val="18"/>
          <w:u w:val="single" w:color="auto"/>
          <w:color w:val="auto"/>
        </w:rPr>
      </w:pPr>
    </w:p>
    <w:p>
      <w:pPr>
        <w:ind w:left="460" w:right="60" w:firstLine="443"/>
        <w:spacing w:after="0" w:line="286" w:lineRule="auto"/>
        <w:tabs>
          <w:tab w:leader="none" w:pos="1163" w:val="left"/>
        </w:tabs>
        <w:numPr>
          <w:ilvl w:val="1"/>
          <w:numId w:val="18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7" w:lineRule="exact"/>
        <w:rPr>
          <w:rFonts w:ascii="Arial" w:cs="Arial" w:eastAsia="Arial" w:hAnsi="Arial"/>
          <w:sz w:val="17"/>
          <w:szCs w:val="17"/>
          <w:u w:val="single" w:color="auto"/>
          <w:color w:val="auto"/>
        </w:rPr>
      </w:pPr>
    </w:p>
    <w:p>
      <w:pPr>
        <w:ind w:left="1220" w:hanging="317"/>
        <w:spacing w:after="0"/>
        <w:tabs>
          <w:tab w:leader="none" w:pos="1220" w:val="left"/>
        </w:tabs>
        <w:numPr>
          <w:ilvl w:val="1"/>
          <w:numId w:val="18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u w:val="single" w:color="auto"/>
          <w:color w:val="auto"/>
        </w:rPr>
      </w:pPr>
    </w:p>
    <w:p>
      <w:pPr>
        <w:ind w:left="460"/>
        <w:spacing w:after="0"/>
        <w:rPr>
          <w:rFonts w:ascii="Arial" w:cs="Arial" w:eastAsia="Arial" w:hAnsi="Arial"/>
          <w:sz w:val="16"/>
          <w:szCs w:val="16"/>
          <w:u w:val="single" w:color="auto"/>
          <w:color w:val="auto"/>
        </w:rPr>
      </w:pPr>
      <w:r>
        <w:rPr>
          <w:rFonts w:ascii="Arial" w:cs="Arial" w:eastAsia="Arial" w:hAnsi="Arial"/>
          <w:sz w:val="18"/>
          <w:szCs w:val="18"/>
          <w:u w:val="single" w:color="auto"/>
          <w:color w:val="auto"/>
        </w:rPr>
        <w:t>Authority.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40"/>
          </w:cols>
          <w:pgMar w:left="240" w:top="270" w:right="319"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duly executed as of the date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7460" w:type="dxa"/>
            <w:vAlign w:val="bottom"/>
            <w:gridSpan w:val="2"/>
          </w:tcPr>
          <w:p>
            <w:pPr>
              <w:ind w:left="1620"/>
              <w:spacing w:after="0"/>
              <w:rPr>
                <w:sz w:val="20"/>
                <w:szCs w:val="20"/>
                <w:color w:val="auto"/>
              </w:rPr>
            </w:pPr>
            <w:r>
              <w:rPr>
                <w:rFonts w:ascii="Arial" w:cs="Arial" w:eastAsia="Arial" w:hAnsi="Arial"/>
                <w:sz w:val="18"/>
                <w:szCs w:val="18"/>
                <w:color w:val="auto"/>
              </w:rPr>
              <w:t>FABRINET,</w:t>
            </w:r>
          </w:p>
        </w:tc>
      </w:tr>
      <w:tr>
        <w:trPr>
          <w:trHeight w:val="237"/>
        </w:trPr>
        <w:tc>
          <w:tcPr>
            <w:tcW w:w="90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60" w:type="dxa"/>
            <w:vAlign w:val="bottom"/>
            <w:gridSpan w:val="2"/>
          </w:tcPr>
          <w:p>
            <w:pPr>
              <w:ind w:left="1620"/>
              <w:spacing w:after="0"/>
              <w:rPr>
                <w:sz w:val="20"/>
                <w:szCs w:val="20"/>
                <w:color w:val="auto"/>
              </w:rPr>
            </w:pPr>
            <w:r>
              <w:rPr>
                <w:rFonts w:ascii="Arial" w:cs="Arial" w:eastAsia="Arial" w:hAnsi="Arial"/>
                <w:sz w:val="18"/>
                <w:szCs w:val="18"/>
                <w:color w:val="auto"/>
                <w:w w:val="93"/>
              </w:rPr>
              <w:t>an exempted company incorporated with limited liability in the Cayman Islands</w:t>
            </w:r>
          </w:p>
        </w:tc>
      </w:tr>
      <w:tr>
        <w:trPr>
          <w:trHeight w:val="432"/>
        </w:trPr>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60" w:type="dxa"/>
            <w:vAlign w:val="bottom"/>
            <w:gridSpan w:val="2"/>
          </w:tcPr>
          <w:p>
            <w:pPr>
              <w:ind w:left="1900"/>
              <w:spacing w:after="0"/>
              <w:rPr>
                <w:sz w:val="20"/>
                <w:szCs w:val="20"/>
                <w:color w:val="auto"/>
              </w:rPr>
            </w:pPr>
            <w:r>
              <w:rPr>
                <w:rFonts w:ascii="Arial" w:cs="Arial" w:eastAsia="Arial" w:hAnsi="Arial"/>
                <w:sz w:val="18"/>
                <w:szCs w:val="18"/>
                <w:color w:val="auto"/>
              </w:rPr>
              <w:t>By:</w:t>
            </w:r>
          </w:p>
        </w:tc>
      </w:tr>
      <w:tr>
        <w:trPr>
          <w:trHeight w:val="210"/>
        </w:trPr>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40" w:type="dxa"/>
            <w:vAlign w:val="bottom"/>
          </w:tcPr>
          <w:p>
            <w:pPr>
              <w:ind w:left="1860"/>
              <w:spacing w:after="0"/>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bottom w:val="single" w:sz="8" w:color="auto"/>
            </w:tcBorders>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40" w:type="dxa"/>
            <w:vAlign w:val="bottom"/>
          </w:tcPr>
          <w:p>
            <w:pPr>
              <w:ind w:left="186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18"/>
                <w:szCs w:val="18"/>
                <w:color w:val="auto"/>
              </w:rPr>
            </w:pPr>
          </w:p>
        </w:tc>
      </w:tr>
      <w:tr>
        <w:trPr>
          <w:trHeight w:val="412"/>
        </w:trPr>
        <w:tc>
          <w:tcPr>
            <w:tcW w:w="3960" w:type="dxa"/>
            <w:vAlign w:val="bottom"/>
            <w:gridSpan w:val="3"/>
          </w:tcPr>
          <w:p>
            <w:pPr>
              <w:spacing w:after="0"/>
              <w:rPr>
                <w:sz w:val="20"/>
                <w:szCs w:val="20"/>
                <w:color w:val="auto"/>
              </w:rPr>
            </w:pPr>
            <w:r>
              <w:rPr>
                <w:rFonts w:ascii="Arial" w:cs="Arial" w:eastAsia="Arial" w:hAnsi="Arial"/>
                <w:sz w:val="18"/>
                <w:szCs w:val="18"/>
                <w:color w:val="auto"/>
              </w:rPr>
              <w:t>DESIGNATED BORROWERS:</w:t>
            </w:r>
          </w:p>
        </w:tc>
        <w:tc>
          <w:tcPr>
            <w:tcW w:w="7460" w:type="dxa"/>
            <w:vAlign w:val="bottom"/>
            <w:gridSpan w:val="2"/>
          </w:tcPr>
          <w:p>
            <w:pPr>
              <w:ind w:left="1620"/>
              <w:spacing w:after="0"/>
              <w:rPr>
                <w:sz w:val="20"/>
                <w:szCs w:val="20"/>
                <w:color w:val="auto"/>
              </w:rPr>
            </w:pPr>
            <w:r>
              <w:rPr>
                <w:rFonts w:ascii="Arial" w:cs="Arial" w:eastAsia="Arial" w:hAnsi="Arial"/>
                <w:sz w:val="18"/>
                <w:szCs w:val="18"/>
                <w:color w:val="auto"/>
              </w:rPr>
              <w:t>FABRITEK, INC.,</w:t>
            </w:r>
          </w:p>
        </w:tc>
      </w:tr>
      <w:tr>
        <w:trPr>
          <w:trHeight w:val="237"/>
        </w:trPr>
        <w:tc>
          <w:tcPr>
            <w:tcW w:w="9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7460" w:type="dxa"/>
            <w:vAlign w:val="bottom"/>
            <w:gridSpan w:val="2"/>
          </w:tcPr>
          <w:p>
            <w:pPr>
              <w:ind w:left="1620"/>
              <w:spacing w:after="0"/>
              <w:rPr>
                <w:sz w:val="20"/>
                <w:szCs w:val="20"/>
                <w:color w:val="auto"/>
              </w:rPr>
            </w:pPr>
            <w:r>
              <w:rPr>
                <w:rFonts w:ascii="Arial" w:cs="Arial" w:eastAsia="Arial" w:hAnsi="Arial"/>
                <w:sz w:val="18"/>
                <w:szCs w:val="18"/>
                <w:color w:val="auto"/>
              </w:rPr>
              <w:t>a California corporation</w:t>
            </w:r>
          </w:p>
        </w:tc>
      </w:tr>
      <w:tr>
        <w:trPr>
          <w:trHeight w:val="432"/>
        </w:trPr>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60" w:type="dxa"/>
            <w:vAlign w:val="bottom"/>
            <w:gridSpan w:val="2"/>
          </w:tcPr>
          <w:p>
            <w:pPr>
              <w:ind w:left="1900"/>
              <w:spacing w:after="0"/>
              <w:rPr>
                <w:sz w:val="20"/>
                <w:szCs w:val="20"/>
                <w:color w:val="auto"/>
              </w:rPr>
            </w:pPr>
            <w:r>
              <w:rPr>
                <w:rFonts w:ascii="Arial" w:cs="Arial" w:eastAsia="Arial" w:hAnsi="Arial"/>
                <w:sz w:val="18"/>
                <w:szCs w:val="18"/>
                <w:color w:val="auto"/>
              </w:rPr>
              <w:t>By:</w:t>
            </w:r>
          </w:p>
        </w:tc>
      </w:tr>
      <w:tr>
        <w:trPr>
          <w:trHeight w:val="210"/>
        </w:trPr>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40" w:type="dxa"/>
            <w:vAlign w:val="bottom"/>
          </w:tcPr>
          <w:p>
            <w:pPr>
              <w:ind w:left="1860"/>
              <w:spacing w:after="0"/>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bottom w:val="single" w:sz="8" w:color="auto"/>
            </w:tcBorders>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40" w:type="dxa"/>
            <w:vAlign w:val="bottom"/>
          </w:tcPr>
          <w:p>
            <w:pPr>
              <w:ind w:left="186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18"/>
                <w:szCs w:val="18"/>
                <w:color w:val="auto"/>
              </w:rPr>
            </w:pPr>
          </w:p>
        </w:tc>
      </w:tr>
      <w:tr>
        <w:trPr>
          <w:trHeight w:val="438"/>
        </w:trPr>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60" w:type="dxa"/>
            <w:vAlign w:val="bottom"/>
            <w:gridSpan w:val="2"/>
          </w:tcPr>
          <w:p>
            <w:pPr>
              <w:ind w:left="1600"/>
              <w:spacing w:after="0"/>
              <w:rPr>
                <w:sz w:val="20"/>
                <w:szCs w:val="20"/>
                <w:color w:val="auto"/>
              </w:rPr>
            </w:pPr>
            <w:r>
              <w:rPr>
                <w:rFonts w:ascii="Arial" w:cs="Arial" w:eastAsia="Arial" w:hAnsi="Arial"/>
                <w:sz w:val="18"/>
                <w:szCs w:val="18"/>
                <w:color w:val="auto"/>
              </w:rPr>
              <w:t>FABRINET WEST, INC.,</w:t>
            </w:r>
          </w:p>
        </w:tc>
      </w:tr>
      <w:tr>
        <w:trPr>
          <w:trHeight w:val="230"/>
        </w:trPr>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60" w:type="dxa"/>
            <w:vAlign w:val="bottom"/>
            <w:gridSpan w:val="2"/>
          </w:tcPr>
          <w:p>
            <w:pPr>
              <w:ind w:left="1600"/>
              <w:spacing w:after="0"/>
              <w:rPr>
                <w:sz w:val="20"/>
                <w:szCs w:val="20"/>
                <w:color w:val="auto"/>
              </w:rPr>
            </w:pPr>
            <w:r>
              <w:rPr>
                <w:rFonts w:ascii="Arial" w:cs="Arial" w:eastAsia="Arial" w:hAnsi="Arial"/>
                <w:sz w:val="18"/>
                <w:szCs w:val="18"/>
                <w:color w:val="auto"/>
              </w:rPr>
              <w:t>a California corporation</w:t>
            </w:r>
          </w:p>
        </w:tc>
      </w:tr>
      <w:tr>
        <w:trPr>
          <w:trHeight w:val="432"/>
        </w:trPr>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60" w:type="dxa"/>
            <w:vAlign w:val="bottom"/>
            <w:gridSpan w:val="2"/>
          </w:tcPr>
          <w:p>
            <w:pPr>
              <w:ind w:left="1900"/>
              <w:spacing w:after="0"/>
              <w:rPr>
                <w:sz w:val="20"/>
                <w:szCs w:val="20"/>
                <w:color w:val="auto"/>
              </w:rPr>
            </w:pPr>
            <w:r>
              <w:rPr>
                <w:rFonts w:ascii="Arial" w:cs="Arial" w:eastAsia="Arial" w:hAnsi="Arial"/>
                <w:sz w:val="18"/>
                <w:szCs w:val="18"/>
                <w:color w:val="auto"/>
              </w:rPr>
              <w:t>By:</w:t>
            </w:r>
          </w:p>
        </w:tc>
      </w:tr>
      <w:tr>
        <w:trPr>
          <w:trHeight w:val="210"/>
        </w:trPr>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40" w:type="dxa"/>
            <w:vAlign w:val="bottom"/>
          </w:tcPr>
          <w:p>
            <w:pPr>
              <w:ind w:left="1860"/>
              <w:spacing w:after="0"/>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bottom w:val="single" w:sz="8" w:color="auto"/>
            </w:tcBorders>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40" w:type="dxa"/>
            <w:vAlign w:val="bottom"/>
          </w:tcPr>
          <w:p>
            <w:pPr>
              <w:ind w:left="186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37" w:name="page138"/>
    <w:bookmarkEnd w:id="1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Arial" w:cs="Arial" w:eastAsia="Arial" w:hAnsi="Arial"/>
                <w:sz w:val="18"/>
                <w:szCs w:val="18"/>
                <w:color w:val="auto"/>
              </w:rPr>
              <w:t>GUARANTORS:</w:t>
            </w:r>
          </w:p>
        </w:tc>
        <w:tc>
          <w:tcPr>
            <w:tcW w:w="7520" w:type="dxa"/>
            <w:vAlign w:val="bottom"/>
            <w:gridSpan w:val="2"/>
          </w:tcPr>
          <w:p>
            <w:pPr>
              <w:ind w:left="1780"/>
              <w:spacing w:after="0"/>
              <w:rPr>
                <w:sz w:val="20"/>
                <w:szCs w:val="20"/>
                <w:color w:val="auto"/>
              </w:rPr>
            </w:pPr>
            <w:r>
              <w:rPr>
                <w:rFonts w:ascii="Arial" w:cs="Arial" w:eastAsia="Arial" w:hAnsi="Arial"/>
                <w:sz w:val="18"/>
                <w:szCs w:val="18"/>
                <w:color w:val="auto"/>
              </w:rPr>
              <w:t>FABRINET CHINA HOLDINGS</w:t>
            </w:r>
          </w:p>
        </w:tc>
      </w:tr>
      <w:tr>
        <w:trPr>
          <w:trHeight w:val="237"/>
        </w:trPr>
        <w:tc>
          <w:tcPr>
            <w:tcW w:w="1280" w:type="dxa"/>
            <w:vAlign w:val="bottom"/>
            <w:tcBorders>
              <w:top w:val="single" w:sz="8" w:color="auto"/>
            </w:tcBorders>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gridSpan w:val="2"/>
          </w:tcPr>
          <w:p>
            <w:pPr>
              <w:ind w:left="1780"/>
              <w:spacing w:after="0"/>
              <w:rPr>
                <w:sz w:val="20"/>
                <w:szCs w:val="20"/>
                <w:color w:val="auto"/>
              </w:rPr>
            </w:pPr>
            <w:r>
              <w:rPr>
                <w:rFonts w:ascii="Arial" w:cs="Arial" w:eastAsia="Arial" w:hAnsi="Arial"/>
                <w:sz w:val="18"/>
                <w:szCs w:val="18"/>
                <w:color w:val="auto"/>
              </w:rPr>
              <w:t>a limited liability company incorporated under the laws of Mauritius</w:t>
            </w:r>
          </w:p>
        </w:tc>
      </w:tr>
      <w:tr>
        <w:trPr>
          <w:trHeight w:val="432"/>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520" w:type="dxa"/>
            <w:vAlign w:val="bottom"/>
            <w:gridSpan w:val="2"/>
          </w:tcPr>
          <w:p>
            <w:pPr>
              <w:ind w:left="1960"/>
              <w:spacing w:after="0"/>
              <w:rPr>
                <w:sz w:val="20"/>
                <w:szCs w:val="20"/>
                <w:color w:val="auto"/>
              </w:rPr>
            </w:pPr>
            <w:r>
              <w:rPr>
                <w:rFonts w:ascii="Arial" w:cs="Arial" w:eastAsia="Arial" w:hAnsi="Arial"/>
                <w:sz w:val="18"/>
                <w:szCs w:val="18"/>
                <w:color w:val="auto"/>
              </w:rPr>
              <w:t>By:</w:t>
            </w:r>
          </w:p>
        </w:tc>
      </w:tr>
      <w:tr>
        <w:trPr>
          <w:trHeight w:val="210"/>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0" w:type="dxa"/>
            <w:vAlign w:val="bottom"/>
          </w:tcPr>
          <w:p>
            <w:pPr>
              <w:ind w:left="1920"/>
              <w:spacing w:after="0"/>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bottom w:val="single" w:sz="8" w:color="auto"/>
            </w:tcBorders>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0" w:type="dxa"/>
            <w:vAlign w:val="bottom"/>
          </w:tcPr>
          <w:p>
            <w:pPr>
              <w:ind w:left="192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18"/>
                <w:szCs w:val="18"/>
                <w:color w:val="auto"/>
              </w:rPr>
            </w:pPr>
          </w:p>
        </w:tc>
      </w:tr>
      <w:tr>
        <w:trPr>
          <w:trHeight w:val="438"/>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520" w:type="dxa"/>
            <w:vAlign w:val="bottom"/>
            <w:gridSpan w:val="2"/>
          </w:tcPr>
          <w:p>
            <w:pPr>
              <w:ind w:left="1740"/>
              <w:spacing w:after="0"/>
              <w:rPr>
                <w:sz w:val="20"/>
                <w:szCs w:val="20"/>
                <w:color w:val="auto"/>
              </w:rPr>
            </w:pPr>
            <w:r>
              <w:rPr>
                <w:rFonts w:ascii="Arial" w:cs="Arial" w:eastAsia="Arial" w:hAnsi="Arial"/>
                <w:sz w:val="18"/>
                <w:szCs w:val="18"/>
                <w:color w:val="auto"/>
              </w:rPr>
              <w:t>FABRINET USA, INC.,</w:t>
            </w:r>
          </w:p>
        </w:tc>
      </w:tr>
      <w:tr>
        <w:trPr>
          <w:trHeight w:val="230"/>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gridSpan w:val="2"/>
          </w:tcPr>
          <w:p>
            <w:pPr>
              <w:ind w:left="1740"/>
              <w:spacing w:after="0"/>
              <w:rPr>
                <w:sz w:val="20"/>
                <w:szCs w:val="20"/>
                <w:color w:val="auto"/>
              </w:rPr>
            </w:pPr>
            <w:r>
              <w:rPr>
                <w:rFonts w:ascii="Arial" w:cs="Arial" w:eastAsia="Arial" w:hAnsi="Arial"/>
                <w:sz w:val="18"/>
                <w:szCs w:val="18"/>
                <w:color w:val="auto"/>
              </w:rPr>
              <w:t>a California corporation</w:t>
            </w:r>
          </w:p>
        </w:tc>
      </w:tr>
      <w:tr>
        <w:trPr>
          <w:trHeight w:val="432"/>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520" w:type="dxa"/>
            <w:vAlign w:val="bottom"/>
            <w:gridSpan w:val="2"/>
          </w:tcPr>
          <w:p>
            <w:pPr>
              <w:ind w:left="1960"/>
              <w:spacing w:after="0"/>
              <w:rPr>
                <w:sz w:val="20"/>
                <w:szCs w:val="20"/>
                <w:color w:val="auto"/>
              </w:rPr>
            </w:pPr>
            <w:r>
              <w:rPr>
                <w:rFonts w:ascii="Arial" w:cs="Arial" w:eastAsia="Arial" w:hAnsi="Arial"/>
                <w:sz w:val="18"/>
                <w:szCs w:val="18"/>
                <w:color w:val="auto"/>
              </w:rPr>
              <w:t>By:</w:t>
            </w:r>
          </w:p>
        </w:tc>
      </w:tr>
      <w:tr>
        <w:trPr>
          <w:trHeight w:val="210"/>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0" w:type="dxa"/>
            <w:vAlign w:val="bottom"/>
          </w:tcPr>
          <w:p>
            <w:pPr>
              <w:ind w:left="1920"/>
              <w:spacing w:after="0"/>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bottom w:val="single" w:sz="8" w:color="auto"/>
            </w:tcBorders>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0" w:type="dxa"/>
            <w:vAlign w:val="bottom"/>
          </w:tcPr>
          <w:p>
            <w:pPr>
              <w:ind w:left="192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18"/>
                <w:szCs w:val="18"/>
                <w:color w:val="auto"/>
              </w:rPr>
            </w:pPr>
          </w:p>
        </w:tc>
      </w:tr>
      <w:tr>
        <w:trPr>
          <w:trHeight w:val="438"/>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520" w:type="dxa"/>
            <w:vAlign w:val="bottom"/>
            <w:gridSpan w:val="2"/>
          </w:tcPr>
          <w:p>
            <w:pPr>
              <w:ind w:left="1620"/>
              <w:spacing w:after="0"/>
              <w:rPr>
                <w:sz w:val="20"/>
                <w:szCs w:val="20"/>
                <w:color w:val="auto"/>
              </w:rPr>
            </w:pPr>
            <w:r>
              <w:rPr>
                <w:rFonts w:ascii="Arial" w:cs="Arial" w:eastAsia="Arial" w:hAnsi="Arial"/>
                <w:sz w:val="18"/>
                <w:szCs w:val="18"/>
                <w:color w:val="auto"/>
              </w:rPr>
              <w:t>FBN NEW JERSEY MANUFACTURING, INC.,</w:t>
            </w:r>
          </w:p>
        </w:tc>
      </w:tr>
      <w:tr>
        <w:trPr>
          <w:trHeight w:val="230"/>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gridSpan w:val="2"/>
          </w:tcPr>
          <w:p>
            <w:pPr>
              <w:ind w:left="1620"/>
              <w:spacing w:after="0"/>
              <w:rPr>
                <w:sz w:val="20"/>
                <w:szCs w:val="20"/>
                <w:color w:val="auto"/>
              </w:rPr>
            </w:pPr>
            <w:r>
              <w:rPr>
                <w:rFonts w:ascii="Arial" w:cs="Arial" w:eastAsia="Arial" w:hAnsi="Arial"/>
                <w:sz w:val="18"/>
                <w:szCs w:val="18"/>
                <w:color w:val="auto"/>
              </w:rPr>
              <w:t>a Delaware corporation</w:t>
            </w:r>
          </w:p>
        </w:tc>
      </w:tr>
      <w:tr>
        <w:trPr>
          <w:trHeight w:val="432"/>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520" w:type="dxa"/>
            <w:vAlign w:val="bottom"/>
            <w:gridSpan w:val="2"/>
          </w:tcPr>
          <w:p>
            <w:pPr>
              <w:ind w:left="1960"/>
              <w:spacing w:after="0"/>
              <w:rPr>
                <w:sz w:val="20"/>
                <w:szCs w:val="20"/>
                <w:color w:val="auto"/>
              </w:rPr>
            </w:pPr>
            <w:r>
              <w:rPr>
                <w:rFonts w:ascii="Arial" w:cs="Arial" w:eastAsia="Arial" w:hAnsi="Arial"/>
                <w:sz w:val="18"/>
                <w:szCs w:val="18"/>
                <w:color w:val="auto"/>
              </w:rPr>
              <w:t>By:</w:t>
            </w:r>
          </w:p>
        </w:tc>
      </w:tr>
      <w:tr>
        <w:trPr>
          <w:trHeight w:val="210"/>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0" w:type="dxa"/>
            <w:vAlign w:val="bottom"/>
          </w:tcPr>
          <w:p>
            <w:pPr>
              <w:ind w:left="1920"/>
              <w:spacing w:after="0"/>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bottom w:val="single" w:sz="8" w:color="auto"/>
            </w:tcBorders>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0" w:type="dxa"/>
            <w:vAlign w:val="bottom"/>
          </w:tcPr>
          <w:p>
            <w:pPr>
              <w:ind w:left="192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18"/>
                <w:szCs w:val="18"/>
                <w:color w:val="auto"/>
              </w:rPr>
            </w:pPr>
          </w:p>
        </w:tc>
      </w:tr>
      <w:tr>
        <w:trPr>
          <w:trHeight w:val="438"/>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520" w:type="dxa"/>
            <w:vAlign w:val="bottom"/>
            <w:gridSpan w:val="2"/>
          </w:tcPr>
          <w:p>
            <w:pPr>
              <w:ind w:left="1720"/>
              <w:spacing w:after="0"/>
              <w:rPr>
                <w:sz w:val="20"/>
                <w:szCs w:val="20"/>
                <w:color w:val="auto"/>
              </w:rPr>
            </w:pPr>
            <w:r>
              <w:rPr>
                <w:rFonts w:ascii="Arial" w:cs="Arial" w:eastAsia="Arial" w:hAnsi="Arial"/>
                <w:sz w:val="18"/>
                <w:szCs w:val="18"/>
                <w:color w:val="auto"/>
              </w:rPr>
              <w:t>FABRINET CO., LTD.,</w:t>
            </w:r>
          </w:p>
        </w:tc>
      </w:tr>
      <w:tr>
        <w:trPr>
          <w:trHeight w:val="230"/>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gridSpan w:val="2"/>
          </w:tcPr>
          <w:p>
            <w:pPr>
              <w:ind w:left="1720"/>
              <w:spacing w:after="0"/>
              <w:rPr>
                <w:sz w:val="20"/>
                <w:szCs w:val="20"/>
                <w:color w:val="auto"/>
              </w:rPr>
            </w:pPr>
            <w:r>
              <w:rPr>
                <w:rFonts w:ascii="Arial" w:cs="Arial" w:eastAsia="Arial" w:hAnsi="Arial"/>
                <w:sz w:val="18"/>
                <w:szCs w:val="18"/>
                <w:color w:val="auto"/>
              </w:rPr>
              <w:t>a limited liability company incorporated under the laws of Thailand</w:t>
            </w:r>
          </w:p>
        </w:tc>
      </w:tr>
      <w:tr>
        <w:trPr>
          <w:trHeight w:val="432"/>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520" w:type="dxa"/>
            <w:vAlign w:val="bottom"/>
            <w:gridSpan w:val="2"/>
          </w:tcPr>
          <w:p>
            <w:pPr>
              <w:ind w:left="1960"/>
              <w:spacing w:after="0"/>
              <w:rPr>
                <w:sz w:val="20"/>
                <w:szCs w:val="20"/>
                <w:color w:val="auto"/>
              </w:rPr>
            </w:pPr>
            <w:r>
              <w:rPr>
                <w:rFonts w:ascii="Arial" w:cs="Arial" w:eastAsia="Arial" w:hAnsi="Arial"/>
                <w:sz w:val="18"/>
                <w:szCs w:val="18"/>
                <w:color w:val="auto"/>
              </w:rPr>
              <w:t>By:</w:t>
            </w:r>
          </w:p>
        </w:tc>
      </w:tr>
      <w:tr>
        <w:trPr>
          <w:trHeight w:val="210"/>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0" w:type="dxa"/>
            <w:vAlign w:val="bottom"/>
          </w:tcPr>
          <w:p>
            <w:pPr>
              <w:ind w:left="1920"/>
              <w:spacing w:after="0"/>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bottom w:val="single" w:sz="8" w:color="auto"/>
            </w:tcBorders>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0" w:type="dxa"/>
            <w:vAlign w:val="bottom"/>
          </w:tcPr>
          <w:p>
            <w:pPr>
              <w:ind w:left="192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18"/>
                <w:szCs w:val="18"/>
                <w:color w:val="auto"/>
              </w:rPr>
            </w:pPr>
          </w:p>
        </w:tc>
      </w:tr>
      <w:tr>
        <w:trPr>
          <w:trHeight w:val="426"/>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strike w:val="1"/>
              </w:rPr>
              <w:t>SIGNATURE PAGE TO CREDIT AGREEMENT</w:t>
            </w:r>
          </w:p>
        </w:tc>
      </w:tr>
    </w:tbl>
    <w:p>
      <w:pPr>
        <w:sectPr>
          <w:pgSz w:w="11900" w:h="16838" w:orient="portrait"/>
          <w:cols w:equalWidth="0" w:num="1">
            <w:col w:w="11420"/>
          </w:cols>
          <w:pgMar w:left="240" w:top="257" w:right="239" w:bottom="1440" w:gutter="0" w:footer="0" w:header="0"/>
        </w:sectPr>
      </w:pPr>
    </w:p>
    <w:bookmarkStart w:id="138" w:name="page139"/>
    <w:bookmarkEnd w:id="13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-130810</wp:posOffset>
            </wp:positionV>
            <wp:extent cx="25558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strike w:val="1"/>
        </w:rPr>
        <w:t>SIGNATURE PAGE TO CREDIT AGREEMENT</w:t>
      </w:r>
    </w:p>
    <w:p>
      <w:pPr>
        <w:sectPr>
          <w:pgSz w:w="11900" w:h="16838" w:orient="portrait"/>
          <w:cols w:equalWidth="0" w:num="1">
            <w:col w:w="9019"/>
          </w:cols>
          <w:pgMar w:left="1440" w:top="274" w:right="1440" w:bottom="1440" w:gutter="0" w:footer="0" w:header="0"/>
        </w:sectPr>
      </w:pPr>
    </w:p>
    <w:bookmarkStart w:id="139" w:name="page140"/>
    <w:bookmarkEnd w:id="13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-130810</wp:posOffset>
            </wp:positionV>
            <wp:extent cx="25558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strike w:val="1"/>
        </w:rPr>
        <w:t>SIGNATURE PAGE TO CREDIT AGREEMENT</w:t>
      </w:r>
    </w:p>
    <w:p>
      <w:pPr>
        <w:sectPr>
          <w:pgSz w:w="11900" w:h="16838" w:orient="portrait"/>
          <w:cols w:equalWidth="0" w:num="1">
            <w:col w:w="9019"/>
          </w:cols>
          <w:pgMar w:left="1440" w:top="274" w:right="1440" w:bottom="1440" w:gutter="0" w:footer="0" w:header="0"/>
        </w:sectPr>
      </w:pPr>
    </w:p>
    <w:bookmarkStart w:id="140" w:name="page141"/>
    <w:bookmarkEnd w:id="140"/>
    <w:p>
      <w:pPr>
        <w:ind w:left="5660"/>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7"/>
          <w:szCs w:val="17"/>
          <w:color w:val="auto"/>
          <w:strike w:val="1"/>
        </w:rPr>
        <w:t>HSBC BANK USA, NATIONAL ASSOCIATION,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as a Lender</w:t>
      </w:r>
    </w:p>
    <w:p>
      <w:pPr>
        <w:spacing w:after="0" w:line="197"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-130810</wp:posOffset>
            </wp:positionV>
            <wp:extent cx="25558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SUNTRUST BANK,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as a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-130810</wp:posOffset>
            </wp:positionV>
            <wp:extent cx="25558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SILICON VALLEY BANK,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as a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-130810</wp:posOffset>
            </wp:positionV>
            <wp:extent cx="25558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8" w:lineRule="exact"/>
        <w:rPr>
          <w:sz w:val="20"/>
          <w:szCs w:val="20"/>
          <w:color w:val="auto"/>
        </w:rPr>
      </w:pPr>
    </w:p>
    <w:p>
      <w:pPr>
        <w:ind w:left="2700"/>
        <w:spacing w:after="0"/>
        <w:rPr>
          <w:sz w:val="20"/>
          <w:szCs w:val="20"/>
          <w:color w:val="auto"/>
        </w:rPr>
      </w:pPr>
      <w:r>
        <w:rPr>
          <w:rFonts w:ascii="Arial" w:cs="Arial" w:eastAsia="Arial" w:hAnsi="Arial"/>
          <w:sz w:val="18"/>
          <w:szCs w:val="18"/>
          <w:color w:val="auto"/>
          <w:strike w:val="1"/>
        </w:rPr>
        <w:t>SIGNATURE PAGE TO CREDIT AGREEMENT</w:t>
      </w:r>
    </w:p>
    <w:p>
      <w:pPr>
        <w:sectPr>
          <w:pgSz w:w="11900" w:h="16838" w:orient="portrait"/>
          <w:cols w:equalWidth="0" w:num="1">
            <w:col w:w="9360"/>
          </w:cols>
          <w:pgMar w:left="1440" w:top="270" w:right="1099" w:bottom="1440" w:gutter="0" w:footer="0" w:header="0"/>
        </w:sectPr>
      </w:pPr>
    </w:p>
    <w:bookmarkStart w:id="141" w:name="page142"/>
    <w:bookmarkEnd w:id="14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Permitted Investments</w:t>
      </w:r>
    </w:p>
    <w:p>
      <w:pPr>
        <w:spacing w:after="0" w:line="256" w:lineRule="exact"/>
        <w:rPr>
          <w:sz w:val="20"/>
          <w:szCs w:val="20"/>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Obligations of the U.S. Treasury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Obligations issued by Federal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Credit Linked Notes with U.S. Government Bills/Bonds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Money Market Funds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Time Deposits and Demand Deposits with well-established banks with a minimum credit rating of A minus (A-)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Demand Deposits for operating cash with financial institutions where the operating entity is located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Bill of Exchange issued by financial institutions with a minimum credit rating of A minus (A-)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Commercial paper</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Investments described on Schedule 7.03 to the Disclosure Schedule, solely to the extent such Investments expire on or before the Effective Date</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the Investment described as “Credit Linkage on Agricultural Development bank of China Depo” on Schedule 7.03, </w:t>
      </w:r>
      <w:r>
        <w:rPr>
          <w:rFonts w:ascii="Arial" w:cs="Arial" w:eastAsia="Arial" w:hAnsi="Arial"/>
          <w:sz w:val="18"/>
          <w:szCs w:val="18"/>
          <w:color w:val="auto"/>
          <w:strike w:val="1"/>
        </w:rPr>
        <w:t>such Investment shall continue to constitute a Cash Equivalent until August 15, 2014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-218440</wp:posOffset>
            </wp:positionV>
            <wp:extent cx="65570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57010" cy="889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Guidelines</w:t>
      </w:r>
    </w:p>
    <w:p>
      <w:pPr>
        <w:spacing w:after="0" w:line="135" w:lineRule="exact"/>
        <w:rPr>
          <w:sz w:val="20"/>
          <w:szCs w:val="20"/>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All securities must be denominated in US Dollars.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Maturity</w:t>
      </w:r>
      <w:r>
        <w:rPr>
          <w:rFonts w:ascii="Arial" w:cs="Arial" w:eastAsia="Arial" w:hAnsi="Arial"/>
          <w:sz w:val="18"/>
          <w:szCs w:val="18"/>
          <w:color w:val="auto"/>
        </w:rPr>
        <w:t>: The maximum maturity of any security purchased will not be more than 18 months.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Ratings</w:t>
      </w:r>
      <w:r>
        <w:rPr>
          <w:rFonts w:ascii="Arial" w:cs="Arial" w:eastAsia="Arial" w:hAnsi="Arial"/>
          <w:sz w:val="18"/>
          <w:szCs w:val="18"/>
          <w:color w:val="auto"/>
        </w:rPr>
        <w:t>: All securities must be rated A1, P-1, F1 or better, or its equivalent, by at least one Nationally Recognized Statistical Rating Organization (NRSRO). If there is no short term rating, a security must have a long term rating (financial institution rating) no lower than A3, A- or better, or the equivalent.</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Diversification</w:t>
      </w:r>
      <w:r>
        <w:rPr>
          <w:rFonts w:ascii="Arial" w:cs="Arial" w:eastAsia="Arial" w:hAnsi="Arial"/>
          <w:sz w:val="18"/>
          <w:szCs w:val="18"/>
          <w:color w:val="auto"/>
        </w:rPr>
        <w:t>: No more than 20% of the portfolio will be invested in any one issuer (excluding U.S. Treasury obligations, Federal Agency obligations). Money market funds are highly diversified commingled investments. As such, they are excluded from the diversification constraints as listed above. However, all money market funds invested must be registered according to SEC Rule 2a-7 of the investment company Act of 1940.</w:t>
      </w:r>
    </w:p>
    <w:p>
      <w:pPr>
        <w:sectPr>
          <w:pgSz w:w="11900" w:h="16838" w:orient="portrait"/>
          <w:cols w:equalWidth="0" w:num="1">
            <w:col w:w="11380"/>
          </w:cols>
          <w:pgMar w:left="240" w:top="270" w:right="27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6040" w:type="dxa"/>
            <w:vAlign w:val="bottom"/>
          </w:tcPr>
          <w:p>
            <w:pPr>
              <w:ind w:left="1100"/>
              <w:spacing w:after="0"/>
              <w:rPr>
                <w:sz w:val="20"/>
                <w:szCs w:val="20"/>
                <w:color w:val="auto"/>
              </w:rPr>
            </w:pPr>
            <w:r>
              <w:rPr>
                <w:rFonts w:ascii="Arial" w:cs="Arial" w:eastAsia="Arial" w:hAnsi="Arial"/>
                <w:sz w:val="18"/>
                <w:szCs w:val="18"/>
                <w:b w:val="1"/>
                <w:bCs w:val="1"/>
                <w:u w:val="single" w:color="auto"/>
                <w:color w:val="auto"/>
                <w:strike w:val="1"/>
              </w:rPr>
              <w:t>SCHEDULE 1.01(a)</w:t>
            </w:r>
          </w:p>
        </w:tc>
        <w:tc>
          <w:tcPr>
            <w:tcW w:w="0" w:type="dxa"/>
            <w:vAlign w:val="bottom"/>
          </w:tcPr>
          <w:p>
            <w:pPr>
              <w:spacing w:after="0"/>
              <w:rPr>
                <w:sz w:val="1"/>
                <w:szCs w:val="1"/>
                <w:color w:val="auto"/>
              </w:rPr>
            </w:pPr>
          </w:p>
        </w:tc>
      </w:tr>
      <w:tr>
        <w:trPr>
          <w:trHeight w:val="324"/>
        </w:trPr>
        <w:tc>
          <w:tcPr>
            <w:tcW w:w="3840" w:type="dxa"/>
            <w:vAlign w:val="bottom"/>
          </w:tcPr>
          <w:p>
            <w:pPr>
              <w:spacing w:after="0"/>
              <w:rPr>
                <w:sz w:val="24"/>
                <w:szCs w:val="24"/>
                <w:color w:val="auto"/>
              </w:rPr>
            </w:pPr>
          </w:p>
        </w:tc>
        <w:tc>
          <w:tcPr>
            <w:tcW w:w="6040" w:type="dxa"/>
            <w:vAlign w:val="bottom"/>
          </w:tcPr>
          <w:p>
            <w:pPr>
              <w:ind w:left="720"/>
              <w:spacing w:after="0"/>
              <w:rPr>
                <w:sz w:val="20"/>
                <w:szCs w:val="20"/>
                <w:color w:val="auto"/>
              </w:rPr>
            </w:pPr>
            <w:r>
              <w:rPr>
                <w:rFonts w:ascii="Arial" w:cs="Arial" w:eastAsia="Arial" w:hAnsi="Arial"/>
                <w:sz w:val="18"/>
                <w:szCs w:val="18"/>
                <w:b w:val="1"/>
                <w:bCs w:val="1"/>
                <w:color w:val="auto"/>
                <w:strike w:val="1"/>
              </w:rPr>
              <w:t>Certain Addresses for Notices</w:t>
            </w:r>
          </w:p>
        </w:tc>
        <w:tc>
          <w:tcPr>
            <w:tcW w:w="0" w:type="dxa"/>
            <w:vAlign w:val="bottom"/>
          </w:tcPr>
          <w:p>
            <w:pPr>
              <w:spacing w:after="0"/>
              <w:rPr>
                <w:sz w:val="1"/>
                <w:szCs w:val="1"/>
                <w:color w:val="auto"/>
              </w:rPr>
            </w:pPr>
          </w:p>
        </w:tc>
      </w:tr>
      <w:tr>
        <w:trPr>
          <w:trHeight w:val="459"/>
        </w:trPr>
        <w:tc>
          <w:tcPr>
            <w:tcW w:w="3840" w:type="dxa"/>
            <w:vAlign w:val="bottom"/>
          </w:tcPr>
          <w:p>
            <w:pPr>
              <w:spacing w:after="0"/>
              <w:rPr>
                <w:sz w:val="20"/>
                <w:szCs w:val="20"/>
                <w:color w:val="auto"/>
              </w:rPr>
            </w:pPr>
            <w:r>
              <w:rPr>
                <w:rFonts w:ascii="Arial" w:cs="Arial" w:eastAsia="Arial" w:hAnsi="Arial"/>
                <w:sz w:val="18"/>
                <w:szCs w:val="18"/>
                <w:b w:val="1"/>
                <w:bCs w:val="1"/>
                <w:color w:val="auto"/>
                <w:strike w:val="1"/>
              </w:rPr>
              <w:t>Borrower:</w:t>
            </w:r>
          </w:p>
        </w:tc>
        <w:tc>
          <w:tcPr>
            <w:tcW w:w="6040" w:type="dxa"/>
            <w:vAlign w:val="bottom"/>
          </w:tcPr>
          <w:p>
            <w:pPr>
              <w:ind w:left="2220"/>
              <w:spacing w:after="0"/>
              <w:rPr>
                <w:sz w:val="20"/>
                <w:szCs w:val="20"/>
                <w:color w:val="auto"/>
              </w:rPr>
            </w:pPr>
            <w:r>
              <w:rPr>
                <w:rFonts w:ascii="Arial" w:cs="Arial" w:eastAsia="Arial" w:hAnsi="Arial"/>
                <w:sz w:val="18"/>
                <w:szCs w:val="18"/>
                <w:b w:val="1"/>
                <w:bCs w:val="1"/>
                <w:color w:val="auto"/>
                <w:strike w:val="1"/>
              </w:rPr>
              <w:t>Administrative Agent:</w:t>
            </w:r>
          </w:p>
        </w:tc>
        <w:tc>
          <w:tcPr>
            <w:tcW w:w="0" w:type="dxa"/>
            <w:vAlign w:val="bottom"/>
          </w:tcPr>
          <w:p>
            <w:pPr>
              <w:spacing w:after="0"/>
              <w:rPr>
                <w:sz w:val="1"/>
                <w:szCs w:val="1"/>
                <w:color w:val="auto"/>
              </w:rPr>
            </w:pPr>
          </w:p>
        </w:tc>
      </w:tr>
      <w:tr>
        <w:trPr>
          <w:trHeight w:val="323"/>
        </w:trPr>
        <w:tc>
          <w:tcPr>
            <w:tcW w:w="3840" w:type="dxa"/>
            <w:vAlign w:val="bottom"/>
          </w:tcPr>
          <w:p>
            <w:pPr>
              <w:spacing w:after="0"/>
              <w:rPr>
                <w:sz w:val="20"/>
                <w:szCs w:val="20"/>
                <w:color w:val="auto"/>
              </w:rPr>
            </w:pPr>
            <w:r>
              <w:rPr>
                <w:rFonts w:ascii="Arial" w:cs="Arial" w:eastAsia="Arial" w:hAnsi="Arial"/>
                <w:sz w:val="18"/>
                <w:szCs w:val="18"/>
                <w:color w:val="auto"/>
                <w:strike w:val="1"/>
              </w:rPr>
              <w:t>Fabrinet</w:t>
            </w:r>
          </w:p>
        </w:tc>
        <w:tc>
          <w:tcPr>
            <w:tcW w:w="6040" w:type="dxa"/>
            <w:vAlign w:val="bottom"/>
          </w:tcPr>
          <w:p>
            <w:pPr>
              <w:ind w:left="2220"/>
              <w:spacing w:after="0"/>
              <w:rPr>
                <w:sz w:val="20"/>
                <w:szCs w:val="20"/>
                <w:color w:val="auto"/>
              </w:rPr>
            </w:pPr>
            <w:r>
              <w:rPr>
                <w:rFonts w:ascii="Arial" w:cs="Arial" w:eastAsia="Arial" w:hAnsi="Arial"/>
                <w:sz w:val="18"/>
                <w:szCs w:val="18"/>
                <w:b w:val="1"/>
                <w:bCs w:val="1"/>
                <w:color w:val="auto"/>
                <w:strike w:val="1"/>
                <w:w w:val="88"/>
              </w:rPr>
              <w:t>For payments and Requests for Credit Extensions</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190 Elgin Avenue, George Town,</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Bank of America, N.A.</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Grand Cayman KYI-9005, Cayman Island</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101 N. Tryon Street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Attn: Toh Seng Ng</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Charlotte, NC 28255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Phone: (662) 524-9600</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Attn: Jennifer Clark</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Email: tsng@FabriNet.co.th</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Phone: (980)388-0017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Fax Number: (662) 524-9661</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Email: jennifer.clark@baml.com</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Website Address: http://www.fabrinet.com/</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Fax Number: (704) 409-0135</w:t>
            </w:r>
          </w:p>
        </w:tc>
        <w:tc>
          <w:tcPr>
            <w:tcW w:w="0" w:type="dxa"/>
            <w:vAlign w:val="bottom"/>
          </w:tcPr>
          <w:p>
            <w:pPr>
              <w:spacing w:after="0"/>
              <w:rPr>
                <w:sz w:val="1"/>
                <w:szCs w:val="1"/>
                <w:color w:val="auto"/>
              </w:rPr>
            </w:pPr>
          </w:p>
        </w:tc>
      </w:tr>
      <w:tr>
        <w:trPr>
          <w:trHeight w:val="216"/>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With a Copy to:</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Account No.: 1366212250600</w:t>
            </w:r>
          </w:p>
        </w:tc>
        <w:tc>
          <w:tcPr>
            <w:tcW w:w="0" w:type="dxa"/>
            <w:vAlign w:val="bottom"/>
          </w:tcPr>
          <w:p>
            <w:pPr>
              <w:spacing w:after="0"/>
              <w:rPr>
                <w:sz w:val="1"/>
                <w:szCs w:val="1"/>
                <w:color w:val="auto"/>
              </w:rPr>
            </w:pPr>
          </w:p>
        </w:tc>
      </w:tr>
      <w:tr>
        <w:trPr>
          <w:trHeight w:val="136"/>
        </w:trPr>
        <w:tc>
          <w:tcPr>
            <w:tcW w:w="3840" w:type="dxa"/>
            <w:vAlign w:val="bottom"/>
            <w:vMerge w:val="continue"/>
          </w:tcPr>
          <w:p>
            <w:pPr>
              <w:spacing w:after="0"/>
              <w:rPr>
                <w:sz w:val="11"/>
                <w:szCs w:val="11"/>
                <w:color w:val="auto"/>
              </w:rPr>
            </w:pPr>
          </w:p>
        </w:tc>
        <w:tc>
          <w:tcPr>
            <w:tcW w:w="6040" w:type="dxa"/>
            <w:vAlign w:val="bottom"/>
            <w:vMerge w:val="restart"/>
          </w:tcPr>
          <w:p>
            <w:pPr>
              <w:ind w:left="2220"/>
              <w:spacing w:after="0"/>
              <w:rPr>
                <w:sz w:val="20"/>
                <w:szCs w:val="20"/>
                <w:color w:val="auto"/>
              </w:rPr>
            </w:pPr>
            <w:r>
              <w:rPr>
                <w:rFonts w:ascii="Arial" w:cs="Arial" w:eastAsia="Arial" w:hAnsi="Arial"/>
                <w:sz w:val="18"/>
                <w:szCs w:val="18"/>
                <w:color w:val="auto"/>
                <w:strike w:val="1"/>
              </w:rPr>
              <w:t>Ref: Fabrinet</w:t>
            </w: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6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strike w:val="1"/>
              </w:rPr>
              <w:t>Wilson Sonsini Goodrich &amp; Rosati</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ABA# 026009593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650 Page Mill Road</w:t>
            </w:r>
          </w:p>
        </w:tc>
        <w:tc>
          <w:tcPr>
            <w:tcW w:w="6040" w:type="dxa"/>
            <w:vAlign w:val="bottom"/>
            <w:vMerge w:val="restart"/>
          </w:tcPr>
          <w:p>
            <w:pPr>
              <w:ind w:left="2220"/>
              <w:spacing w:after="0"/>
              <w:rPr>
                <w:sz w:val="20"/>
                <w:szCs w:val="20"/>
                <w:color w:val="auto"/>
              </w:rPr>
            </w:pPr>
            <w:r>
              <w:rPr>
                <w:rFonts w:ascii="Arial" w:cs="Arial" w:eastAsia="Arial" w:hAnsi="Arial"/>
                <w:sz w:val="18"/>
                <w:szCs w:val="18"/>
                <w:b w:val="1"/>
                <w:bCs w:val="1"/>
                <w:color w:val="auto"/>
                <w:strike w:val="1"/>
              </w:rPr>
              <w:t>Other Notices for Administrative Agent</w:t>
            </w:r>
          </w:p>
        </w:tc>
        <w:tc>
          <w:tcPr>
            <w:tcW w:w="0" w:type="dxa"/>
            <w:vAlign w:val="bottom"/>
          </w:tcPr>
          <w:p>
            <w:pPr>
              <w:spacing w:after="0"/>
              <w:rPr>
                <w:sz w:val="1"/>
                <w:szCs w:val="1"/>
                <w:color w:val="auto"/>
              </w:rPr>
            </w:pPr>
          </w:p>
        </w:tc>
      </w:tr>
      <w:tr>
        <w:trPr>
          <w:trHeight w:val="109"/>
        </w:trPr>
        <w:tc>
          <w:tcPr>
            <w:tcW w:w="3840" w:type="dxa"/>
            <w:vAlign w:val="bottom"/>
            <w:vMerge w:val="restart"/>
          </w:tcPr>
          <w:p>
            <w:pPr>
              <w:spacing w:after="0"/>
              <w:rPr>
                <w:sz w:val="20"/>
                <w:szCs w:val="20"/>
                <w:color w:val="auto"/>
              </w:rPr>
            </w:pPr>
            <w:r>
              <w:rPr>
                <w:rFonts w:ascii="Arial" w:cs="Arial" w:eastAsia="Arial" w:hAnsi="Arial"/>
                <w:sz w:val="18"/>
                <w:szCs w:val="18"/>
                <w:color w:val="auto"/>
                <w:strike w:val="1"/>
              </w:rPr>
              <w:t>Palo Alto, CA 94304</w:t>
            </w:r>
          </w:p>
        </w:tc>
        <w:tc>
          <w:tcPr>
            <w:tcW w:w="6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840" w:type="dxa"/>
            <w:vAlign w:val="bottom"/>
            <w:vMerge w:val="continue"/>
          </w:tcPr>
          <w:p>
            <w:pPr>
              <w:spacing w:after="0"/>
              <w:rPr>
                <w:sz w:val="9"/>
                <w:szCs w:val="9"/>
                <w:color w:val="auto"/>
              </w:rPr>
            </w:pPr>
          </w:p>
        </w:tc>
        <w:tc>
          <w:tcPr>
            <w:tcW w:w="6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Attn: Kathleen D. Rothman, Esq.</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Bank of America, N.A.</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Phone: (650) 320-4629</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Agency Management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Email: krothman@wsgr.com</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901 Main Street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Fax Number: (650) 493-6811</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Dallas, TX 75202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strike w:val="1"/>
              </w:rPr>
              <w:t>Website Address: http://www.wsgr.com/</w:t>
            </w: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Attn: Ronaldo Naval</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Phone: (214) 209-1162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Email: ronaldo.naval@baml.com</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Fax Number: (877) 511-6124</w:t>
            </w:r>
          </w:p>
        </w:tc>
        <w:tc>
          <w:tcPr>
            <w:tcW w:w="0" w:type="dxa"/>
            <w:vAlign w:val="bottom"/>
          </w:tcPr>
          <w:p>
            <w:pPr>
              <w:spacing w:after="0"/>
              <w:rPr>
                <w:sz w:val="1"/>
                <w:szCs w:val="1"/>
                <w:color w:val="auto"/>
              </w:rPr>
            </w:pPr>
          </w:p>
        </w:tc>
      </w:tr>
      <w:tr>
        <w:trPr>
          <w:trHeight w:val="338"/>
        </w:trPr>
        <w:tc>
          <w:tcPr>
            <w:tcW w:w="3840" w:type="dxa"/>
            <w:vAlign w:val="bottom"/>
          </w:tcPr>
          <w:p>
            <w:pPr>
              <w:spacing w:after="0"/>
              <w:rPr>
                <w:sz w:val="24"/>
                <w:szCs w:val="24"/>
                <w:color w:val="auto"/>
              </w:rPr>
            </w:pPr>
          </w:p>
        </w:tc>
        <w:tc>
          <w:tcPr>
            <w:tcW w:w="6040" w:type="dxa"/>
            <w:vAlign w:val="bottom"/>
          </w:tcPr>
          <w:p>
            <w:pPr>
              <w:ind w:left="2220"/>
              <w:spacing w:after="0"/>
              <w:rPr>
                <w:sz w:val="20"/>
                <w:szCs w:val="20"/>
                <w:color w:val="auto"/>
              </w:rPr>
            </w:pPr>
            <w:r>
              <w:rPr>
                <w:rFonts w:ascii="Arial" w:cs="Arial" w:eastAsia="Arial" w:hAnsi="Arial"/>
                <w:sz w:val="18"/>
                <w:szCs w:val="18"/>
                <w:b w:val="1"/>
                <w:bCs w:val="1"/>
                <w:color w:val="auto"/>
                <w:strike w:val="1"/>
              </w:rPr>
              <w:t>With a Copy to:</w:t>
            </w:r>
          </w:p>
        </w:tc>
        <w:tc>
          <w:tcPr>
            <w:tcW w:w="0" w:type="dxa"/>
            <w:vAlign w:val="bottom"/>
          </w:tcPr>
          <w:p>
            <w:pPr>
              <w:spacing w:after="0"/>
              <w:rPr>
                <w:sz w:val="1"/>
                <w:szCs w:val="1"/>
                <w:color w:val="auto"/>
              </w:rPr>
            </w:pPr>
          </w:p>
        </w:tc>
      </w:tr>
      <w:tr>
        <w:trPr>
          <w:trHeight w:val="323"/>
        </w:trPr>
        <w:tc>
          <w:tcPr>
            <w:tcW w:w="3840" w:type="dxa"/>
            <w:vAlign w:val="bottom"/>
          </w:tcPr>
          <w:p>
            <w:pPr>
              <w:spacing w:after="0"/>
              <w:rPr>
                <w:sz w:val="24"/>
                <w:szCs w:val="24"/>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Sidley Austin LLP</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1001 Page Mill Road, Building 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Palo Alto, CA 94304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Attn: Pamela J. Martinson, Esq.</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Phone: (650) 565-7044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Email: pmartinson@sidley.com</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Fax Number: (650) 565-7100</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6040" w:type="dxa"/>
            <w:vAlign w:val="bottom"/>
          </w:tcPr>
          <w:p>
            <w:pPr>
              <w:ind w:left="2220"/>
              <w:spacing w:after="0"/>
              <w:rPr>
                <w:sz w:val="20"/>
                <w:szCs w:val="20"/>
                <w:color w:val="auto"/>
              </w:rPr>
            </w:pPr>
            <w:r>
              <w:rPr>
                <w:rFonts w:ascii="Arial" w:cs="Arial" w:eastAsia="Arial" w:hAnsi="Arial"/>
                <w:sz w:val="18"/>
                <w:szCs w:val="18"/>
                <w:color w:val="auto"/>
                <w:strike w:val="1"/>
              </w:rPr>
              <w:t>Website Address: http://www.sidley.com/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-3043555</wp:posOffset>
            </wp:positionV>
            <wp:extent cx="78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82320" cy="88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1.01(b)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Commitments and Applicable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w w:val="95"/>
              </w:rPr>
              <w:t>Applicable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3"/>
              </w:rPr>
              <w:t>Applicable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2"/>
              </w:rPr>
              <w:t>Revolving</w:t>
            </w:r>
          </w:p>
        </w:tc>
        <w:tc>
          <w:tcPr>
            <w:tcW w:w="108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99"/>
              </w:rPr>
              <w:t>Term</w:t>
            </w:r>
          </w:p>
        </w:tc>
        <w:tc>
          <w:tcPr>
            <w:tcW w:w="108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920" w:type="dxa"/>
            <w:vAlign w:val="bottom"/>
            <w:gridSpan w:val="3"/>
            <w:vMerge w:val="restart"/>
          </w:tcPr>
          <w:p>
            <w:pPr>
              <w:jc w:val="center"/>
              <w:ind w:right="13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8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94"/>
              </w:rPr>
              <w:t>(Revolving</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8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97"/>
              </w:rPr>
              <w:t>(Term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Commitment</w:t>
            </w:r>
          </w:p>
        </w:tc>
        <w:tc>
          <w:tcPr>
            <w:tcW w:w="108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w w:val="95"/>
              </w:rPr>
              <w:t>Loans)</w:t>
            </w:r>
          </w:p>
        </w:tc>
        <w:tc>
          <w:tcPr>
            <w:tcW w:w="100" w:type="dxa"/>
            <w:vAlign w:val="bottom"/>
          </w:tcPr>
          <w:p>
            <w:pPr>
              <w:spacing w:after="0"/>
              <w:rPr>
                <w:sz w:val="14"/>
                <w:szCs w:val="14"/>
                <w:color w:val="auto"/>
              </w:rPr>
            </w:pPr>
          </w:p>
        </w:tc>
        <w:tc>
          <w:tcPr>
            <w:tcW w:w="1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Commitment</w:t>
            </w:r>
          </w:p>
        </w:tc>
        <w:tc>
          <w:tcPr>
            <w:tcW w:w="108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1"/>
              </w:rPr>
              <w:t>Loans)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Commitment</w:t>
            </w:r>
          </w:p>
        </w:tc>
        <w:tc>
          <w:tcPr>
            <w:tcW w:w="92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4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Bank</w:t>
            </w:r>
          </w:p>
        </w:tc>
        <w:tc>
          <w:tcPr>
            <w:tcW w:w="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of America,</w:t>
            </w:r>
          </w:p>
        </w:tc>
        <w:tc>
          <w:tcPr>
            <w:tcW w:w="8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trike w:val="1"/>
                <w:w w:val="88"/>
              </w:rPr>
              <w:t>52,500,000</w:t>
            </w:r>
          </w:p>
        </w:tc>
        <w:tc>
          <w:tcPr>
            <w:tcW w:w="1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25,000,000</w:t>
            </w:r>
          </w:p>
        </w:tc>
        <w:tc>
          <w:tcPr>
            <w:tcW w:w="420" w:type="dxa"/>
            <w:vAlign w:val="bottom"/>
            <w:shd w:val="clear" w:color="auto" w:fill="CCEEFF"/>
          </w:tcPr>
          <w:p>
            <w:pPr>
              <w:jc w:val="center"/>
              <w:ind w:left="162"/>
              <w:spacing w:after="0" w:line="203" w:lineRule="exact"/>
              <w:rPr>
                <w:sz w:val="20"/>
                <w:szCs w:val="20"/>
                <w:color w:val="auto"/>
              </w:rPr>
            </w:pPr>
            <w:r>
              <w:rPr>
                <w:rFonts w:ascii="Arial" w:cs="Arial" w:eastAsia="Arial" w:hAnsi="Arial"/>
                <w:sz w:val="18"/>
                <w:szCs w:val="18"/>
                <w:color w:val="auto"/>
                <w:strike w:val="1"/>
                <w:w w:val="89"/>
              </w:rPr>
              <w:t>35</w:t>
            </w:r>
          </w:p>
        </w:tc>
        <w:tc>
          <w:tcPr>
            <w:tcW w:w="660" w:type="dxa"/>
            <w:vAlign w:val="bottom"/>
            <w:gridSpan w:val="2"/>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86"/>
              </w:rPr>
              <w:t>100%</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strike w:val="1"/>
                <w:w w:val="86"/>
              </w:rPr>
              <w:t>17,500,000</w:t>
            </w:r>
          </w:p>
        </w:tc>
        <w:tc>
          <w:tcPr>
            <w:tcW w:w="10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w w:val="88"/>
              </w:rPr>
              <w:t>65,000,000</w:t>
            </w:r>
          </w:p>
        </w:tc>
        <w:tc>
          <w:tcPr>
            <w:tcW w:w="420" w:type="dxa"/>
            <w:vAlign w:val="bottom"/>
            <w:shd w:val="clear" w:color="auto" w:fill="CCEEFF"/>
          </w:tcPr>
          <w:p>
            <w:pPr>
              <w:jc w:val="center"/>
              <w:ind w:left="162"/>
              <w:spacing w:after="0" w:line="203" w:lineRule="exact"/>
              <w:rPr>
                <w:sz w:val="20"/>
                <w:szCs w:val="20"/>
                <w:color w:val="auto"/>
              </w:rPr>
            </w:pPr>
            <w:r>
              <w:rPr>
                <w:rFonts w:ascii="Arial" w:cs="Arial" w:eastAsia="Arial" w:hAnsi="Arial"/>
                <w:sz w:val="18"/>
                <w:szCs w:val="18"/>
                <w:color w:val="auto"/>
                <w:strike w:val="1"/>
                <w:w w:val="89"/>
              </w:rPr>
              <w:t>35</w:t>
            </w:r>
          </w:p>
        </w:tc>
        <w:tc>
          <w:tcPr>
            <w:tcW w:w="660" w:type="dxa"/>
            <w:vAlign w:val="bottom"/>
            <w:gridSpan w:val="2"/>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trike w:val="1"/>
                <w:w w:val="86"/>
              </w:rPr>
              <w:t>70,000,000</w:t>
            </w:r>
          </w:p>
        </w:tc>
        <w:tc>
          <w:tcPr>
            <w:tcW w:w="10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w w:val="88"/>
              </w:rPr>
              <w:t>90,000,000</w:t>
            </w:r>
          </w:p>
        </w:tc>
        <w:tc>
          <w:tcPr>
            <w:tcW w:w="420" w:type="dxa"/>
            <w:vAlign w:val="bottom"/>
            <w:shd w:val="clear" w:color="auto" w:fill="CCEEFF"/>
          </w:tcPr>
          <w:p>
            <w:pPr>
              <w:jc w:val="center"/>
              <w:ind w:left="159"/>
              <w:spacing w:after="0" w:line="203" w:lineRule="exact"/>
              <w:rPr>
                <w:sz w:val="20"/>
                <w:szCs w:val="20"/>
                <w:color w:val="auto"/>
              </w:rPr>
            </w:pPr>
            <w:r>
              <w:rPr>
                <w:rFonts w:ascii="Arial" w:cs="Arial" w:eastAsia="Arial" w:hAnsi="Arial"/>
                <w:sz w:val="18"/>
                <w:szCs w:val="18"/>
                <w:color w:val="auto"/>
                <w:strike w:val="1"/>
                <w:w w:val="89"/>
              </w:rPr>
              <w:t>35</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1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strike w:val="1"/>
              </w:rPr>
              <w:t>SunTrust Bank</w:t>
            </w: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strike w:val="1"/>
                <w:w w:val="79"/>
              </w:rPr>
              <w:t>$</w:t>
            </w:r>
          </w:p>
        </w:tc>
        <w:tc>
          <w:tcPr>
            <w:tcW w:w="900" w:type="dxa"/>
            <w:vAlign w:val="bottom"/>
            <w:tcBorders>
              <w:top w:val="single" w:sz="8" w:color="CCEEFF"/>
            </w:tcBorders>
            <w:gridSpan w:val="2"/>
          </w:tcPr>
          <w:p>
            <w:pPr>
              <w:spacing w:after="0"/>
              <w:rPr>
                <w:sz w:val="18"/>
                <w:szCs w:val="18"/>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strike w:val="1"/>
                <w:w w:val="86"/>
              </w:rPr>
              <w:t>30,000,000</w:t>
            </w: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strike w:val="1"/>
              </w:rPr>
              <w:t>20</w:t>
            </w:r>
          </w:p>
        </w:tc>
        <w:tc>
          <w:tcPr>
            <w:tcW w:w="40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tcPr>
          <w:p>
            <w:pPr>
              <w:spacing w:after="0"/>
              <w:rPr>
                <w:sz w:val="20"/>
                <w:szCs w:val="20"/>
                <w:color w:val="auto"/>
              </w:rPr>
            </w:pPr>
            <w:r>
              <w:rPr>
                <w:rFonts w:ascii="Arial" w:cs="Arial" w:eastAsia="Arial" w:hAnsi="Arial"/>
                <w:sz w:val="15"/>
                <w:szCs w:val="15"/>
                <w:color w:val="auto"/>
                <w:strike w:val="1"/>
                <w:w w:val="71"/>
              </w:rPr>
              <w:t>$</w:t>
            </w: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strike w:val="1"/>
                <w:w w:val="88"/>
              </w:rPr>
              <w:t>10,000,000</w:t>
            </w: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strike w:val="1"/>
              </w:rPr>
              <w:t>20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strike w:val="1"/>
                <w:w w:val="79"/>
              </w:rPr>
              <w:t>$</w:t>
            </w:r>
          </w:p>
        </w:tc>
        <w:tc>
          <w:tcPr>
            <w:tcW w:w="90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strike w:val="1"/>
                <w:w w:val="88"/>
              </w:rPr>
              <w:t>40,000,000</w:t>
            </w: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strike w:val="1"/>
              </w:rPr>
              <w:t>20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strike w:val="1"/>
              </w:rPr>
              <w:t>HSBC Bank</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strike w:val="1"/>
                <w:w w:val="79"/>
              </w:rPr>
              <w:t>$</w:t>
            </w:r>
          </w:p>
        </w:tc>
        <w:tc>
          <w:tcPr>
            <w:tcW w:w="90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strike w:val="1"/>
                <w:w w:val="86"/>
              </w:rPr>
              <w:t>37,500,000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strike w:val="1"/>
              </w:rPr>
              <w:t>25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strike w:val="1"/>
                <w:w w:val="71"/>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strike w:val="1"/>
                <w:w w:val="88"/>
              </w:rPr>
              <w:t>12,500,000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strike w:val="1"/>
              </w:rPr>
              <w:t>25</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strike w:val="1"/>
                <w:w w:val="79"/>
              </w:rPr>
              <w:t>$</w:t>
            </w:r>
          </w:p>
        </w:tc>
        <w:tc>
          <w:tcPr>
            <w:tcW w:w="900" w:type="dxa"/>
            <w:vAlign w:val="bottom"/>
            <w:gridSpan w:val="2"/>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strike w:val="1"/>
                <w:w w:val="88"/>
              </w:rPr>
              <w:t>50,000,000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strike w:val="1"/>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strike w:val="1"/>
                <w:w w:val="92"/>
              </w:rPr>
              <w:t>Silicon Valley Bank</w:t>
            </w:r>
          </w:p>
        </w:tc>
        <w:tc>
          <w:tcPr>
            <w:tcW w:w="8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strike w:val="1"/>
                <w:w w:val="79"/>
              </w:rPr>
              <w:t>$</w:t>
            </w:r>
          </w:p>
        </w:tc>
        <w:tc>
          <w:tcPr>
            <w:tcW w:w="900" w:type="dxa"/>
            <w:vAlign w:val="bottom"/>
            <w:gridSpan w:val="2"/>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strike w:val="1"/>
                <w:w w:val="86"/>
              </w:rPr>
              <w:t>30,000,000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strike w:val="1"/>
              </w:rPr>
              <w:t>20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r>
              <w:rPr>
                <w:rFonts w:ascii="Arial" w:cs="Arial" w:eastAsia="Arial" w:hAnsi="Arial"/>
                <w:sz w:val="15"/>
                <w:szCs w:val="15"/>
                <w:color w:val="auto"/>
                <w:strike w:val="1"/>
                <w:w w:val="71"/>
              </w:rPr>
              <w:t>$</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strike w:val="1"/>
                <w:w w:val="88"/>
              </w:rPr>
              <w:t>10,000,000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strike w:val="1"/>
              </w:rPr>
              <w:t>20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100" w:type="dxa"/>
            <w:vAlign w:val="bottom"/>
          </w:tcPr>
          <w:p>
            <w:pPr>
              <w:jc w:val="right"/>
              <w:spacing w:after="0"/>
              <w:rPr>
                <w:sz w:val="20"/>
                <w:szCs w:val="20"/>
                <w:color w:val="auto"/>
              </w:rPr>
            </w:pPr>
            <w:r>
              <w:rPr>
                <w:rFonts w:ascii="Arial" w:cs="Arial" w:eastAsia="Arial" w:hAnsi="Arial"/>
                <w:sz w:val="18"/>
                <w:szCs w:val="18"/>
                <w:color w:val="auto"/>
                <w:strike w:val="1"/>
                <w:w w:val="79"/>
              </w:rPr>
              <w:t>$</w:t>
            </w:r>
          </w:p>
        </w:tc>
        <w:tc>
          <w:tcPr>
            <w:tcW w:w="90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strike w:val="1"/>
                <w:w w:val="88"/>
              </w:rPr>
              <w:t>40,000,000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strike w:val="1"/>
              </w:rPr>
              <w:t>20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144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b w:val="1"/>
                <w:bCs w:val="1"/>
                <w:color w:val="auto"/>
              </w:rPr>
              <w:t>Total:</w:t>
            </w:r>
          </w:p>
        </w:tc>
        <w:tc>
          <w:tcPr>
            <w:tcW w:w="980" w:type="dxa"/>
            <w:vAlign w:val="bottom"/>
            <w:gridSpan w:val="2"/>
            <w:shd w:val="clear" w:color="auto" w:fill="CCEEFF"/>
          </w:tcPr>
          <w:p>
            <w:pPr>
              <w:ind w:left="880"/>
              <w:spacing w:after="0" w:line="176"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7"/>
              </w:rPr>
              <w:t>150,000,000</w:t>
            </w:r>
          </w:p>
        </w:tc>
        <w:tc>
          <w:tcPr>
            <w:tcW w:w="1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25,000,000</w:t>
            </w:r>
          </w:p>
        </w:tc>
        <w:tc>
          <w:tcPr>
            <w:tcW w:w="1080" w:type="dxa"/>
            <w:vAlign w:val="bottom"/>
            <w:gridSpan w:val="3"/>
            <w:shd w:val="clear" w:color="auto" w:fill="CCEEFF"/>
          </w:tcPr>
          <w:p>
            <w:pPr>
              <w:jc w:val="right"/>
              <w:ind w:right="130"/>
              <w:spacing w:after="0" w:line="176" w:lineRule="exact"/>
              <w:rPr>
                <w:sz w:val="20"/>
                <w:szCs w:val="20"/>
                <w:color w:val="auto"/>
              </w:rPr>
            </w:pPr>
            <w:r>
              <w:rPr>
                <w:rFonts w:ascii="Arial" w:cs="Arial" w:eastAsia="Arial" w:hAnsi="Arial"/>
                <w:sz w:val="18"/>
                <w:szCs w:val="18"/>
                <w:b w:val="1"/>
                <w:bCs w:val="1"/>
                <w:color w:val="auto"/>
              </w:rPr>
              <w:t>100%</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strike w:val="1"/>
                <w:w w:val="86"/>
              </w:rPr>
              <w:t>50,000,000</w:t>
            </w:r>
          </w:p>
        </w:tc>
        <w:tc>
          <w:tcPr>
            <w:tcW w:w="10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b w:val="1"/>
                <w:bCs w:val="1"/>
                <w:color w:val="auto"/>
                <w:w w:val="88"/>
              </w:rPr>
              <w:t>65,000,000</w:t>
            </w:r>
          </w:p>
        </w:tc>
        <w:tc>
          <w:tcPr>
            <w:tcW w:w="1080" w:type="dxa"/>
            <w:vAlign w:val="bottom"/>
            <w:gridSpan w:val="3"/>
            <w:shd w:val="clear" w:color="auto" w:fill="CCEEFF"/>
          </w:tcPr>
          <w:p>
            <w:pPr>
              <w:jc w:val="right"/>
              <w:ind w:right="110"/>
              <w:spacing w:after="0" w:line="176" w:lineRule="exact"/>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7"/>
              </w:rPr>
              <w:t>200,000,000</w:t>
            </w:r>
          </w:p>
        </w:tc>
        <w:tc>
          <w:tcPr>
            <w:tcW w:w="10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b w:val="1"/>
                <w:bCs w:val="1"/>
                <w:color w:val="auto"/>
                <w:w w:val="88"/>
              </w:rPr>
              <w:t>90,000,000</w:t>
            </w:r>
          </w:p>
        </w:tc>
        <w:tc>
          <w:tcPr>
            <w:tcW w:w="9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324"/>
        </w:trPr>
        <w:tc>
          <w:tcPr>
            <w:tcW w:w="4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w w:val="85"/>
              </w:rPr>
              <w:t>-124-</w:t>
            </w:r>
          </w:p>
        </w:tc>
        <w:tc>
          <w:tcPr>
            <w:tcW w:w="44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44" w:name="page145"/>
    <w:bookmarkEnd w:id="144"/>
    <w:p>
      <w:pPr>
        <w:jc w:val="center"/>
        <w:ind w:right="-459"/>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1.01(c)</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strike w:val="1"/>
        </w:rPr>
        <w:t>Responsible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20" w:type="dxa"/>
            <w:vAlign w:val="bottom"/>
          </w:tcPr>
          <w:p>
            <w:pPr>
              <w:jc w:val="center"/>
              <w:ind w:right="532"/>
              <w:spacing w:after="0"/>
              <w:rPr>
                <w:sz w:val="20"/>
                <w:szCs w:val="20"/>
                <w:color w:val="auto"/>
              </w:rPr>
            </w:pPr>
            <w:r>
              <w:rPr>
                <w:rFonts w:ascii="Arial" w:cs="Arial" w:eastAsia="Arial" w:hAnsi="Arial"/>
                <w:sz w:val="14"/>
                <w:szCs w:val="14"/>
                <w:b w:val="1"/>
                <w:bCs w:val="1"/>
                <w:u w:val="single" w:color="auto"/>
                <w:color w:val="auto"/>
                <w:strike w:val="1"/>
                <w:w w:val="97"/>
              </w:rPr>
              <w:t>Entity</w:t>
            </w:r>
          </w:p>
        </w:tc>
        <w:tc>
          <w:tcPr>
            <w:tcW w:w="2980" w:type="dxa"/>
            <w:vAlign w:val="bottom"/>
          </w:tcPr>
          <w:p>
            <w:pPr>
              <w:jc w:val="center"/>
              <w:ind w:right="132"/>
              <w:spacing w:after="0"/>
              <w:rPr>
                <w:sz w:val="20"/>
                <w:szCs w:val="20"/>
                <w:color w:val="auto"/>
              </w:rPr>
            </w:pPr>
            <w:r>
              <w:rPr>
                <w:rFonts w:ascii="Arial" w:cs="Arial" w:eastAsia="Arial" w:hAnsi="Arial"/>
                <w:sz w:val="14"/>
                <w:szCs w:val="14"/>
                <w:b w:val="1"/>
                <w:bCs w:val="1"/>
                <w:color w:val="auto"/>
                <w:strike w:val="1"/>
                <w:w w:val="90"/>
              </w:rPr>
              <w:t>Responsible Officer</w:t>
            </w:r>
          </w:p>
        </w:tc>
        <w:tc>
          <w:tcPr>
            <w:tcW w:w="3340" w:type="dxa"/>
            <w:vAlign w:val="bottom"/>
          </w:tcPr>
          <w:p>
            <w:pPr>
              <w:jc w:val="center"/>
              <w:ind w:left="772"/>
              <w:spacing w:after="0"/>
              <w:rPr>
                <w:sz w:val="20"/>
                <w:szCs w:val="20"/>
                <w:color w:val="auto"/>
              </w:rPr>
            </w:pPr>
            <w:r>
              <w:rPr>
                <w:rFonts w:ascii="Arial" w:cs="Arial" w:eastAsia="Arial" w:hAnsi="Arial"/>
                <w:sz w:val="14"/>
                <w:szCs w:val="14"/>
                <w:b w:val="1"/>
                <w:bCs w:val="1"/>
                <w:color w:val="auto"/>
                <w:strike w:val="1"/>
                <w:w w:val="97"/>
              </w:rPr>
              <w:t>Title</w:t>
            </w:r>
          </w:p>
        </w:tc>
      </w:tr>
      <w:tr>
        <w:trPr>
          <w:trHeight w:val="309"/>
        </w:trPr>
        <w:tc>
          <w:tcPr>
            <w:tcW w:w="4520" w:type="dxa"/>
            <w:vAlign w:val="bottom"/>
          </w:tcPr>
          <w:p>
            <w:pPr>
              <w:jc w:val="center"/>
              <w:ind w:right="552"/>
              <w:spacing w:after="0"/>
              <w:rPr>
                <w:sz w:val="20"/>
                <w:szCs w:val="20"/>
                <w:color w:val="auto"/>
              </w:rPr>
            </w:pPr>
            <w:r>
              <w:rPr>
                <w:rFonts w:ascii="Arial" w:cs="Arial" w:eastAsia="Arial" w:hAnsi="Arial"/>
                <w:sz w:val="18"/>
                <w:szCs w:val="18"/>
                <w:color w:val="auto"/>
                <w:strike w:val="1"/>
                <w:w w:val="90"/>
              </w:rPr>
              <w:t>Fabrinet</w:t>
            </w:r>
          </w:p>
        </w:tc>
        <w:tc>
          <w:tcPr>
            <w:tcW w:w="2980" w:type="dxa"/>
            <w:vAlign w:val="bottom"/>
          </w:tcPr>
          <w:p>
            <w:pPr>
              <w:jc w:val="center"/>
              <w:ind w:right="132"/>
              <w:spacing w:after="0"/>
              <w:rPr>
                <w:sz w:val="20"/>
                <w:szCs w:val="20"/>
                <w:color w:val="auto"/>
              </w:rPr>
            </w:pPr>
            <w:r>
              <w:rPr>
                <w:rFonts w:ascii="Arial" w:cs="Arial" w:eastAsia="Arial" w:hAnsi="Arial"/>
                <w:sz w:val="18"/>
                <w:szCs w:val="18"/>
                <w:color w:val="auto"/>
                <w:strike w:val="1"/>
                <w:w w:val="96"/>
              </w:rPr>
              <w:t>David Tom Mitchell</w:t>
            </w:r>
          </w:p>
        </w:tc>
        <w:tc>
          <w:tcPr>
            <w:tcW w:w="3340" w:type="dxa"/>
            <w:vAlign w:val="bottom"/>
          </w:tcPr>
          <w:p>
            <w:pPr>
              <w:jc w:val="center"/>
              <w:ind w:left="772"/>
              <w:spacing w:after="0"/>
              <w:rPr>
                <w:sz w:val="20"/>
                <w:szCs w:val="20"/>
                <w:color w:val="auto"/>
              </w:rPr>
            </w:pPr>
            <w:r>
              <w:rPr>
                <w:rFonts w:ascii="Arial" w:cs="Arial" w:eastAsia="Arial" w:hAnsi="Arial"/>
                <w:sz w:val="18"/>
                <w:szCs w:val="18"/>
                <w:color w:val="auto"/>
                <w:strike w:val="1"/>
                <w:w w:val="93"/>
              </w:rPr>
              <w:t>Chief Executive Officer</w:t>
            </w:r>
          </w:p>
        </w:tc>
      </w:tr>
      <w:tr>
        <w:trPr>
          <w:trHeight w:val="324"/>
        </w:trPr>
        <w:tc>
          <w:tcPr>
            <w:tcW w:w="4520" w:type="dxa"/>
            <w:vAlign w:val="bottom"/>
          </w:tcPr>
          <w:p>
            <w:pPr>
              <w:jc w:val="center"/>
              <w:ind w:right="552"/>
              <w:spacing w:after="0"/>
              <w:rPr>
                <w:sz w:val="20"/>
                <w:szCs w:val="20"/>
                <w:color w:val="auto"/>
              </w:rPr>
            </w:pPr>
            <w:r>
              <w:rPr>
                <w:rFonts w:ascii="Arial" w:cs="Arial" w:eastAsia="Arial" w:hAnsi="Arial"/>
                <w:sz w:val="18"/>
                <w:szCs w:val="18"/>
                <w:color w:val="auto"/>
                <w:strike w:val="1"/>
                <w:w w:val="92"/>
              </w:rPr>
              <w:t>Fabrinet Co., Ltd.</w:t>
            </w:r>
          </w:p>
        </w:tc>
        <w:tc>
          <w:tcPr>
            <w:tcW w:w="2980" w:type="dxa"/>
            <w:vAlign w:val="bottom"/>
          </w:tcPr>
          <w:p>
            <w:pPr>
              <w:jc w:val="center"/>
              <w:ind w:right="132"/>
              <w:spacing w:after="0"/>
              <w:rPr>
                <w:sz w:val="20"/>
                <w:szCs w:val="20"/>
                <w:color w:val="auto"/>
              </w:rPr>
            </w:pPr>
            <w:r>
              <w:rPr>
                <w:rFonts w:ascii="Arial" w:cs="Arial" w:eastAsia="Arial" w:hAnsi="Arial"/>
                <w:sz w:val="18"/>
                <w:szCs w:val="18"/>
                <w:color w:val="auto"/>
                <w:strike w:val="1"/>
                <w:w w:val="90"/>
              </w:rPr>
              <w:t>Toh Seng Ng</w:t>
            </w:r>
          </w:p>
        </w:tc>
        <w:tc>
          <w:tcPr>
            <w:tcW w:w="3340" w:type="dxa"/>
            <w:vAlign w:val="bottom"/>
          </w:tcPr>
          <w:p>
            <w:pPr>
              <w:jc w:val="center"/>
              <w:ind w:left="772"/>
              <w:spacing w:after="0"/>
              <w:rPr>
                <w:sz w:val="20"/>
                <w:szCs w:val="20"/>
                <w:color w:val="auto"/>
              </w:rPr>
            </w:pPr>
            <w:r>
              <w:rPr>
                <w:rFonts w:ascii="Arial" w:cs="Arial" w:eastAsia="Arial" w:hAnsi="Arial"/>
                <w:sz w:val="18"/>
                <w:szCs w:val="18"/>
                <w:color w:val="auto"/>
                <w:strike w:val="1"/>
                <w:w w:val="95"/>
              </w:rPr>
              <w:t>Director</w:t>
            </w:r>
          </w:p>
        </w:tc>
      </w:tr>
      <w:tr>
        <w:trPr>
          <w:trHeight w:val="324"/>
        </w:trPr>
        <w:tc>
          <w:tcPr>
            <w:tcW w:w="4520" w:type="dxa"/>
            <w:vAlign w:val="bottom"/>
          </w:tcPr>
          <w:p>
            <w:pPr>
              <w:jc w:val="center"/>
              <w:ind w:right="532"/>
              <w:spacing w:after="0"/>
              <w:rPr>
                <w:sz w:val="20"/>
                <w:szCs w:val="20"/>
                <w:color w:val="auto"/>
              </w:rPr>
            </w:pPr>
            <w:r>
              <w:rPr>
                <w:rFonts w:ascii="Arial" w:cs="Arial" w:eastAsia="Arial" w:hAnsi="Arial"/>
                <w:sz w:val="18"/>
                <w:szCs w:val="18"/>
                <w:color w:val="auto"/>
                <w:strike w:val="1"/>
                <w:w w:val="93"/>
              </w:rPr>
              <w:t>Fabrinet USA, Inc.</w:t>
            </w:r>
          </w:p>
        </w:tc>
        <w:tc>
          <w:tcPr>
            <w:tcW w:w="2980" w:type="dxa"/>
            <w:vAlign w:val="bottom"/>
          </w:tcPr>
          <w:p>
            <w:pPr>
              <w:jc w:val="center"/>
              <w:ind w:right="132"/>
              <w:spacing w:after="0"/>
              <w:rPr>
                <w:sz w:val="20"/>
                <w:szCs w:val="20"/>
                <w:color w:val="auto"/>
              </w:rPr>
            </w:pPr>
            <w:r>
              <w:rPr>
                <w:rFonts w:ascii="Arial" w:cs="Arial" w:eastAsia="Arial" w:hAnsi="Arial"/>
                <w:sz w:val="18"/>
                <w:szCs w:val="18"/>
                <w:color w:val="auto"/>
                <w:strike w:val="1"/>
                <w:w w:val="90"/>
              </w:rPr>
              <w:t>Toh Seng Ng</w:t>
            </w:r>
          </w:p>
        </w:tc>
        <w:tc>
          <w:tcPr>
            <w:tcW w:w="3340" w:type="dxa"/>
            <w:vAlign w:val="bottom"/>
          </w:tcPr>
          <w:p>
            <w:pPr>
              <w:jc w:val="center"/>
              <w:ind w:left="772"/>
              <w:spacing w:after="0"/>
              <w:rPr>
                <w:sz w:val="20"/>
                <w:szCs w:val="20"/>
                <w:color w:val="auto"/>
              </w:rPr>
            </w:pPr>
            <w:r>
              <w:rPr>
                <w:rFonts w:ascii="Arial" w:cs="Arial" w:eastAsia="Arial" w:hAnsi="Arial"/>
                <w:sz w:val="18"/>
                <w:szCs w:val="18"/>
                <w:color w:val="auto"/>
                <w:strike w:val="1"/>
                <w:w w:val="88"/>
              </w:rPr>
              <w:t>President, Secretary and Treasurer</w:t>
            </w:r>
          </w:p>
        </w:tc>
      </w:tr>
      <w:tr>
        <w:trPr>
          <w:trHeight w:val="324"/>
        </w:trPr>
        <w:tc>
          <w:tcPr>
            <w:tcW w:w="4520" w:type="dxa"/>
            <w:vAlign w:val="bottom"/>
          </w:tcPr>
          <w:p>
            <w:pPr>
              <w:jc w:val="center"/>
              <w:ind w:right="532"/>
              <w:spacing w:after="0"/>
              <w:rPr>
                <w:sz w:val="20"/>
                <w:szCs w:val="20"/>
                <w:color w:val="auto"/>
              </w:rPr>
            </w:pPr>
            <w:r>
              <w:rPr>
                <w:rFonts w:ascii="Arial" w:cs="Arial" w:eastAsia="Arial" w:hAnsi="Arial"/>
                <w:sz w:val="18"/>
                <w:szCs w:val="18"/>
                <w:color w:val="auto"/>
                <w:strike w:val="1"/>
                <w:w w:val="92"/>
              </w:rPr>
              <w:t>FBN New Jersey Manufacturing, Inc. (dba VitroCom)</w:t>
            </w:r>
          </w:p>
        </w:tc>
        <w:tc>
          <w:tcPr>
            <w:tcW w:w="2980" w:type="dxa"/>
            <w:vAlign w:val="bottom"/>
          </w:tcPr>
          <w:p>
            <w:pPr>
              <w:jc w:val="center"/>
              <w:ind w:right="132"/>
              <w:spacing w:after="0"/>
              <w:rPr>
                <w:sz w:val="20"/>
                <w:szCs w:val="20"/>
                <w:color w:val="auto"/>
              </w:rPr>
            </w:pPr>
            <w:r>
              <w:rPr>
                <w:rFonts w:ascii="Arial" w:cs="Arial" w:eastAsia="Arial" w:hAnsi="Arial"/>
                <w:sz w:val="18"/>
                <w:szCs w:val="18"/>
                <w:color w:val="auto"/>
                <w:strike w:val="1"/>
                <w:w w:val="90"/>
              </w:rPr>
              <w:t>Toh Seng Ng</w:t>
            </w:r>
          </w:p>
        </w:tc>
        <w:tc>
          <w:tcPr>
            <w:tcW w:w="3340" w:type="dxa"/>
            <w:vAlign w:val="bottom"/>
          </w:tcPr>
          <w:p>
            <w:pPr>
              <w:jc w:val="center"/>
              <w:ind w:left="772"/>
              <w:spacing w:after="0"/>
              <w:rPr>
                <w:sz w:val="20"/>
                <w:szCs w:val="20"/>
                <w:color w:val="auto"/>
              </w:rPr>
            </w:pPr>
            <w:r>
              <w:rPr>
                <w:rFonts w:ascii="Arial" w:cs="Arial" w:eastAsia="Arial" w:hAnsi="Arial"/>
                <w:sz w:val="18"/>
                <w:szCs w:val="18"/>
                <w:color w:val="auto"/>
                <w:strike w:val="1"/>
                <w:w w:val="88"/>
              </w:rPr>
              <w:t>President, Secretary and Treasurer</w:t>
            </w:r>
          </w:p>
        </w:tc>
      </w:tr>
      <w:tr>
        <w:trPr>
          <w:trHeight w:val="324"/>
        </w:trPr>
        <w:tc>
          <w:tcPr>
            <w:tcW w:w="4520" w:type="dxa"/>
            <w:vAlign w:val="bottom"/>
          </w:tcPr>
          <w:p>
            <w:pPr>
              <w:jc w:val="center"/>
              <w:ind w:right="532"/>
              <w:spacing w:after="0"/>
              <w:rPr>
                <w:sz w:val="20"/>
                <w:szCs w:val="20"/>
                <w:color w:val="auto"/>
              </w:rPr>
            </w:pPr>
            <w:r>
              <w:rPr>
                <w:rFonts w:ascii="Arial" w:cs="Arial" w:eastAsia="Arial" w:hAnsi="Arial"/>
                <w:sz w:val="18"/>
                <w:szCs w:val="18"/>
                <w:color w:val="auto"/>
                <w:strike w:val="1"/>
                <w:w w:val="92"/>
              </w:rPr>
              <w:t>Fabrinet China Holdings</w:t>
            </w:r>
          </w:p>
        </w:tc>
        <w:tc>
          <w:tcPr>
            <w:tcW w:w="2980" w:type="dxa"/>
            <w:vAlign w:val="bottom"/>
          </w:tcPr>
          <w:p>
            <w:pPr>
              <w:jc w:val="center"/>
              <w:ind w:right="132"/>
              <w:spacing w:after="0"/>
              <w:rPr>
                <w:sz w:val="20"/>
                <w:szCs w:val="20"/>
                <w:color w:val="auto"/>
              </w:rPr>
            </w:pPr>
            <w:r>
              <w:rPr>
                <w:rFonts w:ascii="Arial" w:cs="Arial" w:eastAsia="Arial" w:hAnsi="Arial"/>
                <w:sz w:val="18"/>
                <w:szCs w:val="18"/>
                <w:color w:val="auto"/>
                <w:strike w:val="1"/>
                <w:w w:val="90"/>
              </w:rPr>
              <w:t>Toh Seng Ng</w:t>
            </w:r>
          </w:p>
        </w:tc>
        <w:tc>
          <w:tcPr>
            <w:tcW w:w="3340" w:type="dxa"/>
            <w:vAlign w:val="bottom"/>
          </w:tcPr>
          <w:p>
            <w:pPr>
              <w:jc w:val="center"/>
              <w:ind w:left="772"/>
              <w:spacing w:after="0"/>
              <w:rPr>
                <w:sz w:val="20"/>
                <w:szCs w:val="20"/>
                <w:color w:val="auto"/>
              </w:rPr>
            </w:pPr>
            <w:r>
              <w:rPr>
                <w:rFonts w:ascii="Arial" w:cs="Arial" w:eastAsia="Arial" w:hAnsi="Arial"/>
                <w:sz w:val="18"/>
                <w:szCs w:val="18"/>
                <w:color w:val="auto"/>
                <w:strike w:val="1"/>
                <w:w w:val="95"/>
              </w:rPr>
              <w:t>Director</w:t>
            </w:r>
          </w:p>
        </w:tc>
      </w:tr>
      <w:tr>
        <w:trPr>
          <w:trHeight w:val="324"/>
        </w:trPr>
        <w:tc>
          <w:tcPr>
            <w:tcW w:w="4520" w:type="dxa"/>
            <w:vAlign w:val="bottom"/>
          </w:tcPr>
          <w:p>
            <w:pPr>
              <w:jc w:val="center"/>
              <w:ind w:right="552"/>
              <w:spacing w:after="0"/>
              <w:rPr>
                <w:sz w:val="20"/>
                <w:szCs w:val="20"/>
                <w:color w:val="auto"/>
              </w:rPr>
            </w:pPr>
            <w:r>
              <w:rPr>
                <w:rFonts w:ascii="Arial" w:cs="Arial" w:eastAsia="Arial" w:hAnsi="Arial"/>
                <w:sz w:val="18"/>
                <w:szCs w:val="18"/>
                <w:color w:val="auto"/>
                <w:strike w:val="1"/>
                <w:w w:val="90"/>
              </w:rPr>
              <w:t>Fabrinet West, Inc.</w:t>
            </w:r>
          </w:p>
        </w:tc>
        <w:tc>
          <w:tcPr>
            <w:tcW w:w="2980" w:type="dxa"/>
            <w:vAlign w:val="bottom"/>
          </w:tcPr>
          <w:p>
            <w:pPr>
              <w:jc w:val="center"/>
              <w:ind w:right="132"/>
              <w:spacing w:after="0"/>
              <w:rPr>
                <w:sz w:val="20"/>
                <w:szCs w:val="20"/>
                <w:color w:val="auto"/>
              </w:rPr>
            </w:pPr>
            <w:r>
              <w:rPr>
                <w:rFonts w:ascii="Arial" w:cs="Arial" w:eastAsia="Arial" w:hAnsi="Arial"/>
                <w:sz w:val="18"/>
                <w:szCs w:val="18"/>
                <w:color w:val="auto"/>
                <w:strike w:val="1"/>
                <w:w w:val="89"/>
              </w:rPr>
              <w:t>Toh-Seng Ng</w:t>
            </w:r>
          </w:p>
        </w:tc>
        <w:tc>
          <w:tcPr>
            <w:tcW w:w="3340" w:type="dxa"/>
            <w:vAlign w:val="bottom"/>
          </w:tcPr>
          <w:p>
            <w:pPr>
              <w:jc w:val="center"/>
              <w:ind w:left="772"/>
              <w:spacing w:after="0"/>
              <w:rPr>
                <w:sz w:val="20"/>
                <w:szCs w:val="20"/>
                <w:color w:val="auto"/>
              </w:rPr>
            </w:pPr>
            <w:r>
              <w:rPr>
                <w:rFonts w:ascii="Arial" w:cs="Arial" w:eastAsia="Arial" w:hAnsi="Arial"/>
                <w:sz w:val="18"/>
                <w:szCs w:val="18"/>
                <w:color w:val="auto"/>
                <w:strike w:val="1"/>
                <w:w w:val="88"/>
              </w:rPr>
              <w:t>Treasurer and Secretary</w:t>
            </w:r>
          </w:p>
        </w:tc>
      </w:tr>
      <w:tr>
        <w:trPr>
          <w:trHeight w:val="324"/>
        </w:trPr>
        <w:tc>
          <w:tcPr>
            <w:tcW w:w="4520" w:type="dxa"/>
            <w:vAlign w:val="bottom"/>
          </w:tcPr>
          <w:p>
            <w:pPr>
              <w:jc w:val="center"/>
              <w:ind w:right="552"/>
              <w:spacing w:after="0"/>
              <w:rPr>
                <w:sz w:val="20"/>
                <w:szCs w:val="20"/>
                <w:color w:val="auto"/>
              </w:rPr>
            </w:pPr>
            <w:r>
              <w:rPr>
                <w:rFonts w:ascii="Arial" w:cs="Arial" w:eastAsia="Arial" w:hAnsi="Arial"/>
                <w:sz w:val="18"/>
                <w:szCs w:val="18"/>
                <w:color w:val="auto"/>
                <w:strike w:val="1"/>
                <w:w w:val="92"/>
              </w:rPr>
              <w:t>Fabritek, Inc.</w:t>
            </w:r>
          </w:p>
        </w:tc>
        <w:tc>
          <w:tcPr>
            <w:tcW w:w="2980" w:type="dxa"/>
            <w:vAlign w:val="bottom"/>
          </w:tcPr>
          <w:p>
            <w:pPr>
              <w:jc w:val="center"/>
              <w:ind w:right="132"/>
              <w:spacing w:after="0"/>
              <w:rPr>
                <w:sz w:val="20"/>
                <w:szCs w:val="20"/>
                <w:color w:val="auto"/>
              </w:rPr>
            </w:pPr>
            <w:r>
              <w:rPr>
                <w:rFonts w:ascii="Arial" w:cs="Arial" w:eastAsia="Arial" w:hAnsi="Arial"/>
                <w:sz w:val="18"/>
                <w:szCs w:val="18"/>
                <w:color w:val="auto"/>
                <w:strike w:val="1"/>
                <w:w w:val="89"/>
              </w:rPr>
              <w:t>Toh-Seng Ng</w:t>
            </w:r>
          </w:p>
        </w:tc>
        <w:tc>
          <w:tcPr>
            <w:tcW w:w="3340" w:type="dxa"/>
            <w:vAlign w:val="bottom"/>
          </w:tcPr>
          <w:p>
            <w:pPr>
              <w:jc w:val="center"/>
              <w:ind w:left="772"/>
              <w:spacing w:after="0"/>
              <w:rPr>
                <w:sz w:val="20"/>
                <w:szCs w:val="20"/>
                <w:color w:val="auto"/>
              </w:rPr>
            </w:pPr>
            <w:r>
              <w:rPr>
                <w:rFonts w:ascii="Arial" w:cs="Arial" w:eastAsia="Arial" w:hAnsi="Arial"/>
                <w:sz w:val="18"/>
                <w:szCs w:val="18"/>
                <w:color w:val="auto"/>
                <w:strike w:val="1"/>
                <w:w w:val="88"/>
              </w:rPr>
              <w:t>President, Treasurer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-1440180</wp:posOffset>
            </wp:positionV>
            <wp:extent cx="46310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0840"/>
          </w:cols>
          <w:pgMar w:left="300" w:top="270" w:right="75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80" w:type="dxa"/>
            <w:vAlign w:val="bottom"/>
          </w:tcPr>
          <w:p>
            <w:pPr>
              <w:jc w:val="center"/>
              <w:ind w:right="1891"/>
              <w:spacing w:after="0"/>
              <w:rPr>
                <w:sz w:val="20"/>
                <w:szCs w:val="20"/>
                <w:color w:val="auto"/>
              </w:rPr>
            </w:pPr>
            <w:r>
              <w:rPr>
                <w:rFonts w:ascii="Arial" w:cs="Arial" w:eastAsia="Arial" w:hAnsi="Arial"/>
                <w:sz w:val="18"/>
                <w:szCs w:val="18"/>
                <w:b w:val="1"/>
                <w:bCs w:val="1"/>
                <w:u w:val="single" w:color="auto"/>
                <w:color w:val="auto"/>
                <w:strike w:val="1"/>
                <w:w w:val="88"/>
              </w:rPr>
              <w:t>Schedule 5.09</w:t>
            </w:r>
          </w:p>
        </w:tc>
      </w:tr>
      <w:tr>
        <w:trPr>
          <w:trHeight w:val="324"/>
        </w:trPr>
        <w:tc>
          <w:tcPr>
            <w:tcW w:w="3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80" w:type="dxa"/>
            <w:vAlign w:val="bottom"/>
          </w:tcPr>
          <w:p>
            <w:pPr>
              <w:jc w:val="center"/>
              <w:ind w:right="1891"/>
              <w:spacing w:after="0"/>
              <w:rPr>
                <w:sz w:val="20"/>
                <w:szCs w:val="20"/>
                <w:color w:val="auto"/>
              </w:rPr>
            </w:pPr>
            <w:r>
              <w:rPr>
                <w:rFonts w:ascii="Arial" w:cs="Arial" w:eastAsia="Arial" w:hAnsi="Arial"/>
                <w:sz w:val="18"/>
                <w:szCs w:val="18"/>
                <w:b w:val="1"/>
                <w:bCs w:val="1"/>
                <w:u w:val="single" w:color="auto"/>
                <w:color w:val="auto"/>
                <w:strike w:val="1"/>
                <w:w w:val="91"/>
              </w:rPr>
              <w:t>Insurance</w:t>
            </w:r>
          </w:p>
        </w:tc>
      </w:tr>
      <w:tr>
        <w:trPr>
          <w:trHeight w:val="369"/>
        </w:trPr>
        <w:tc>
          <w:tcPr>
            <w:tcW w:w="3440" w:type="dxa"/>
            <w:vAlign w:val="bottom"/>
          </w:tcPr>
          <w:p>
            <w:pPr>
              <w:spacing w:after="0"/>
              <w:rPr>
                <w:sz w:val="24"/>
                <w:szCs w:val="24"/>
                <w:color w:val="auto"/>
              </w:rPr>
            </w:pPr>
          </w:p>
        </w:tc>
        <w:tc>
          <w:tcPr>
            <w:tcW w:w="1620" w:type="dxa"/>
            <w:vAlign w:val="bottom"/>
          </w:tcPr>
          <w:p>
            <w:pPr>
              <w:ind w:left="600"/>
              <w:spacing w:after="0"/>
              <w:rPr>
                <w:sz w:val="20"/>
                <w:szCs w:val="20"/>
                <w:color w:val="auto"/>
              </w:rPr>
            </w:pPr>
            <w:r>
              <w:rPr>
                <w:rFonts w:ascii="Arial" w:cs="Arial" w:eastAsia="Arial" w:hAnsi="Arial"/>
                <w:sz w:val="14"/>
                <w:szCs w:val="14"/>
                <w:b w:val="1"/>
                <w:bCs w:val="1"/>
                <w:color w:val="auto"/>
                <w:strike w:val="1"/>
              </w:rPr>
              <w:t>Insurance</w:t>
            </w:r>
          </w:p>
        </w:tc>
        <w:tc>
          <w:tcPr>
            <w:tcW w:w="3280" w:type="dxa"/>
            <w:vAlign w:val="bottom"/>
          </w:tcPr>
          <w:p>
            <w:pPr>
              <w:spacing w:after="0"/>
              <w:rPr>
                <w:sz w:val="24"/>
                <w:szCs w:val="24"/>
                <w:color w:val="auto"/>
              </w:rPr>
            </w:pPr>
          </w:p>
        </w:tc>
      </w:tr>
      <w:tr>
        <w:trPr>
          <w:trHeight w:val="200"/>
        </w:trPr>
        <w:tc>
          <w:tcPr>
            <w:tcW w:w="3440" w:type="dxa"/>
            <w:vAlign w:val="bottom"/>
          </w:tcPr>
          <w:p>
            <w:pPr>
              <w:spacing w:after="0"/>
              <w:rPr>
                <w:sz w:val="20"/>
                <w:szCs w:val="20"/>
                <w:color w:val="auto"/>
              </w:rPr>
            </w:pPr>
            <w:r>
              <w:rPr>
                <w:rFonts w:ascii="Arial" w:cs="Arial" w:eastAsia="Arial" w:hAnsi="Arial"/>
                <w:sz w:val="14"/>
                <w:szCs w:val="14"/>
                <w:b w:val="1"/>
                <w:bCs w:val="1"/>
                <w:color w:val="auto"/>
                <w:strike w:val="1"/>
              </w:rPr>
              <w:t>Type of Insurance</w:t>
            </w:r>
          </w:p>
        </w:tc>
        <w:tc>
          <w:tcPr>
            <w:tcW w:w="1620" w:type="dxa"/>
            <w:vAlign w:val="bottom"/>
          </w:tcPr>
          <w:p>
            <w:pPr>
              <w:ind w:left="480"/>
              <w:spacing w:after="0"/>
              <w:rPr>
                <w:sz w:val="20"/>
                <w:szCs w:val="20"/>
                <w:color w:val="auto"/>
              </w:rPr>
            </w:pPr>
            <w:r>
              <w:rPr>
                <w:rFonts w:ascii="Arial" w:cs="Arial" w:eastAsia="Arial" w:hAnsi="Arial"/>
                <w:sz w:val="14"/>
                <w:szCs w:val="14"/>
                <w:b w:val="1"/>
                <w:bCs w:val="1"/>
                <w:color w:val="auto"/>
                <w:strike w:val="1"/>
              </w:rPr>
              <w:t>policy number</w:t>
            </w:r>
          </w:p>
        </w:tc>
        <w:tc>
          <w:tcPr>
            <w:tcW w:w="3280" w:type="dxa"/>
            <w:vAlign w:val="bottom"/>
          </w:tcPr>
          <w:p>
            <w:pPr>
              <w:ind w:left="1260"/>
              <w:spacing w:after="0"/>
              <w:rPr>
                <w:sz w:val="20"/>
                <w:szCs w:val="20"/>
                <w:color w:val="auto"/>
              </w:rPr>
            </w:pPr>
            <w:r>
              <w:rPr>
                <w:rFonts w:ascii="Arial" w:cs="Arial" w:eastAsia="Arial" w:hAnsi="Arial"/>
                <w:sz w:val="14"/>
                <w:szCs w:val="14"/>
                <w:b w:val="1"/>
                <w:bCs w:val="1"/>
                <w:color w:val="auto"/>
                <w:strike w:val="1"/>
              </w:rPr>
              <w:t>Coverage Detail</w:t>
            </w:r>
          </w:p>
        </w:tc>
      </w:tr>
      <w:tr>
        <w:trPr>
          <w:trHeight w:val="309"/>
        </w:trPr>
        <w:tc>
          <w:tcPr>
            <w:tcW w:w="3440" w:type="dxa"/>
            <w:vAlign w:val="bottom"/>
          </w:tcPr>
          <w:p>
            <w:pPr>
              <w:spacing w:after="0"/>
              <w:rPr>
                <w:sz w:val="24"/>
                <w:szCs w:val="24"/>
                <w:color w:val="auto"/>
              </w:rPr>
            </w:pPr>
          </w:p>
        </w:tc>
        <w:tc>
          <w:tcPr>
            <w:tcW w:w="4900" w:type="dxa"/>
            <w:vAlign w:val="bottom"/>
            <w:gridSpan w:val="2"/>
          </w:tcPr>
          <w:p>
            <w:pPr>
              <w:jc w:val="center"/>
              <w:ind w:right="271"/>
              <w:spacing w:after="0"/>
              <w:rPr>
                <w:sz w:val="20"/>
                <w:szCs w:val="20"/>
                <w:color w:val="auto"/>
              </w:rPr>
            </w:pPr>
            <w:r>
              <w:rPr>
                <w:rFonts w:ascii="Arial" w:cs="Arial" w:eastAsia="Arial" w:hAnsi="Arial"/>
                <w:sz w:val="18"/>
                <w:szCs w:val="18"/>
                <w:b w:val="1"/>
                <w:bCs w:val="1"/>
                <w:color w:val="auto"/>
                <w:strike w:val="1"/>
                <w:w w:val="94"/>
              </w:rPr>
              <w:t>Insurance Thailand – JLT*</w:t>
            </w:r>
          </w:p>
        </w:tc>
      </w:tr>
      <w:tr>
        <w:trPr>
          <w:trHeight w:val="306"/>
        </w:trPr>
        <w:tc>
          <w:tcPr>
            <w:tcW w:w="3440" w:type="dxa"/>
            <w:vAlign w:val="bottom"/>
          </w:tcPr>
          <w:p>
            <w:pPr>
              <w:spacing w:after="0"/>
              <w:rPr>
                <w:sz w:val="20"/>
                <w:szCs w:val="20"/>
                <w:color w:val="auto"/>
              </w:rPr>
            </w:pPr>
            <w:r>
              <w:rPr>
                <w:rFonts w:ascii="Arial" w:cs="Arial" w:eastAsia="Arial" w:hAnsi="Arial"/>
                <w:sz w:val="18"/>
                <w:szCs w:val="18"/>
                <w:b w:val="1"/>
                <w:bCs w:val="1"/>
                <w:color w:val="auto"/>
                <w:strike w:val="1"/>
              </w:rPr>
              <w:t>1. Industrial All Risks Insurance and</w:t>
            </w:r>
          </w:p>
        </w:tc>
        <w:tc>
          <w:tcPr>
            <w:tcW w:w="1620" w:type="dxa"/>
            <w:vAlign w:val="bottom"/>
          </w:tcPr>
          <w:p>
            <w:pPr>
              <w:ind w:left="220"/>
              <w:spacing w:after="0"/>
              <w:rPr>
                <w:sz w:val="20"/>
                <w:szCs w:val="20"/>
                <w:color w:val="auto"/>
              </w:rPr>
            </w:pPr>
            <w:r>
              <w:rPr>
                <w:rFonts w:ascii="Arial" w:cs="Arial" w:eastAsia="Arial" w:hAnsi="Arial"/>
                <w:sz w:val="18"/>
                <w:szCs w:val="18"/>
                <w:color w:val="auto"/>
                <w:strike w:val="1"/>
              </w:rPr>
              <w:t>Cover Note</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rPr>
              <w:t>— All risks of loss or damage to all</w:t>
            </w:r>
          </w:p>
        </w:tc>
      </w:tr>
      <w:tr>
        <w:trPr>
          <w:trHeight w:val="220"/>
        </w:trPr>
        <w:tc>
          <w:tcPr>
            <w:tcW w:w="3440" w:type="dxa"/>
            <w:vAlign w:val="bottom"/>
          </w:tcPr>
          <w:p>
            <w:pPr>
              <w:spacing w:after="0"/>
              <w:rPr>
                <w:sz w:val="20"/>
                <w:szCs w:val="20"/>
                <w:color w:val="auto"/>
              </w:rPr>
            </w:pPr>
            <w:r>
              <w:rPr>
                <w:rFonts w:ascii="Arial" w:cs="Arial" w:eastAsia="Arial" w:hAnsi="Arial"/>
                <w:sz w:val="18"/>
                <w:szCs w:val="18"/>
                <w:b w:val="1"/>
                <w:bCs w:val="1"/>
                <w:color w:val="auto"/>
                <w:strike w:val="1"/>
              </w:rPr>
              <w:t>Business Interruption Insurance</w:t>
            </w:r>
          </w:p>
        </w:tc>
        <w:tc>
          <w:tcPr>
            <w:tcW w:w="1620" w:type="dxa"/>
            <w:vAlign w:val="bottom"/>
          </w:tcPr>
          <w:p>
            <w:pPr>
              <w:ind w:left="220"/>
              <w:spacing w:after="0"/>
              <w:rPr>
                <w:sz w:val="20"/>
                <w:szCs w:val="20"/>
                <w:color w:val="auto"/>
              </w:rPr>
            </w:pPr>
            <w:r>
              <w:rPr>
                <w:rFonts w:ascii="Arial" w:cs="Arial" w:eastAsia="Arial" w:hAnsi="Arial"/>
                <w:sz w:val="18"/>
                <w:szCs w:val="18"/>
                <w:color w:val="auto"/>
                <w:strike w:val="1"/>
                <w:w w:val="99"/>
              </w:rPr>
              <w:t>No.21400002155</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9"/>
              </w:rPr>
              <w:t>buildings, office equipment, machinery</w:t>
            </w:r>
          </w:p>
        </w:tc>
      </w:tr>
      <w:tr>
        <w:trPr>
          <w:trHeight w:val="216"/>
        </w:trPr>
        <w:tc>
          <w:tcPr>
            <w:tcW w:w="3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strike w:val="1"/>
              </w:rPr>
              <w:t>and inventory.</w:t>
            </w:r>
          </w:p>
        </w:tc>
      </w:tr>
      <w:tr>
        <w:trPr>
          <w:trHeight w:val="216"/>
        </w:trPr>
        <w:tc>
          <w:tcPr>
            <w:tcW w:w="3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7"/>
              </w:rPr>
              <w:t>- Loss of Gross profits caused by perils</w:t>
            </w:r>
          </w:p>
        </w:tc>
      </w:tr>
      <w:tr>
        <w:trPr>
          <w:trHeight w:val="230"/>
        </w:trPr>
        <w:tc>
          <w:tcPr>
            <w:tcW w:w="3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88"/>
              </w:rPr>
              <w:t>insured by the property damage insurance.</w:t>
            </w:r>
          </w:p>
        </w:tc>
      </w:tr>
      <w:tr>
        <w:trPr>
          <w:trHeight w:val="323"/>
        </w:trPr>
        <w:tc>
          <w:tcPr>
            <w:tcW w:w="3440" w:type="dxa"/>
            <w:vAlign w:val="bottom"/>
          </w:tcPr>
          <w:p>
            <w:pPr>
              <w:spacing w:after="0"/>
              <w:rPr>
                <w:sz w:val="20"/>
                <w:szCs w:val="20"/>
                <w:color w:val="auto"/>
              </w:rPr>
            </w:pPr>
            <w:r>
              <w:rPr>
                <w:rFonts w:ascii="Arial" w:cs="Arial" w:eastAsia="Arial" w:hAnsi="Arial"/>
                <w:sz w:val="18"/>
                <w:szCs w:val="18"/>
                <w:b w:val="1"/>
                <w:bCs w:val="1"/>
                <w:color w:val="auto"/>
                <w:strike w:val="1"/>
              </w:rPr>
              <w:t>2. . General Public Liability Insurance</w:t>
            </w:r>
          </w:p>
        </w:tc>
        <w:tc>
          <w:tcPr>
            <w:tcW w:w="1620" w:type="dxa"/>
            <w:vAlign w:val="bottom"/>
          </w:tcPr>
          <w:p>
            <w:pPr>
              <w:ind w:left="220"/>
              <w:spacing w:after="0"/>
              <w:rPr>
                <w:sz w:val="20"/>
                <w:szCs w:val="20"/>
                <w:color w:val="auto"/>
              </w:rPr>
            </w:pPr>
            <w:r>
              <w:rPr>
                <w:rFonts w:ascii="Arial" w:cs="Arial" w:eastAsia="Arial" w:hAnsi="Arial"/>
                <w:sz w:val="18"/>
                <w:szCs w:val="18"/>
                <w:color w:val="auto"/>
                <w:strike w:val="1"/>
              </w:rPr>
              <w:t>Cover Note</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4"/>
              </w:rPr>
              <w:t>Property damage and bodily injury to the</w:t>
            </w:r>
          </w:p>
        </w:tc>
      </w:tr>
      <w:tr>
        <w:trPr>
          <w:trHeight w:val="230"/>
        </w:trPr>
        <w:tc>
          <w:tcPr>
            <w:tcW w:w="3440" w:type="dxa"/>
            <w:vAlign w:val="bottom"/>
          </w:tcPr>
          <w:p>
            <w:pPr>
              <w:spacing w:after="0"/>
              <w:rPr>
                <w:sz w:val="20"/>
                <w:szCs w:val="20"/>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strike w:val="1"/>
                <w:w w:val="99"/>
              </w:rPr>
              <w:t>No.21400002155</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rPr>
              <w:t>third party.</w:t>
            </w:r>
          </w:p>
        </w:tc>
      </w:tr>
      <w:tr>
        <w:trPr>
          <w:trHeight w:val="526"/>
        </w:trPr>
        <w:tc>
          <w:tcPr>
            <w:tcW w:w="3440" w:type="dxa"/>
            <w:vAlign w:val="bottom"/>
          </w:tcPr>
          <w:p>
            <w:pPr>
              <w:spacing w:after="0"/>
              <w:rPr>
                <w:sz w:val="20"/>
                <w:szCs w:val="20"/>
                <w:color w:val="auto"/>
              </w:rPr>
            </w:pPr>
            <w:r>
              <w:rPr>
                <w:rFonts w:ascii="Arial" w:cs="Arial" w:eastAsia="Arial" w:hAnsi="Arial"/>
                <w:sz w:val="18"/>
                <w:szCs w:val="18"/>
                <w:b w:val="1"/>
                <w:bCs w:val="1"/>
                <w:color w:val="auto"/>
                <w:strike w:val="1"/>
              </w:rPr>
              <w:t>3. Marine Insurance</w:t>
            </w:r>
          </w:p>
        </w:tc>
        <w:tc>
          <w:tcPr>
            <w:tcW w:w="1620" w:type="dxa"/>
            <w:vAlign w:val="bottom"/>
          </w:tcPr>
          <w:p>
            <w:pPr>
              <w:ind w:left="220"/>
              <w:spacing w:after="0"/>
              <w:rPr>
                <w:sz w:val="20"/>
                <w:szCs w:val="20"/>
                <w:color w:val="auto"/>
              </w:rPr>
            </w:pPr>
            <w:r>
              <w:rPr>
                <w:rFonts w:ascii="Arial" w:cs="Arial" w:eastAsia="Arial" w:hAnsi="Arial"/>
                <w:sz w:val="18"/>
                <w:szCs w:val="18"/>
                <w:color w:val="auto"/>
                <w:strike w:val="1"/>
              </w:rPr>
              <w:t>Cover Note</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7"/>
              </w:rPr>
              <w:t>All risks of loss or damage to all kind of</w:t>
            </w:r>
          </w:p>
        </w:tc>
      </w:tr>
      <w:tr>
        <w:trPr>
          <w:trHeight w:val="216"/>
        </w:trPr>
        <w:tc>
          <w:tcPr>
            <w:tcW w:w="344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strike w:val="1"/>
                <w:w w:val="99"/>
              </w:rPr>
              <w:t>No.21400002008</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3"/>
              </w:rPr>
              <w:t>- Import &amp; export materials and products.</w:t>
            </w:r>
          </w:p>
        </w:tc>
      </w:tr>
      <w:tr>
        <w:trPr>
          <w:trHeight w:val="230"/>
        </w:trPr>
        <w:tc>
          <w:tcPr>
            <w:tcW w:w="3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3"/>
              </w:rPr>
              <w:t>- Import machinery and other equipment.</w:t>
            </w:r>
          </w:p>
        </w:tc>
      </w:tr>
      <w:tr>
        <w:trPr>
          <w:trHeight w:val="323"/>
        </w:trPr>
        <w:tc>
          <w:tcPr>
            <w:tcW w:w="3440" w:type="dxa"/>
            <w:vAlign w:val="bottom"/>
          </w:tcPr>
          <w:p>
            <w:pPr>
              <w:spacing w:after="0"/>
              <w:rPr>
                <w:sz w:val="20"/>
                <w:szCs w:val="20"/>
                <w:color w:val="auto"/>
              </w:rPr>
            </w:pPr>
            <w:r>
              <w:rPr>
                <w:rFonts w:ascii="Arial" w:cs="Arial" w:eastAsia="Arial" w:hAnsi="Arial"/>
                <w:sz w:val="18"/>
                <w:szCs w:val="18"/>
                <w:b w:val="1"/>
                <w:bCs w:val="1"/>
                <w:color w:val="auto"/>
                <w:strike w:val="1"/>
              </w:rPr>
              <w:t>4. Motor Insurance</w:t>
            </w:r>
          </w:p>
        </w:tc>
        <w:tc>
          <w:tcPr>
            <w:tcW w:w="1620" w:type="dxa"/>
            <w:vAlign w:val="bottom"/>
          </w:tcPr>
          <w:p>
            <w:pPr>
              <w:ind w:left="220"/>
              <w:spacing w:after="0"/>
              <w:rPr>
                <w:sz w:val="20"/>
                <w:szCs w:val="20"/>
                <w:color w:val="auto"/>
              </w:rPr>
            </w:pPr>
            <w:r>
              <w:rPr>
                <w:rFonts w:ascii="Arial" w:cs="Arial" w:eastAsia="Arial" w:hAnsi="Arial"/>
                <w:sz w:val="18"/>
                <w:szCs w:val="18"/>
                <w:color w:val="auto"/>
                <w:strike w:val="1"/>
              </w:rPr>
              <w:t>Cover Note</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rPr>
              <w:t>Voluntary and Compulsory Motor</w:t>
            </w:r>
          </w:p>
        </w:tc>
      </w:tr>
      <w:tr>
        <w:trPr>
          <w:trHeight w:val="230"/>
        </w:trPr>
        <w:tc>
          <w:tcPr>
            <w:tcW w:w="3440" w:type="dxa"/>
            <w:vAlign w:val="bottom"/>
          </w:tcPr>
          <w:p>
            <w:pPr>
              <w:spacing w:after="0"/>
              <w:rPr>
                <w:sz w:val="20"/>
                <w:szCs w:val="20"/>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strike w:val="1"/>
                <w:w w:val="99"/>
              </w:rPr>
              <w:t>No.21400002025</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rPr>
              <w:t>Insurance cover 11 vehicles.</w:t>
            </w:r>
          </w:p>
        </w:tc>
      </w:tr>
      <w:tr>
        <w:trPr>
          <w:trHeight w:val="540"/>
        </w:trPr>
        <w:tc>
          <w:tcPr>
            <w:tcW w:w="3440" w:type="dxa"/>
            <w:vAlign w:val="bottom"/>
          </w:tcPr>
          <w:p>
            <w:pPr>
              <w:spacing w:after="0"/>
              <w:rPr>
                <w:sz w:val="24"/>
                <w:szCs w:val="24"/>
                <w:color w:val="auto"/>
              </w:rPr>
            </w:pPr>
          </w:p>
        </w:tc>
        <w:tc>
          <w:tcPr>
            <w:tcW w:w="4900" w:type="dxa"/>
            <w:vAlign w:val="bottom"/>
            <w:gridSpan w:val="2"/>
          </w:tcPr>
          <w:p>
            <w:pPr>
              <w:jc w:val="center"/>
              <w:ind w:right="271"/>
              <w:spacing w:after="0"/>
              <w:rPr>
                <w:sz w:val="20"/>
                <w:szCs w:val="20"/>
                <w:color w:val="auto"/>
              </w:rPr>
            </w:pPr>
            <w:r>
              <w:rPr>
                <w:rFonts w:ascii="Arial" w:cs="Arial" w:eastAsia="Arial" w:hAnsi="Arial"/>
                <w:sz w:val="18"/>
                <w:szCs w:val="18"/>
                <w:b w:val="1"/>
                <w:bCs w:val="1"/>
                <w:color w:val="auto"/>
                <w:strike w:val="1"/>
                <w:w w:val="93"/>
              </w:rPr>
              <w:t>Insurance USA—JLT</w:t>
            </w:r>
          </w:p>
        </w:tc>
      </w:tr>
      <w:tr>
        <w:trPr>
          <w:trHeight w:val="310"/>
        </w:trPr>
        <w:tc>
          <w:tcPr>
            <w:tcW w:w="3440" w:type="dxa"/>
            <w:vAlign w:val="bottom"/>
          </w:tcPr>
          <w:p>
            <w:pPr>
              <w:spacing w:after="0"/>
              <w:rPr>
                <w:sz w:val="20"/>
                <w:szCs w:val="20"/>
                <w:color w:val="auto"/>
              </w:rPr>
            </w:pPr>
            <w:r>
              <w:rPr>
                <w:rFonts w:ascii="Arial" w:cs="Arial" w:eastAsia="Arial" w:hAnsi="Arial"/>
                <w:sz w:val="18"/>
                <w:szCs w:val="18"/>
                <w:b w:val="1"/>
                <w:bCs w:val="1"/>
                <w:color w:val="auto"/>
                <w:strike w:val="1"/>
              </w:rPr>
              <w:t>1. Commercial Property &amp; BI—Vitrocom</w:t>
            </w:r>
          </w:p>
        </w:tc>
        <w:tc>
          <w:tcPr>
            <w:tcW w:w="1620" w:type="dxa"/>
            <w:vAlign w:val="bottom"/>
          </w:tcPr>
          <w:p>
            <w:pPr>
              <w:ind w:left="220"/>
              <w:spacing w:after="0"/>
              <w:rPr>
                <w:sz w:val="20"/>
                <w:szCs w:val="20"/>
                <w:color w:val="auto"/>
              </w:rPr>
            </w:pPr>
            <w:r>
              <w:rPr>
                <w:rFonts w:ascii="Arial" w:cs="Arial" w:eastAsia="Arial" w:hAnsi="Arial"/>
                <w:sz w:val="18"/>
                <w:szCs w:val="18"/>
                <w:color w:val="auto"/>
                <w:strike w:val="1"/>
              </w:rPr>
              <w:t>Policy</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5"/>
              </w:rPr>
              <w:t>Business Personal Property, EDP Data,</w:t>
            </w:r>
          </w:p>
        </w:tc>
      </w:tr>
      <w:tr>
        <w:trPr>
          <w:trHeight w:val="216"/>
        </w:trPr>
        <w:tc>
          <w:tcPr>
            <w:tcW w:w="344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strike w:val="1"/>
              </w:rPr>
              <w:t>No.3592-06-55</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8"/>
              </w:rPr>
              <w:t>Personal Property in Transit, Fine Arts,</w:t>
            </w:r>
          </w:p>
        </w:tc>
      </w:tr>
      <w:tr>
        <w:trPr>
          <w:trHeight w:val="216"/>
        </w:trPr>
        <w:tc>
          <w:tcPr>
            <w:tcW w:w="3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3"/>
              </w:rPr>
              <w:t>Tenants Improvements and Betterments,</w:t>
            </w:r>
          </w:p>
        </w:tc>
      </w:tr>
      <w:tr>
        <w:trPr>
          <w:trHeight w:val="216"/>
        </w:trPr>
        <w:tc>
          <w:tcPr>
            <w:tcW w:w="3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3"/>
              </w:rPr>
              <w:t>and Business Interruption/Extra Expense</w:t>
            </w:r>
          </w:p>
        </w:tc>
      </w:tr>
      <w:tr>
        <w:trPr>
          <w:trHeight w:val="230"/>
        </w:trPr>
        <w:tc>
          <w:tcPr>
            <w:tcW w:w="3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strike w:val="1"/>
              </w:rPr>
              <w:t>values in the event of a covered loss.</w:t>
            </w:r>
          </w:p>
        </w:tc>
      </w:tr>
      <w:tr>
        <w:trPr>
          <w:trHeight w:val="306"/>
        </w:trPr>
        <w:tc>
          <w:tcPr>
            <w:tcW w:w="3440" w:type="dxa"/>
            <w:vAlign w:val="bottom"/>
          </w:tcPr>
          <w:p>
            <w:pPr>
              <w:spacing w:after="0"/>
              <w:rPr>
                <w:sz w:val="20"/>
                <w:szCs w:val="20"/>
                <w:color w:val="auto"/>
              </w:rPr>
            </w:pPr>
            <w:r>
              <w:rPr>
                <w:rFonts w:ascii="Arial" w:cs="Arial" w:eastAsia="Arial" w:hAnsi="Arial"/>
                <w:sz w:val="18"/>
                <w:szCs w:val="18"/>
                <w:b w:val="1"/>
                <w:bCs w:val="1"/>
                <w:color w:val="auto"/>
                <w:strike w:val="1"/>
              </w:rPr>
              <w:t>2. General (Public &amp; Products) Liability</w:t>
            </w:r>
          </w:p>
        </w:tc>
        <w:tc>
          <w:tcPr>
            <w:tcW w:w="1620" w:type="dxa"/>
            <w:vAlign w:val="bottom"/>
          </w:tcPr>
          <w:p>
            <w:pPr>
              <w:ind w:left="220"/>
              <w:spacing w:after="0"/>
              <w:rPr>
                <w:sz w:val="20"/>
                <w:szCs w:val="20"/>
                <w:color w:val="auto"/>
              </w:rPr>
            </w:pPr>
            <w:r>
              <w:rPr>
                <w:rFonts w:ascii="Arial" w:cs="Arial" w:eastAsia="Arial" w:hAnsi="Arial"/>
                <w:sz w:val="18"/>
                <w:szCs w:val="18"/>
                <w:color w:val="auto"/>
                <w:strike w:val="1"/>
                <w:w w:val="97"/>
              </w:rPr>
              <w:t>Cover Note dated</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2"/>
              </w:rPr>
              <w:t>General Liability policies intend to protect</w:t>
            </w: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strike w:val="1"/>
              </w:rPr>
              <w:t>Insurance (including Terrorism)</w:t>
            </w:r>
          </w:p>
        </w:tc>
        <w:tc>
          <w:tcPr>
            <w:tcW w:w="1620" w:type="dxa"/>
            <w:vAlign w:val="bottom"/>
          </w:tcPr>
          <w:p>
            <w:pPr>
              <w:ind w:left="220"/>
              <w:spacing w:after="0"/>
              <w:rPr>
                <w:sz w:val="20"/>
                <w:szCs w:val="20"/>
                <w:color w:val="auto"/>
              </w:rPr>
            </w:pPr>
            <w:r>
              <w:rPr>
                <w:rFonts w:ascii="Arial" w:cs="Arial" w:eastAsia="Arial" w:hAnsi="Arial"/>
                <w:sz w:val="18"/>
                <w:szCs w:val="18"/>
                <w:color w:val="auto"/>
                <w:strike w:val="1"/>
              </w:rPr>
              <w:t>29-Dec-14</w:t>
            </w:r>
          </w:p>
        </w:tc>
        <w:tc>
          <w:tcPr>
            <w:tcW w:w="3280" w:type="dxa"/>
            <w:vAlign w:val="bottom"/>
          </w:tcPr>
          <w:p>
            <w:pPr>
              <w:ind w:left="220"/>
              <w:spacing w:after="0"/>
              <w:rPr>
                <w:sz w:val="20"/>
                <w:szCs w:val="20"/>
                <w:color w:val="auto"/>
              </w:rPr>
            </w:pPr>
            <w:r>
              <w:rPr>
                <w:rFonts w:ascii="Arial" w:cs="Arial" w:eastAsia="Arial" w:hAnsi="Arial"/>
                <w:sz w:val="18"/>
                <w:szCs w:val="18"/>
                <w:color w:val="auto"/>
                <w:strike w:val="1"/>
                <w:w w:val="96"/>
              </w:rPr>
              <w:t>Named Insured’s against liability claims</w:t>
            </w:r>
          </w:p>
        </w:tc>
      </w:tr>
      <w:tr>
        <w:trPr>
          <w:trHeight w:val="220"/>
        </w:trPr>
        <w:tc>
          <w:tcPr>
            <w:tcW w:w="3440" w:type="dxa"/>
            <w:vAlign w:val="bottom"/>
          </w:tcPr>
          <w:p>
            <w:pPr>
              <w:spacing w:after="0"/>
              <w:rPr>
                <w:sz w:val="20"/>
                <w:szCs w:val="20"/>
                <w:color w:val="auto"/>
              </w:rPr>
            </w:pPr>
            <w:r>
              <w:rPr>
                <w:rFonts w:ascii="Arial" w:cs="Arial" w:eastAsia="Arial" w:hAnsi="Arial"/>
                <w:sz w:val="18"/>
                <w:szCs w:val="18"/>
                <w:b w:val="1"/>
                <w:bCs w:val="1"/>
                <w:color w:val="auto"/>
                <w:strike w:val="1"/>
              </w:rPr>
              <w:t>/International Auto/</w:t>
            </w:r>
          </w:p>
        </w:tc>
        <w:tc>
          <w:tcPr>
            <w:tcW w:w="1620" w:type="dxa"/>
            <w:vAlign w:val="bottom"/>
          </w:tcPr>
          <w:p>
            <w:pPr>
              <w:spacing w:after="0"/>
              <w:rPr>
                <w:sz w:val="19"/>
                <w:szCs w:val="19"/>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strike w:val="1"/>
              </w:rPr>
              <w:t>for bodily injury (BI) and property</w:t>
            </w:r>
          </w:p>
        </w:tc>
      </w:tr>
      <w:tr>
        <w:trPr>
          <w:trHeight w:val="138"/>
        </w:trPr>
        <w:tc>
          <w:tcPr>
            <w:tcW w:w="34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280" w:type="dxa"/>
            <w:vAlign w:val="bottom"/>
          </w:tcPr>
          <w:p>
            <w:pPr>
              <w:ind w:left="220"/>
              <w:spacing w:after="0" w:line="138" w:lineRule="exact"/>
              <w:rPr>
                <w:sz w:val="20"/>
                <w:szCs w:val="20"/>
                <w:color w:val="auto"/>
              </w:rPr>
            </w:pPr>
            <w:r>
              <w:rPr>
                <w:rFonts w:ascii="Arial" w:cs="Arial" w:eastAsia="Arial" w:hAnsi="Arial"/>
                <w:sz w:val="15"/>
                <w:szCs w:val="15"/>
                <w:color w:val="auto"/>
                <w:strike w:val="1"/>
              </w:rPr>
              <w:t>damage (PD) arising out of the premises,</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strike w:val="1"/>
              </w:rPr>
              <w:t>International Workers’ Compensation</w:t>
            </w:r>
          </w:p>
        </w:tc>
        <w:tc>
          <w:tcPr>
            <w:tcW w:w="4060" w:type="dxa"/>
            <w:vAlign w:val="bottom"/>
            <w:vMerge w:val="restart"/>
          </w:tcPr>
          <w:p>
            <w:pPr>
              <w:ind w:left="1160"/>
              <w:spacing w:after="0"/>
              <w:rPr>
                <w:sz w:val="20"/>
                <w:szCs w:val="20"/>
                <w:color w:val="auto"/>
              </w:rPr>
            </w:pPr>
            <w:r>
              <w:rPr>
                <w:rFonts w:ascii="Arial" w:cs="Arial" w:eastAsia="Arial" w:hAnsi="Arial"/>
                <w:sz w:val="18"/>
                <w:szCs w:val="18"/>
                <w:color w:val="auto"/>
                <w:strike w:val="1"/>
                <w:w w:val="98"/>
              </w:rPr>
              <w:t>operations, products, and completed</w:t>
            </w: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4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060" w:type="dxa"/>
            <w:vAlign w:val="bottom"/>
          </w:tcPr>
          <w:p>
            <w:pPr>
              <w:ind w:left="1160"/>
              <w:spacing w:after="0"/>
              <w:rPr>
                <w:sz w:val="20"/>
                <w:szCs w:val="20"/>
                <w:color w:val="auto"/>
              </w:rPr>
            </w:pPr>
            <w:r>
              <w:rPr>
                <w:rFonts w:ascii="Arial" w:cs="Arial" w:eastAsia="Arial" w:hAnsi="Arial"/>
                <w:sz w:val="18"/>
                <w:szCs w:val="18"/>
                <w:color w:val="auto"/>
                <w:strike w:val="1"/>
                <w:w w:val="88"/>
              </w:rPr>
              <w:t>operations; and advertising and personal</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4060" w:type="dxa"/>
            <w:vAlign w:val="bottom"/>
          </w:tcPr>
          <w:p>
            <w:pPr>
              <w:ind w:left="1160"/>
              <w:spacing w:after="0"/>
              <w:rPr>
                <w:sz w:val="20"/>
                <w:szCs w:val="20"/>
                <w:color w:val="auto"/>
              </w:rPr>
            </w:pPr>
            <w:r>
              <w:rPr>
                <w:rFonts w:ascii="Arial" w:cs="Arial" w:eastAsia="Arial" w:hAnsi="Arial"/>
                <w:sz w:val="18"/>
                <w:szCs w:val="18"/>
                <w:color w:val="auto"/>
                <w:strike w:val="1"/>
              </w:rPr>
              <w:t>injury (PI).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tabs>
          <w:tab w:leader="none" w:pos="1620" w:val="left"/>
        </w:tabs>
        <w:rPr>
          <w:sz w:val="20"/>
          <w:szCs w:val="20"/>
          <w:color w:val="auto"/>
        </w:rPr>
      </w:pPr>
      <w:r>
        <w:rPr>
          <w:rFonts w:ascii="Arial" w:cs="Arial" w:eastAsia="Arial" w:hAnsi="Arial"/>
          <w:sz w:val="14"/>
          <w:szCs w:val="14"/>
          <w:b w:val="1"/>
          <w:bCs w:val="1"/>
          <w:color w:val="auto"/>
          <w:strike w:val="1"/>
        </w:rPr>
        <w:t>Policy</w:t>
      </w:r>
      <w:r>
        <w:rPr>
          <w:sz w:val="20"/>
          <w:szCs w:val="20"/>
          <w:color w:val="auto"/>
        </w:rPr>
        <w:tab/>
      </w:r>
      <w:r>
        <w:rPr>
          <w:rFonts w:ascii="Arial" w:cs="Arial" w:eastAsia="Arial" w:hAnsi="Arial"/>
          <w:sz w:val="14"/>
          <w:szCs w:val="14"/>
          <w:b w:val="1"/>
          <w:bCs w:val="1"/>
          <w:color w:val="auto"/>
          <w:strike w:val="1"/>
        </w:rPr>
        <w:t>Coverage</w:t>
      </w:r>
    </w:p>
    <w:p>
      <w:pPr>
        <w:spacing w:after="0" w:line="4"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4"/>
          <w:szCs w:val="14"/>
          <w:b w:val="1"/>
          <w:bCs w:val="1"/>
          <w:color w:val="auto"/>
          <w:strike w:val="1"/>
        </w:rPr>
        <w:t>Period</w:t>
      </w:r>
      <w:r>
        <w:rPr>
          <w:sz w:val="20"/>
          <w:szCs w:val="20"/>
          <w:color w:val="auto"/>
        </w:rPr>
        <w:tab/>
      </w:r>
      <w:r>
        <w:rPr>
          <w:rFonts w:ascii="Arial" w:cs="Arial" w:eastAsia="Arial" w:hAnsi="Arial"/>
          <w:sz w:val="14"/>
          <w:szCs w:val="14"/>
          <w:b w:val="1"/>
          <w:bCs w:val="1"/>
          <w:color w:val="auto"/>
          <w:strike w:val="1"/>
        </w:rPr>
        <w:t>Amount ($M)</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strike w:val="1"/>
              </w:rPr>
              <w:t>31-Dec-14</w:t>
            </w:r>
          </w:p>
        </w:tc>
        <w:tc>
          <w:tcPr>
            <w:tcW w:w="960" w:type="dxa"/>
            <w:vAlign w:val="bottom"/>
          </w:tcPr>
          <w:p>
            <w:pPr>
              <w:jc w:val="center"/>
              <w:ind w:left="370"/>
              <w:spacing w:after="0"/>
              <w:rPr>
                <w:sz w:val="20"/>
                <w:szCs w:val="20"/>
                <w:color w:val="auto"/>
              </w:rPr>
            </w:pPr>
            <w:r>
              <w:rPr>
                <w:rFonts w:ascii="Arial" w:cs="Arial" w:eastAsia="Arial" w:hAnsi="Arial"/>
                <w:sz w:val="18"/>
                <w:szCs w:val="18"/>
                <w:color w:val="auto"/>
                <w:strike w:val="1"/>
                <w:w w:val="90"/>
              </w:rPr>
              <w:t>$727.3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strike w:val="1"/>
              </w:rPr>
              <w:t>to</w:t>
            </w:r>
          </w:p>
        </w:tc>
        <w:tc>
          <w:tcPr>
            <w:tcW w:w="9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strike w:val="1"/>
              </w:rPr>
              <w:t>31-Dec-15</w:t>
            </w:r>
          </w:p>
        </w:tc>
        <w:tc>
          <w:tcPr>
            <w:tcW w:w="960" w:type="dxa"/>
            <w:vAlign w:val="bottom"/>
          </w:tcPr>
          <w:p>
            <w:pPr>
              <w:spacing w:after="0"/>
              <w:rPr>
                <w:sz w:val="20"/>
                <w:szCs w:val="20"/>
                <w:color w:val="auto"/>
              </w:rPr>
            </w:pPr>
          </w:p>
        </w:tc>
      </w:tr>
      <w:tr>
        <w:trPr>
          <w:trHeight w:val="755"/>
        </w:trPr>
        <w:tc>
          <w:tcPr>
            <w:tcW w:w="1220" w:type="dxa"/>
            <w:vAlign w:val="bottom"/>
          </w:tcPr>
          <w:p>
            <w:pPr>
              <w:spacing w:after="0"/>
              <w:rPr>
                <w:sz w:val="20"/>
                <w:szCs w:val="20"/>
                <w:color w:val="auto"/>
              </w:rPr>
            </w:pPr>
            <w:r>
              <w:rPr>
                <w:rFonts w:ascii="Arial" w:cs="Arial" w:eastAsia="Arial" w:hAnsi="Arial"/>
                <w:sz w:val="18"/>
                <w:szCs w:val="18"/>
                <w:color w:val="auto"/>
                <w:strike w:val="1"/>
              </w:rPr>
              <w:t>1-Jan-15</w:t>
            </w:r>
          </w:p>
        </w:tc>
        <w:tc>
          <w:tcPr>
            <w:tcW w:w="960" w:type="dxa"/>
            <w:vAlign w:val="bottom"/>
          </w:tcPr>
          <w:p>
            <w:pPr>
              <w:jc w:val="center"/>
              <w:ind w:left="370"/>
              <w:spacing w:after="0"/>
              <w:rPr>
                <w:sz w:val="20"/>
                <w:szCs w:val="20"/>
                <w:color w:val="auto"/>
              </w:rPr>
            </w:pPr>
            <w:r>
              <w:rPr>
                <w:rFonts w:ascii="Arial" w:cs="Arial" w:eastAsia="Arial" w:hAnsi="Arial"/>
                <w:sz w:val="18"/>
                <w:szCs w:val="18"/>
                <w:color w:val="auto"/>
                <w:strike w:val="1"/>
                <w:w w:val="85"/>
              </w:rPr>
              <w:t>$1.3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strike w:val="1"/>
              </w:rPr>
              <w:t>to</w:t>
            </w:r>
          </w:p>
        </w:tc>
        <w:tc>
          <w:tcPr>
            <w:tcW w:w="9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strike w:val="1"/>
              </w:rPr>
              <w:t>1-Jan-16</w:t>
            </w:r>
          </w:p>
        </w:tc>
        <w:tc>
          <w:tcPr>
            <w:tcW w:w="960" w:type="dxa"/>
            <w:vAlign w:val="bottom"/>
          </w:tcPr>
          <w:p>
            <w:pPr>
              <w:spacing w:after="0"/>
              <w:rPr>
                <w:sz w:val="20"/>
                <w:szCs w:val="20"/>
                <w:color w:val="auto"/>
              </w:rPr>
            </w:pPr>
          </w:p>
        </w:tc>
      </w:tr>
      <w:tr>
        <w:trPr>
          <w:trHeight w:val="310"/>
        </w:trPr>
        <w:tc>
          <w:tcPr>
            <w:tcW w:w="1220" w:type="dxa"/>
            <w:vAlign w:val="bottom"/>
          </w:tcPr>
          <w:p>
            <w:pPr>
              <w:spacing w:after="0"/>
              <w:rPr>
                <w:sz w:val="20"/>
                <w:szCs w:val="20"/>
                <w:color w:val="auto"/>
              </w:rPr>
            </w:pPr>
            <w:r>
              <w:rPr>
                <w:rFonts w:ascii="Arial" w:cs="Arial" w:eastAsia="Arial" w:hAnsi="Arial"/>
                <w:sz w:val="18"/>
                <w:szCs w:val="18"/>
                <w:color w:val="auto"/>
                <w:strike w:val="1"/>
              </w:rPr>
              <w:t>1-Jan-15</w:t>
            </w:r>
          </w:p>
        </w:tc>
        <w:tc>
          <w:tcPr>
            <w:tcW w:w="960" w:type="dxa"/>
            <w:vAlign w:val="bottom"/>
          </w:tcPr>
          <w:p>
            <w:pPr>
              <w:jc w:val="center"/>
              <w:ind w:left="370"/>
              <w:spacing w:after="0"/>
              <w:rPr>
                <w:sz w:val="20"/>
                <w:szCs w:val="20"/>
                <w:color w:val="auto"/>
              </w:rPr>
            </w:pPr>
            <w:r>
              <w:rPr>
                <w:rFonts w:ascii="Arial" w:cs="Arial" w:eastAsia="Arial" w:hAnsi="Arial"/>
                <w:sz w:val="18"/>
                <w:szCs w:val="18"/>
                <w:color w:val="auto"/>
                <w:strike w:val="1"/>
                <w:w w:val="90"/>
              </w:rPr>
              <w:t>$405.6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strike w:val="1"/>
              </w:rPr>
              <w:t>to</w:t>
            </w:r>
          </w:p>
        </w:tc>
        <w:tc>
          <w:tcPr>
            <w:tcW w:w="9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strike w:val="1"/>
              </w:rPr>
              <w:t>1-Jan-16</w:t>
            </w:r>
          </w:p>
        </w:tc>
        <w:tc>
          <w:tcPr>
            <w:tcW w:w="960" w:type="dxa"/>
            <w:vAlign w:val="bottom"/>
          </w:tcPr>
          <w:p>
            <w:pPr>
              <w:spacing w:after="0"/>
              <w:rPr>
                <w:sz w:val="20"/>
                <w:szCs w:val="20"/>
                <w:color w:val="auto"/>
              </w:rPr>
            </w:pPr>
          </w:p>
        </w:tc>
      </w:tr>
      <w:tr>
        <w:trPr>
          <w:trHeight w:val="323"/>
        </w:trPr>
        <w:tc>
          <w:tcPr>
            <w:tcW w:w="1220" w:type="dxa"/>
            <w:vAlign w:val="bottom"/>
          </w:tcPr>
          <w:p>
            <w:pPr>
              <w:spacing w:after="0"/>
              <w:rPr>
                <w:sz w:val="20"/>
                <w:szCs w:val="20"/>
                <w:color w:val="auto"/>
              </w:rPr>
            </w:pPr>
            <w:r>
              <w:rPr>
                <w:rFonts w:ascii="Arial" w:cs="Arial" w:eastAsia="Arial" w:hAnsi="Arial"/>
                <w:sz w:val="18"/>
                <w:szCs w:val="18"/>
                <w:color w:val="auto"/>
                <w:strike w:val="1"/>
              </w:rPr>
              <w:t>1-Jan-15</w:t>
            </w:r>
          </w:p>
        </w:tc>
        <w:tc>
          <w:tcPr>
            <w:tcW w:w="960" w:type="dxa"/>
            <w:vAlign w:val="bottom"/>
          </w:tcPr>
          <w:p>
            <w:pPr>
              <w:jc w:val="center"/>
              <w:ind w:left="370"/>
              <w:spacing w:after="0"/>
              <w:rPr>
                <w:sz w:val="20"/>
                <w:szCs w:val="20"/>
                <w:color w:val="auto"/>
              </w:rPr>
            </w:pPr>
            <w:r>
              <w:rPr>
                <w:rFonts w:ascii="Arial" w:cs="Arial" w:eastAsia="Arial" w:hAnsi="Arial"/>
                <w:sz w:val="18"/>
                <w:szCs w:val="18"/>
                <w:color w:val="auto"/>
                <w:strike w:val="1"/>
                <w:w w:val="85"/>
              </w:rPr>
              <w:t>$0.2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strike w:val="1"/>
              </w:rPr>
              <w:t>to</w:t>
            </w:r>
          </w:p>
        </w:tc>
        <w:tc>
          <w:tcPr>
            <w:tcW w:w="9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strike w:val="1"/>
              </w:rPr>
              <w:t>1-Jan-16</w:t>
            </w:r>
          </w:p>
        </w:tc>
        <w:tc>
          <w:tcPr>
            <w:tcW w:w="960" w:type="dxa"/>
            <w:vAlign w:val="bottom"/>
          </w:tcPr>
          <w:p>
            <w:pPr>
              <w:spacing w:after="0"/>
              <w:rPr>
                <w:sz w:val="20"/>
                <w:szCs w:val="20"/>
                <w:color w:val="auto"/>
              </w:rPr>
            </w:pPr>
          </w:p>
        </w:tc>
      </w:tr>
      <w:tr>
        <w:trPr>
          <w:trHeight w:val="634"/>
        </w:trPr>
        <w:tc>
          <w:tcPr>
            <w:tcW w:w="1220" w:type="dxa"/>
            <w:vAlign w:val="bottom"/>
          </w:tcPr>
          <w:p>
            <w:pPr>
              <w:spacing w:after="0"/>
              <w:rPr>
                <w:sz w:val="20"/>
                <w:szCs w:val="20"/>
                <w:color w:val="auto"/>
              </w:rPr>
            </w:pPr>
            <w:r>
              <w:rPr>
                <w:rFonts w:ascii="Arial" w:cs="Arial" w:eastAsia="Arial" w:hAnsi="Arial"/>
                <w:sz w:val="18"/>
                <w:szCs w:val="18"/>
                <w:color w:val="auto"/>
                <w:strike w:val="1"/>
              </w:rPr>
              <w:t>1-Jan-15</w:t>
            </w:r>
          </w:p>
        </w:tc>
        <w:tc>
          <w:tcPr>
            <w:tcW w:w="960" w:type="dxa"/>
            <w:vAlign w:val="bottom"/>
          </w:tcPr>
          <w:p>
            <w:pPr>
              <w:jc w:val="center"/>
              <w:ind w:left="370"/>
              <w:spacing w:after="0"/>
              <w:rPr>
                <w:sz w:val="20"/>
                <w:szCs w:val="20"/>
                <w:color w:val="auto"/>
              </w:rPr>
            </w:pPr>
            <w:r>
              <w:rPr>
                <w:rFonts w:ascii="Arial" w:cs="Arial" w:eastAsia="Arial" w:hAnsi="Arial"/>
                <w:sz w:val="18"/>
                <w:szCs w:val="18"/>
                <w:color w:val="auto"/>
                <w:strike w:val="1"/>
                <w:w w:val="85"/>
              </w:rPr>
              <w:t>$8.4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strike w:val="1"/>
              </w:rPr>
              <w:t>to</w:t>
            </w:r>
          </w:p>
        </w:tc>
        <w:tc>
          <w:tcPr>
            <w:tcW w:w="9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strike w:val="1"/>
              </w:rPr>
              <w:t>1-Jan-16</w:t>
            </w:r>
          </w:p>
        </w:tc>
        <w:tc>
          <w:tcPr>
            <w:tcW w:w="960" w:type="dxa"/>
            <w:vAlign w:val="bottom"/>
          </w:tcPr>
          <w:p>
            <w:pPr>
              <w:spacing w:after="0"/>
              <w:rPr>
                <w:sz w:val="20"/>
                <w:szCs w:val="20"/>
                <w:color w:val="auto"/>
              </w:rPr>
            </w:pPr>
          </w:p>
        </w:tc>
      </w:tr>
      <w:tr>
        <w:trPr>
          <w:trHeight w:val="742"/>
        </w:trPr>
        <w:tc>
          <w:tcPr>
            <w:tcW w:w="1220" w:type="dxa"/>
            <w:vAlign w:val="bottom"/>
          </w:tcPr>
          <w:p>
            <w:pPr>
              <w:spacing w:after="0"/>
              <w:rPr>
                <w:sz w:val="20"/>
                <w:szCs w:val="20"/>
                <w:color w:val="auto"/>
              </w:rPr>
            </w:pPr>
            <w:r>
              <w:rPr>
                <w:rFonts w:ascii="Arial" w:cs="Arial" w:eastAsia="Arial" w:hAnsi="Arial"/>
                <w:sz w:val="18"/>
                <w:szCs w:val="18"/>
                <w:color w:val="auto"/>
                <w:strike w:val="1"/>
              </w:rPr>
              <w:t>31-Dec-14</w:t>
            </w:r>
          </w:p>
        </w:tc>
        <w:tc>
          <w:tcPr>
            <w:tcW w:w="960" w:type="dxa"/>
            <w:vAlign w:val="bottom"/>
          </w:tcPr>
          <w:p>
            <w:pPr>
              <w:jc w:val="center"/>
              <w:ind w:left="370"/>
              <w:spacing w:after="0"/>
              <w:rPr>
                <w:sz w:val="20"/>
                <w:szCs w:val="20"/>
                <w:color w:val="auto"/>
              </w:rPr>
            </w:pPr>
            <w:r>
              <w:rPr>
                <w:rFonts w:ascii="Arial" w:cs="Arial" w:eastAsia="Arial" w:hAnsi="Arial"/>
                <w:sz w:val="18"/>
                <w:szCs w:val="18"/>
                <w:color w:val="auto"/>
                <w:strike w:val="1"/>
                <w:w w:val="93"/>
              </w:rPr>
              <w:t>$30.0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strike w:val="1"/>
              </w:rPr>
              <w:t>to</w:t>
            </w:r>
          </w:p>
        </w:tc>
        <w:tc>
          <w:tcPr>
            <w:tcW w:w="9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strike w:val="1"/>
              </w:rPr>
              <w:t>31-Dec-15</w:t>
            </w:r>
          </w:p>
        </w:tc>
        <w:tc>
          <w:tcPr>
            <w:tcW w:w="960" w:type="dxa"/>
            <w:vAlign w:val="bottom"/>
          </w:tcPr>
          <w:p>
            <w:pPr>
              <w:spacing w:after="0"/>
              <w:rPr>
                <w:sz w:val="20"/>
                <w:szCs w:val="20"/>
                <w:color w:val="auto"/>
              </w:rPr>
            </w:pPr>
          </w:p>
        </w:tc>
      </w:tr>
    </w:tbl>
    <w:p>
      <w:pPr>
        <w:sectPr>
          <w:pgSz w:w="11900" w:h="16838" w:orient="portrait"/>
          <w:cols w:equalWidth="0" w:num="2">
            <w:col w:w="8340" w:space="240"/>
            <w:col w:w="2360"/>
          </w:cols>
          <w:pgMar w:left="240" w:top="270" w:right="719" w:bottom="1440" w:gutter="0" w:footer="0" w:header="0"/>
        </w:sectPr>
      </w:pPr>
    </w:p>
    <w:bookmarkStart w:id="146" w:name="page147"/>
    <w:bookmarkEnd w:id="1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80" w:type="dxa"/>
            <w:vAlign w:val="bottom"/>
          </w:tcPr>
          <w:p>
            <w:pPr>
              <w:ind w:left="440"/>
              <w:spacing w:after="0"/>
              <w:rPr>
                <w:sz w:val="20"/>
                <w:szCs w:val="20"/>
                <w:color w:val="auto"/>
              </w:rPr>
            </w:pPr>
            <w:r>
              <w:rPr>
                <w:rFonts w:ascii="Arial" w:cs="Arial" w:eastAsia="Arial" w:hAnsi="Arial"/>
                <w:sz w:val="14"/>
                <w:szCs w:val="14"/>
                <w:b w:val="1"/>
                <w:bCs w:val="1"/>
                <w:color w:val="auto"/>
                <w:strike w:val="1"/>
              </w:rPr>
              <w:t>Insurance</w:t>
            </w:r>
          </w:p>
        </w:tc>
        <w:tc>
          <w:tcPr>
            <w:tcW w:w="3300" w:type="dxa"/>
            <w:vAlign w:val="bottom"/>
          </w:tcPr>
          <w:p>
            <w:pPr>
              <w:spacing w:after="0"/>
              <w:rPr>
                <w:sz w:val="14"/>
                <w:szCs w:val="14"/>
                <w:color w:val="auto"/>
              </w:rPr>
            </w:pPr>
          </w:p>
        </w:tc>
      </w:tr>
      <w:tr>
        <w:trPr>
          <w:trHeight w:val="166"/>
        </w:trPr>
        <w:tc>
          <w:tcPr>
            <w:tcW w:w="3540" w:type="dxa"/>
            <w:vAlign w:val="bottom"/>
          </w:tcPr>
          <w:p>
            <w:pPr>
              <w:spacing w:after="0"/>
              <w:rPr>
                <w:sz w:val="20"/>
                <w:szCs w:val="20"/>
                <w:color w:val="auto"/>
              </w:rPr>
            </w:pPr>
            <w:r>
              <w:rPr>
                <w:rFonts w:ascii="Arial" w:cs="Arial" w:eastAsia="Arial" w:hAnsi="Arial"/>
                <w:sz w:val="14"/>
                <w:szCs w:val="14"/>
                <w:b w:val="1"/>
                <w:bCs w:val="1"/>
                <w:color w:val="auto"/>
                <w:strike w:val="1"/>
              </w:rPr>
              <w:t>Type of Insurance</w:t>
            </w:r>
          </w:p>
        </w:tc>
        <w:tc>
          <w:tcPr>
            <w:tcW w:w="1480" w:type="dxa"/>
            <w:vAlign w:val="bottom"/>
          </w:tcPr>
          <w:p>
            <w:pPr>
              <w:ind w:left="320"/>
              <w:spacing w:after="0"/>
              <w:rPr>
                <w:sz w:val="20"/>
                <w:szCs w:val="20"/>
                <w:color w:val="auto"/>
              </w:rPr>
            </w:pPr>
            <w:r>
              <w:rPr>
                <w:rFonts w:ascii="Arial" w:cs="Arial" w:eastAsia="Arial" w:hAnsi="Arial"/>
                <w:sz w:val="14"/>
                <w:szCs w:val="14"/>
                <w:b w:val="1"/>
                <w:bCs w:val="1"/>
                <w:color w:val="auto"/>
                <w:strike w:val="1"/>
              </w:rPr>
              <w:t>policy number</w:t>
            </w:r>
          </w:p>
        </w:tc>
        <w:tc>
          <w:tcPr>
            <w:tcW w:w="3300" w:type="dxa"/>
            <w:vAlign w:val="bottom"/>
          </w:tcPr>
          <w:p>
            <w:pPr>
              <w:ind w:left="1240"/>
              <w:spacing w:after="0"/>
              <w:rPr>
                <w:sz w:val="20"/>
                <w:szCs w:val="20"/>
                <w:color w:val="auto"/>
              </w:rPr>
            </w:pPr>
            <w:r>
              <w:rPr>
                <w:rFonts w:ascii="Arial" w:cs="Arial" w:eastAsia="Arial" w:hAnsi="Arial"/>
                <w:sz w:val="14"/>
                <w:szCs w:val="14"/>
                <w:b w:val="1"/>
                <w:bCs w:val="1"/>
                <w:color w:val="auto"/>
                <w:strike w:val="1"/>
              </w:rPr>
              <w:t>Coverage Detail</w:t>
            </w:r>
          </w:p>
        </w:tc>
      </w:t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strike w:val="1"/>
              </w:rPr>
              <w:t>3. Hired and Non-owned Automobile</w:t>
            </w:r>
          </w:p>
        </w:tc>
        <w:tc>
          <w:tcPr>
            <w:tcW w:w="1480" w:type="dxa"/>
            <w:vAlign w:val="bottom"/>
          </w:tcPr>
          <w:p>
            <w:pPr>
              <w:ind w:left="120"/>
              <w:spacing w:after="0"/>
              <w:rPr>
                <w:sz w:val="20"/>
                <w:szCs w:val="20"/>
                <w:color w:val="auto"/>
              </w:rPr>
            </w:pPr>
            <w:r>
              <w:rPr>
                <w:rFonts w:ascii="Arial" w:cs="Arial" w:eastAsia="Arial" w:hAnsi="Arial"/>
                <w:sz w:val="18"/>
                <w:szCs w:val="18"/>
                <w:color w:val="auto"/>
                <w:strike w:val="1"/>
              </w:rPr>
              <w:t>Policy</w:t>
            </w:r>
          </w:p>
        </w:tc>
        <w:tc>
          <w:tcPr>
            <w:tcW w:w="3300" w:type="dxa"/>
            <w:vAlign w:val="bottom"/>
          </w:tcPr>
          <w:p>
            <w:pPr>
              <w:ind w:left="140"/>
              <w:spacing w:after="0"/>
              <w:rPr>
                <w:sz w:val="20"/>
                <w:szCs w:val="20"/>
                <w:color w:val="auto"/>
              </w:rPr>
            </w:pPr>
            <w:r>
              <w:rPr>
                <w:rFonts w:ascii="Arial" w:cs="Arial" w:eastAsia="Arial" w:hAnsi="Arial"/>
                <w:sz w:val="18"/>
                <w:szCs w:val="18"/>
                <w:color w:val="auto"/>
                <w:strike w:val="1"/>
                <w:w w:val="97"/>
              </w:rPr>
              <w:t>Hired Car and Non-owned Auto Physical</w:t>
            </w:r>
          </w:p>
        </w:tc>
      </w:tr>
      <w:tr>
        <w:trPr>
          <w:trHeight w:val="220"/>
        </w:trPr>
        <w:tc>
          <w:tcPr>
            <w:tcW w:w="3540" w:type="dxa"/>
            <w:vAlign w:val="bottom"/>
          </w:tcPr>
          <w:p>
            <w:pPr>
              <w:spacing w:after="0"/>
              <w:rPr>
                <w:sz w:val="20"/>
                <w:szCs w:val="20"/>
                <w:color w:val="auto"/>
              </w:rPr>
            </w:pPr>
            <w:r>
              <w:rPr>
                <w:rFonts w:ascii="Arial" w:cs="Arial" w:eastAsia="Arial" w:hAnsi="Arial"/>
                <w:sz w:val="18"/>
                <w:szCs w:val="18"/>
                <w:b w:val="1"/>
                <w:bCs w:val="1"/>
                <w:color w:val="auto"/>
                <w:strike w:val="1"/>
              </w:rPr>
              <w:t>liability</w:t>
            </w:r>
          </w:p>
        </w:tc>
        <w:tc>
          <w:tcPr>
            <w:tcW w:w="1480" w:type="dxa"/>
            <w:vAlign w:val="bottom"/>
          </w:tcPr>
          <w:p>
            <w:pPr>
              <w:ind w:left="120"/>
              <w:spacing w:after="0"/>
              <w:rPr>
                <w:sz w:val="20"/>
                <w:szCs w:val="20"/>
                <w:color w:val="auto"/>
              </w:rPr>
            </w:pPr>
            <w:r>
              <w:rPr>
                <w:rFonts w:ascii="Arial" w:cs="Arial" w:eastAsia="Arial" w:hAnsi="Arial"/>
                <w:sz w:val="18"/>
                <w:szCs w:val="18"/>
                <w:color w:val="auto"/>
                <w:strike w:val="1"/>
              </w:rPr>
              <w:t>No.7356-01-55</w:t>
            </w: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Damage.</w:t>
            </w:r>
          </w:p>
        </w:tc>
      </w:tr>
      <w:tr>
        <w:trPr>
          <w:trHeight w:val="216"/>
        </w:trPr>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-Hired Auto refers to autos the Named</w:t>
            </w:r>
          </w:p>
        </w:tc>
      </w:tr>
      <w:tr>
        <w:trPr>
          <w:trHeight w:val="216"/>
        </w:trPr>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strike w:val="1"/>
                <w:w w:val="93"/>
              </w:rPr>
              <w:t>Insured leases, hires, rents, or borrows for</w:t>
            </w:r>
          </w:p>
        </w:tc>
      </w:tr>
      <w:tr>
        <w:trPr>
          <w:trHeight w:val="216"/>
        </w:trPr>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business purposes.</w:t>
            </w:r>
          </w:p>
        </w:tc>
      </w:tr>
      <w:tr>
        <w:trPr>
          <w:trHeight w:val="216"/>
        </w:trPr>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-Non-Owned Auto is specifically for an</w:t>
            </w:r>
          </w:p>
        </w:tc>
      </w:tr>
      <w:tr>
        <w:trPr>
          <w:trHeight w:val="216"/>
        </w:trPr>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strike w:val="1"/>
                <w:w w:val="99"/>
              </w:rPr>
              <w:t>auto owned by employees and used for</w:t>
            </w:r>
          </w:p>
        </w:tc>
      </w:tr>
      <w:tr>
        <w:trPr>
          <w:trHeight w:val="230"/>
        </w:trPr>
        <w:tc>
          <w:tcPr>
            <w:tcW w:w="3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company business.</w:t>
            </w:r>
          </w:p>
        </w:tc>
      </w:tr>
      <w:tr>
        <w:trPr>
          <w:trHeight w:val="323"/>
        </w:trPr>
        <w:tc>
          <w:tcPr>
            <w:tcW w:w="3540" w:type="dxa"/>
            <w:vAlign w:val="bottom"/>
          </w:tcPr>
          <w:p>
            <w:pPr>
              <w:spacing w:after="0"/>
              <w:rPr>
                <w:sz w:val="20"/>
                <w:szCs w:val="20"/>
                <w:color w:val="auto"/>
              </w:rPr>
            </w:pPr>
            <w:r>
              <w:rPr>
                <w:rFonts w:ascii="Arial" w:cs="Arial" w:eastAsia="Arial" w:hAnsi="Arial"/>
                <w:sz w:val="18"/>
                <w:szCs w:val="18"/>
                <w:b w:val="1"/>
                <w:bCs w:val="1"/>
                <w:color w:val="auto"/>
                <w:strike w:val="1"/>
              </w:rPr>
              <w:t>4. Umbrella liability (With Terrorism)</w:t>
            </w:r>
          </w:p>
        </w:tc>
        <w:tc>
          <w:tcPr>
            <w:tcW w:w="1480" w:type="dxa"/>
            <w:vAlign w:val="bottom"/>
          </w:tcPr>
          <w:p>
            <w:pPr>
              <w:ind w:left="120"/>
              <w:spacing w:after="0"/>
              <w:rPr>
                <w:sz w:val="20"/>
                <w:szCs w:val="20"/>
                <w:color w:val="auto"/>
              </w:rPr>
            </w:pPr>
            <w:r>
              <w:rPr>
                <w:rFonts w:ascii="Arial" w:cs="Arial" w:eastAsia="Arial" w:hAnsi="Arial"/>
                <w:sz w:val="18"/>
                <w:szCs w:val="18"/>
                <w:color w:val="auto"/>
                <w:strike w:val="1"/>
              </w:rPr>
              <w:t>Cover Note</w:t>
            </w: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Bodily Injury And Property Damage</w:t>
            </w:r>
          </w:p>
        </w:tc>
      </w:tr>
      <w:tr>
        <w:trPr>
          <w:trHeight w:val="216"/>
        </w:trPr>
        <w:tc>
          <w:tcPr>
            <w:tcW w:w="354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strike w:val="1"/>
                <w:w w:val="99"/>
              </w:rPr>
              <w:t>dated 29-Dec-14</w:t>
            </w:r>
          </w:p>
        </w:tc>
        <w:tc>
          <w:tcPr>
            <w:tcW w:w="3300" w:type="dxa"/>
            <w:vAlign w:val="bottom"/>
          </w:tcPr>
          <w:p>
            <w:pPr>
              <w:ind w:left="140"/>
              <w:spacing w:after="0"/>
              <w:rPr>
                <w:sz w:val="20"/>
                <w:szCs w:val="20"/>
                <w:color w:val="auto"/>
              </w:rPr>
            </w:pPr>
            <w:r>
              <w:rPr>
                <w:rFonts w:ascii="Arial" w:cs="Arial" w:eastAsia="Arial" w:hAnsi="Arial"/>
                <w:sz w:val="18"/>
                <w:szCs w:val="18"/>
                <w:color w:val="auto"/>
                <w:strike w:val="1"/>
                <w:w w:val="97"/>
              </w:rPr>
              <w:t>Liability Coverage over General Liability,</w:t>
            </w:r>
          </w:p>
        </w:tc>
      </w:tr>
      <w:tr>
        <w:trPr>
          <w:trHeight w:val="216"/>
        </w:trPr>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strike w:val="1"/>
                <w:w w:val="98"/>
              </w:rPr>
              <w:t>Hired and Non-Owned Auto, Employer’s</w:t>
            </w:r>
          </w:p>
        </w:tc>
      </w:tr>
      <w:tr>
        <w:trPr>
          <w:trHeight w:val="216"/>
        </w:trPr>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Liability, Employee Benefits Liability,</w:t>
            </w:r>
          </w:p>
        </w:tc>
      </w:tr>
      <w:tr>
        <w:trPr>
          <w:trHeight w:val="216"/>
        </w:trPr>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Foreign General Liability, and Foreign</w:t>
            </w:r>
          </w:p>
        </w:tc>
      </w:tr>
      <w:tr>
        <w:trPr>
          <w:trHeight w:val="230"/>
        </w:trPr>
        <w:tc>
          <w:tcPr>
            <w:tcW w:w="3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Employer’s Liability.</w:t>
            </w:r>
          </w:p>
        </w:tc>
      </w:tr>
      <w:tr>
        <w:trPr>
          <w:trHeight w:val="306"/>
        </w:trPr>
        <w:tc>
          <w:tcPr>
            <w:tcW w:w="3540" w:type="dxa"/>
            <w:vAlign w:val="bottom"/>
          </w:tcPr>
          <w:p>
            <w:pPr>
              <w:spacing w:after="0"/>
              <w:rPr>
                <w:sz w:val="20"/>
                <w:szCs w:val="20"/>
                <w:color w:val="auto"/>
              </w:rPr>
            </w:pPr>
            <w:r>
              <w:rPr>
                <w:rFonts w:ascii="Arial" w:cs="Arial" w:eastAsia="Arial" w:hAnsi="Arial"/>
                <w:sz w:val="18"/>
                <w:szCs w:val="18"/>
                <w:b w:val="1"/>
                <w:bCs w:val="1"/>
                <w:color w:val="auto"/>
                <w:strike w:val="1"/>
              </w:rPr>
              <w:t>5. Excess liability</w:t>
            </w:r>
          </w:p>
        </w:tc>
        <w:tc>
          <w:tcPr>
            <w:tcW w:w="1480" w:type="dxa"/>
            <w:vAlign w:val="bottom"/>
          </w:tcPr>
          <w:p>
            <w:pPr>
              <w:ind w:left="120"/>
              <w:spacing w:after="0"/>
              <w:rPr>
                <w:sz w:val="20"/>
                <w:szCs w:val="20"/>
                <w:color w:val="auto"/>
              </w:rPr>
            </w:pPr>
            <w:r>
              <w:rPr>
                <w:rFonts w:ascii="Arial" w:cs="Arial" w:eastAsia="Arial" w:hAnsi="Arial"/>
                <w:sz w:val="18"/>
                <w:szCs w:val="18"/>
                <w:color w:val="auto"/>
                <w:strike w:val="1"/>
              </w:rPr>
              <w:t>Cover Note</w:t>
            </w:r>
          </w:p>
        </w:tc>
        <w:tc>
          <w:tcPr>
            <w:tcW w:w="3300" w:type="dxa"/>
            <w:vAlign w:val="bottom"/>
          </w:tcPr>
          <w:p>
            <w:pPr>
              <w:ind w:left="140"/>
              <w:spacing w:after="0"/>
              <w:rPr>
                <w:sz w:val="20"/>
                <w:szCs w:val="20"/>
                <w:color w:val="auto"/>
              </w:rPr>
            </w:pPr>
            <w:r>
              <w:rPr>
                <w:rFonts w:ascii="Arial" w:cs="Arial" w:eastAsia="Arial" w:hAnsi="Arial"/>
                <w:sz w:val="18"/>
                <w:szCs w:val="18"/>
                <w:color w:val="auto"/>
                <w:strike w:val="1"/>
                <w:w w:val="92"/>
              </w:rPr>
              <w:t>Excess Liability is provided limits in excess</w:t>
            </w:r>
          </w:p>
        </w:tc>
      </w:t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strike w:val="1"/>
              </w:rPr>
              <w:t>(No Terrorism)</w:t>
            </w:r>
          </w:p>
        </w:tc>
        <w:tc>
          <w:tcPr>
            <w:tcW w:w="1480" w:type="dxa"/>
            <w:vAlign w:val="bottom"/>
          </w:tcPr>
          <w:p>
            <w:pPr>
              <w:ind w:left="120"/>
              <w:spacing w:after="0"/>
              <w:rPr>
                <w:sz w:val="20"/>
                <w:szCs w:val="20"/>
                <w:color w:val="auto"/>
              </w:rPr>
            </w:pPr>
            <w:r>
              <w:rPr>
                <w:rFonts w:ascii="Arial" w:cs="Arial" w:eastAsia="Arial" w:hAnsi="Arial"/>
                <w:sz w:val="18"/>
                <w:szCs w:val="18"/>
                <w:color w:val="auto"/>
                <w:strike w:val="1"/>
                <w:w w:val="99"/>
              </w:rPr>
              <w:t>dated 29-Dec-14</w:t>
            </w: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of the underlying umbrella policy.</w:t>
            </w:r>
          </w:p>
        </w:tc>
      </w:tr>
      <w:tr>
        <w:trPr>
          <w:trHeight w:val="522"/>
        </w:trPr>
        <w:tc>
          <w:tcPr>
            <w:tcW w:w="3540" w:type="dxa"/>
            <w:vAlign w:val="bottom"/>
          </w:tcPr>
          <w:p>
            <w:pPr>
              <w:spacing w:after="0"/>
              <w:rPr>
                <w:sz w:val="20"/>
                <w:szCs w:val="20"/>
                <w:color w:val="auto"/>
              </w:rPr>
            </w:pPr>
            <w:r>
              <w:rPr>
                <w:rFonts w:ascii="Arial" w:cs="Arial" w:eastAsia="Arial" w:hAnsi="Arial"/>
                <w:sz w:val="18"/>
                <w:szCs w:val="18"/>
                <w:b w:val="1"/>
                <w:bCs w:val="1"/>
                <w:color w:val="auto"/>
                <w:strike w:val="1"/>
              </w:rPr>
              <w:t>6. Product liability, Product Guarantee,</w:t>
            </w:r>
          </w:p>
        </w:tc>
        <w:tc>
          <w:tcPr>
            <w:tcW w:w="1480" w:type="dxa"/>
            <w:vAlign w:val="bottom"/>
          </w:tcPr>
          <w:p>
            <w:pPr>
              <w:ind w:left="120"/>
              <w:spacing w:after="0"/>
              <w:rPr>
                <w:sz w:val="20"/>
                <w:szCs w:val="20"/>
                <w:color w:val="auto"/>
              </w:rPr>
            </w:pPr>
            <w:r>
              <w:rPr>
                <w:rFonts w:ascii="Arial" w:cs="Arial" w:eastAsia="Arial" w:hAnsi="Arial"/>
                <w:sz w:val="18"/>
                <w:szCs w:val="18"/>
                <w:color w:val="auto"/>
                <w:strike w:val="1"/>
              </w:rPr>
              <w:t>Cover Note</w:t>
            </w: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Product liability, Product Guarantee,</w:t>
            </w:r>
          </w:p>
        </w:tc>
      </w:t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strike w:val="1"/>
                <w:w w:val="98"/>
              </w:rPr>
              <w:t>Financial Loss and Product Recall—Valeo</w:t>
            </w:r>
          </w:p>
        </w:tc>
        <w:tc>
          <w:tcPr>
            <w:tcW w:w="1480" w:type="dxa"/>
            <w:vAlign w:val="bottom"/>
          </w:tcPr>
          <w:p>
            <w:pPr>
              <w:ind w:left="120"/>
              <w:spacing w:after="0"/>
              <w:rPr>
                <w:sz w:val="20"/>
                <w:szCs w:val="20"/>
                <w:color w:val="auto"/>
              </w:rPr>
            </w:pPr>
            <w:r>
              <w:rPr>
                <w:rFonts w:ascii="Arial" w:cs="Arial" w:eastAsia="Arial" w:hAnsi="Arial"/>
                <w:sz w:val="18"/>
                <w:szCs w:val="18"/>
                <w:color w:val="auto"/>
                <w:strike w:val="1"/>
              </w:rPr>
              <w:t>no.PC196/2014</w:t>
            </w: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Financial Loss and Product Recall.</w:t>
            </w:r>
          </w:p>
        </w:tc>
      </w:tr>
      <w:tr>
        <w:trPr>
          <w:trHeight w:val="522"/>
        </w:trPr>
        <w:tc>
          <w:tcPr>
            <w:tcW w:w="3540" w:type="dxa"/>
            <w:vAlign w:val="bottom"/>
          </w:tcPr>
          <w:p>
            <w:pPr>
              <w:spacing w:after="0"/>
              <w:rPr>
                <w:sz w:val="20"/>
                <w:szCs w:val="20"/>
                <w:color w:val="auto"/>
              </w:rPr>
            </w:pPr>
            <w:r>
              <w:rPr>
                <w:rFonts w:ascii="Arial" w:cs="Arial" w:eastAsia="Arial" w:hAnsi="Arial"/>
                <w:sz w:val="18"/>
                <w:szCs w:val="18"/>
                <w:b w:val="1"/>
                <w:bCs w:val="1"/>
                <w:color w:val="auto"/>
                <w:strike w:val="1"/>
              </w:rPr>
              <w:t>7. Product liability, Product Guarantee,</w:t>
            </w:r>
          </w:p>
        </w:tc>
        <w:tc>
          <w:tcPr>
            <w:tcW w:w="1480" w:type="dxa"/>
            <w:vAlign w:val="bottom"/>
          </w:tcPr>
          <w:p>
            <w:pPr>
              <w:ind w:left="120"/>
              <w:spacing w:after="0"/>
              <w:rPr>
                <w:sz w:val="20"/>
                <w:szCs w:val="20"/>
                <w:color w:val="auto"/>
              </w:rPr>
            </w:pPr>
            <w:r>
              <w:rPr>
                <w:rFonts w:ascii="Arial" w:cs="Arial" w:eastAsia="Arial" w:hAnsi="Arial"/>
                <w:sz w:val="18"/>
                <w:szCs w:val="18"/>
                <w:color w:val="auto"/>
                <w:strike w:val="1"/>
              </w:rPr>
              <w:t>Cover Note</w:t>
            </w: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Product liability, Product Guarantee,</w:t>
            </w:r>
          </w:p>
        </w:tc>
      </w:t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strike w:val="1"/>
                <w:w w:val="94"/>
              </w:rPr>
              <w:t>Financial Loss and Product Recall—Cooper</w:t>
            </w:r>
          </w:p>
        </w:tc>
        <w:tc>
          <w:tcPr>
            <w:tcW w:w="1480" w:type="dxa"/>
            <w:vAlign w:val="bottom"/>
          </w:tcPr>
          <w:p>
            <w:pPr>
              <w:ind w:left="120"/>
              <w:spacing w:after="0"/>
              <w:rPr>
                <w:sz w:val="20"/>
                <w:szCs w:val="20"/>
                <w:color w:val="auto"/>
              </w:rPr>
            </w:pPr>
            <w:r>
              <w:rPr>
                <w:rFonts w:ascii="Arial" w:cs="Arial" w:eastAsia="Arial" w:hAnsi="Arial"/>
                <w:sz w:val="18"/>
                <w:szCs w:val="18"/>
                <w:color w:val="auto"/>
                <w:strike w:val="1"/>
              </w:rPr>
              <w:t>no.PC196/2014</w:t>
            </w:r>
          </w:p>
        </w:tc>
        <w:tc>
          <w:tcPr>
            <w:tcW w:w="3300" w:type="dxa"/>
            <w:vAlign w:val="bottom"/>
          </w:tcPr>
          <w:p>
            <w:pPr>
              <w:ind w:left="140"/>
              <w:spacing w:after="0"/>
              <w:rPr>
                <w:sz w:val="20"/>
                <w:szCs w:val="20"/>
                <w:color w:val="auto"/>
              </w:rPr>
            </w:pPr>
            <w:r>
              <w:rPr>
                <w:rFonts w:ascii="Arial" w:cs="Arial" w:eastAsia="Arial" w:hAnsi="Arial"/>
                <w:sz w:val="18"/>
                <w:szCs w:val="18"/>
                <w:color w:val="auto"/>
                <w:strike w:val="1"/>
              </w:rPr>
              <w:t>Financial Loss and Product Recall.</w:t>
            </w:r>
          </w:p>
        </w:tc>
      </w:tr>
    </w:tbl>
    <w:p>
      <w:pPr>
        <w:spacing w:after="0" w:line="20" w:lineRule="exact"/>
        <w:rPr>
          <w:sz w:val="20"/>
          <w:szCs w:val="20"/>
          <w:color w:val="auto"/>
        </w:rPr>
      </w:pPr>
      <w:r>
        <w:rPr>
          <w:sz w:val="20"/>
          <w:szCs w:val="20"/>
          <w:color w:val="auto"/>
        </w:rPr>
        <w:br w:type="column"/>
      </w:r>
    </w:p>
    <w:p>
      <w:pPr>
        <w:ind w:left="220"/>
        <w:spacing w:after="0"/>
        <w:tabs>
          <w:tab w:leader="none" w:pos="1620" w:val="left"/>
        </w:tabs>
        <w:rPr>
          <w:sz w:val="20"/>
          <w:szCs w:val="20"/>
          <w:color w:val="auto"/>
        </w:rPr>
      </w:pPr>
      <w:r>
        <w:rPr>
          <w:rFonts w:ascii="Arial" w:cs="Arial" w:eastAsia="Arial" w:hAnsi="Arial"/>
          <w:sz w:val="14"/>
          <w:szCs w:val="14"/>
          <w:b w:val="1"/>
          <w:bCs w:val="1"/>
          <w:color w:val="auto"/>
          <w:strike w:val="1"/>
        </w:rPr>
        <w:t>Policy</w:t>
      </w:r>
      <w:r>
        <w:rPr>
          <w:sz w:val="20"/>
          <w:szCs w:val="20"/>
          <w:color w:val="auto"/>
        </w:rPr>
        <w:tab/>
      </w:r>
      <w:r>
        <w:rPr>
          <w:rFonts w:ascii="Arial" w:cs="Arial" w:eastAsia="Arial" w:hAnsi="Arial"/>
          <w:sz w:val="14"/>
          <w:szCs w:val="14"/>
          <w:b w:val="1"/>
          <w:bCs w:val="1"/>
          <w:color w:val="auto"/>
          <w:strike w:val="1"/>
        </w:rPr>
        <w:t>Coverage</w:t>
      </w:r>
    </w:p>
    <w:p>
      <w:pPr>
        <w:spacing w:after="0" w:line="4"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4"/>
          <w:szCs w:val="14"/>
          <w:b w:val="1"/>
          <w:bCs w:val="1"/>
          <w:color w:val="auto"/>
          <w:strike w:val="1"/>
        </w:rPr>
        <w:t>Period</w:t>
      </w:r>
      <w:r>
        <w:rPr>
          <w:sz w:val="20"/>
          <w:szCs w:val="20"/>
          <w:color w:val="auto"/>
        </w:rPr>
        <w:tab/>
      </w:r>
      <w:r>
        <w:rPr>
          <w:rFonts w:ascii="Arial" w:cs="Arial" w:eastAsia="Arial" w:hAnsi="Arial"/>
          <w:sz w:val="14"/>
          <w:szCs w:val="14"/>
          <w:b w:val="1"/>
          <w:bCs w:val="1"/>
          <w:color w:val="auto"/>
          <w:strike w:val="1"/>
        </w:rPr>
        <w:t>Amount ($M)</w:t>
      </w:r>
    </w:p>
    <w:p>
      <w:pPr>
        <w:spacing w:after="0" w:line="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strike w:val="1"/>
        </w:rPr>
        <w:t>1-Jan-15</w:t>
      </w:r>
      <w:r>
        <w:rPr>
          <w:sz w:val="20"/>
          <w:szCs w:val="20"/>
          <w:color w:val="auto"/>
        </w:rPr>
        <w:tab/>
      </w:r>
      <w:r>
        <w:rPr>
          <w:rFonts w:ascii="Arial" w:cs="Arial" w:eastAsia="Arial" w:hAnsi="Arial"/>
          <w:sz w:val="15"/>
          <w:szCs w:val="15"/>
          <w:color w:val="auto"/>
          <w:strike w:val="1"/>
        </w:rPr>
        <w:t>$1.0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strike w:val="1"/>
        </w:rPr>
        <w:t>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1-Jan-16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strike w:val="1"/>
        </w:rPr>
        <w:t>1-Jan-15</w:t>
      </w:r>
      <w:r>
        <w:rPr>
          <w:sz w:val="20"/>
          <w:szCs w:val="20"/>
          <w:color w:val="auto"/>
        </w:rPr>
        <w:tab/>
      </w:r>
      <w:r>
        <w:rPr>
          <w:rFonts w:ascii="Arial" w:cs="Arial" w:eastAsia="Arial" w:hAnsi="Arial"/>
          <w:sz w:val="16"/>
          <w:szCs w:val="16"/>
          <w:color w:val="auto"/>
          <w:strike w:val="1"/>
        </w:rPr>
        <w:t>Included in the General</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strike w:val="1"/>
        </w:rPr>
        <w:t>to</w:t>
      </w:r>
      <w:r>
        <w:rPr>
          <w:sz w:val="20"/>
          <w:szCs w:val="20"/>
          <w:color w:val="auto"/>
        </w:rPr>
        <w:tab/>
      </w:r>
      <w:r>
        <w:rPr>
          <w:rFonts w:ascii="Arial" w:cs="Arial" w:eastAsia="Arial" w:hAnsi="Arial"/>
          <w:sz w:val="18"/>
          <w:szCs w:val="18"/>
          <w:color w:val="auto"/>
          <w:strike w:val="1"/>
        </w:rPr>
        <w:t>Liability Limit.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1-Jan-16</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strike w:val="1"/>
              </w:rPr>
              <w:t>1-Jan-15</w:t>
            </w:r>
          </w:p>
        </w:tc>
        <w:tc>
          <w:tcPr>
            <w:tcW w:w="1860" w:type="dxa"/>
            <w:vAlign w:val="bottom"/>
          </w:tcPr>
          <w:p>
            <w:pPr>
              <w:jc w:val="center"/>
              <w:ind w:left="70"/>
              <w:spacing w:after="0"/>
              <w:rPr>
                <w:sz w:val="20"/>
                <w:szCs w:val="20"/>
                <w:color w:val="auto"/>
              </w:rPr>
            </w:pPr>
            <w:r>
              <w:rPr>
                <w:rFonts w:ascii="Arial" w:cs="Arial" w:eastAsia="Arial" w:hAnsi="Arial"/>
                <w:sz w:val="18"/>
                <w:szCs w:val="18"/>
                <w:color w:val="auto"/>
                <w:strike w:val="1"/>
                <w:w w:val="91"/>
              </w:rPr>
              <w:t>Included in the General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strike w:val="1"/>
              </w:rPr>
              <w:t>to</w:t>
            </w:r>
          </w:p>
        </w:tc>
        <w:tc>
          <w:tcPr>
            <w:tcW w:w="1860" w:type="dxa"/>
            <w:vAlign w:val="bottom"/>
          </w:tcPr>
          <w:p>
            <w:pPr>
              <w:jc w:val="center"/>
              <w:ind w:left="70"/>
              <w:spacing w:after="0"/>
              <w:rPr>
                <w:sz w:val="20"/>
                <w:szCs w:val="20"/>
                <w:color w:val="auto"/>
              </w:rPr>
            </w:pPr>
            <w:r>
              <w:rPr>
                <w:rFonts w:ascii="Arial" w:cs="Arial" w:eastAsia="Arial" w:hAnsi="Arial"/>
                <w:sz w:val="18"/>
                <w:szCs w:val="18"/>
                <w:color w:val="auto"/>
                <w:strike w:val="1"/>
              </w:rPr>
              <w:t>Liability Limit.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strike w:val="1"/>
              </w:rPr>
              <w:t>1-Jan-16</w:t>
            </w:r>
          </w:p>
        </w:tc>
        <w:tc>
          <w:tcPr>
            <w:tcW w:w="1860" w:type="dxa"/>
            <w:vAlign w:val="bottom"/>
          </w:tcPr>
          <w:p>
            <w:pPr>
              <w:spacing w:after="0"/>
              <w:rPr>
                <w:sz w:val="20"/>
                <w:szCs w:val="20"/>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strike w:val="1"/>
              </w:rPr>
              <w:t>1-Jan-15</w:t>
            </w:r>
          </w:p>
        </w:tc>
        <w:tc>
          <w:tcPr>
            <w:tcW w:w="1860" w:type="dxa"/>
            <w:vAlign w:val="bottom"/>
          </w:tcPr>
          <w:p>
            <w:pPr>
              <w:jc w:val="center"/>
              <w:ind w:left="70"/>
              <w:spacing w:after="0"/>
              <w:rPr>
                <w:sz w:val="20"/>
                <w:szCs w:val="20"/>
                <w:color w:val="auto"/>
              </w:rPr>
            </w:pPr>
            <w:r>
              <w:rPr>
                <w:rFonts w:ascii="Arial" w:cs="Arial" w:eastAsia="Arial" w:hAnsi="Arial"/>
                <w:sz w:val="18"/>
                <w:szCs w:val="18"/>
                <w:color w:val="auto"/>
                <w:strike w:val="1"/>
                <w:w w:val="85"/>
              </w:rPr>
              <w:t>$7.3</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strike w:val="1"/>
              </w:rPr>
              <w:t>to</w:t>
            </w:r>
          </w:p>
        </w:tc>
        <w:tc>
          <w:tcPr>
            <w:tcW w:w="18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strike w:val="1"/>
              </w:rPr>
              <w:t>31-Dec-15</w:t>
            </w:r>
          </w:p>
        </w:tc>
        <w:tc>
          <w:tcPr>
            <w:tcW w:w="1860" w:type="dxa"/>
            <w:vAlign w:val="bottom"/>
          </w:tcPr>
          <w:p>
            <w:pPr>
              <w:spacing w:after="0"/>
              <w:rPr>
                <w:sz w:val="20"/>
                <w:szCs w:val="20"/>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strike w:val="1"/>
              </w:rPr>
              <w:t>31-Dec-14</w:t>
            </w:r>
          </w:p>
        </w:tc>
        <w:tc>
          <w:tcPr>
            <w:tcW w:w="1860" w:type="dxa"/>
            <w:vAlign w:val="bottom"/>
          </w:tcPr>
          <w:p>
            <w:pPr>
              <w:jc w:val="center"/>
              <w:ind w:left="70"/>
              <w:spacing w:after="0"/>
              <w:rPr>
                <w:sz w:val="20"/>
                <w:szCs w:val="20"/>
                <w:color w:val="auto"/>
              </w:rPr>
            </w:pPr>
            <w:r>
              <w:rPr>
                <w:rFonts w:ascii="Arial" w:cs="Arial" w:eastAsia="Arial" w:hAnsi="Arial"/>
                <w:sz w:val="18"/>
                <w:szCs w:val="18"/>
                <w:color w:val="auto"/>
                <w:strike w:val="1"/>
                <w:w w:val="85"/>
              </w:rPr>
              <w:t>$6.1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strike w:val="1"/>
              </w:rPr>
              <w:t>to</w:t>
            </w:r>
          </w:p>
        </w:tc>
        <w:tc>
          <w:tcPr>
            <w:tcW w:w="18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strike w:val="1"/>
              </w:rPr>
              <w:t>31-Dec-15</w:t>
            </w:r>
          </w:p>
        </w:tc>
        <w:tc>
          <w:tcPr>
            <w:tcW w:w="1860" w:type="dxa"/>
            <w:vAlign w:val="bottom"/>
          </w:tcPr>
          <w:p>
            <w:pPr>
              <w:spacing w:after="0"/>
              <w:rPr>
                <w:sz w:val="20"/>
                <w:szCs w:val="20"/>
                <w:color w:val="auto"/>
              </w:rPr>
            </w:pPr>
          </w:p>
        </w:tc>
      </w:tr>
    </w:tbl>
    <w:p>
      <w:pPr>
        <w:sectPr>
          <w:pgSz w:w="11900" w:h="16838" w:orient="portrait"/>
          <w:cols w:equalWidth="0" w:num="2">
            <w:col w:w="8320" w:space="260"/>
            <w:col w:w="2780"/>
          </w:cols>
          <w:pgMar w:left="240" w:top="253" w:right="299" w:bottom="1440" w:gutter="0" w:footer="0" w:header="0"/>
        </w:sectPr>
      </w:pPr>
    </w:p>
    <w:bookmarkStart w:id="147" w:name="page148"/>
    <w:bookmarkEnd w:id="147"/>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strike w:val="1"/>
        </w:rPr>
        <w:t>Type of Insurance</w:t>
      </w:r>
    </w:p>
    <w:p>
      <w:pPr>
        <w:spacing w:after="0" w:line="12" w:lineRule="exact"/>
        <w:rPr>
          <w:sz w:val="20"/>
          <w:szCs w:val="20"/>
          <w:color w:val="auto"/>
        </w:rPr>
      </w:pPr>
    </w:p>
    <w:p>
      <w:pPr>
        <w:ind w:firstLine="8"/>
        <w:spacing w:after="0" w:line="321" w:lineRule="auto"/>
        <w:tabs>
          <w:tab w:leader="none" w:pos="180" w:val="left"/>
        </w:tabs>
        <w:numPr>
          <w:ilvl w:val="0"/>
          <w:numId w:val="184"/>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Directors and Officers Liability and Company Reimbursement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1. Property all risk insurance</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Arial" w:cs="Arial" w:eastAsia="Arial" w:hAnsi="Arial"/>
          <w:sz w:val="14"/>
          <w:szCs w:val="14"/>
          <w:b w:val="1"/>
          <w:bCs w:val="1"/>
          <w:color w:val="auto"/>
          <w:strike w:val="1"/>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-181610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320"/>
        <w:spacing w:after="0" w:line="226" w:lineRule="auto"/>
        <w:rPr>
          <w:sz w:val="20"/>
          <w:szCs w:val="20"/>
          <w:color w:val="auto"/>
        </w:rPr>
      </w:pPr>
      <w:r>
        <w:rPr>
          <w:rFonts w:ascii="Arial" w:cs="Arial" w:eastAsia="Arial" w:hAnsi="Arial"/>
          <w:sz w:val="14"/>
          <w:szCs w:val="14"/>
          <w:b w:val="1"/>
          <w:bCs w:val="1"/>
          <w:color w:val="auto"/>
          <w:strike w:val="1"/>
        </w:rPr>
        <w:t>policy</w:t>
      </w:r>
    </w:p>
    <w:p>
      <w:pPr>
        <w:spacing w:after="0" w:line="1" w:lineRule="exact"/>
        <w:rPr>
          <w:sz w:val="20"/>
          <w:szCs w:val="20"/>
          <w:color w:val="auto"/>
        </w:rPr>
      </w:pPr>
    </w:p>
    <w:p>
      <w:pPr>
        <w:ind w:left="380"/>
        <w:spacing w:after="0"/>
        <w:tabs>
          <w:tab w:leader="none" w:pos="2520" w:val="left"/>
        </w:tabs>
        <w:rPr>
          <w:sz w:val="20"/>
          <w:szCs w:val="20"/>
          <w:color w:val="auto"/>
        </w:rPr>
      </w:pPr>
      <w:r>
        <w:rPr>
          <w:rFonts w:ascii="Arial" w:cs="Arial" w:eastAsia="Arial" w:hAnsi="Arial"/>
          <w:sz w:val="14"/>
          <w:szCs w:val="14"/>
          <w:b w:val="1"/>
          <w:bCs w:val="1"/>
          <w:color w:val="auto"/>
          <w:strike w:val="1"/>
        </w:rPr>
        <w:t>number</w:t>
      </w:r>
      <w:r>
        <w:rPr>
          <w:sz w:val="20"/>
          <w:szCs w:val="20"/>
          <w:color w:val="auto"/>
        </w:rPr>
        <w:tab/>
      </w:r>
      <w:r>
        <w:rPr>
          <w:rFonts w:ascii="Arial" w:cs="Arial" w:eastAsia="Arial" w:hAnsi="Arial"/>
          <w:sz w:val="14"/>
          <w:szCs w:val="14"/>
          <w:b w:val="1"/>
          <w:bCs w:val="1"/>
          <w:color w:val="auto"/>
          <w:strike w:val="1"/>
        </w:rPr>
        <w:t>Coverage Detail</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strike w:val="1"/>
        </w:rPr>
        <w:t>Cover Note</w:t>
      </w:r>
      <w:r>
        <w:rPr>
          <w:sz w:val="20"/>
          <w:szCs w:val="20"/>
          <w:color w:val="auto"/>
        </w:rPr>
        <w:tab/>
      </w:r>
      <w:r>
        <w:rPr>
          <w:rFonts w:ascii="Arial" w:cs="Arial" w:eastAsia="Arial" w:hAnsi="Arial"/>
          <w:sz w:val="17"/>
          <w:szCs w:val="17"/>
          <w:color w:val="auto"/>
          <w:strike w:val="1"/>
        </w:rPr>
        <w:t>Directors’ &amp; Officers’ (D&amp;O) Liability</w:t>
      </w:r>
    </w:p>
    <w:p>
      <w:pPr>
        <w:spacing w:after="0" w:line="7"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strike w:val="1"/>
        </w:rPr>
        <w:t>No.2768521400</w:t>
      </w:r>
      <w:r>
        <w:rPr>
          <w:sz w:val="20"/>
          <w:szCs w:val="20"/>
          <w:color w:val="auto"/>
        </w:rPr>
        <w:tab/>
      </w:r>
      <w:r>
        <w:rPr>
          <w:rFonts w:ascii="Arial" w:cs="Arial" w:eastAsia="Arial" w:hAnsi="Arial"/>
          <w:sz w:val="16"/>
          <w:szCs w:val="16"/>
          <w:color w:val="auto"/>
          <w:strike w:val="1"/>
        </w:rPr>
        <w:t>insurance provides financial protection for</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7"/>
          <w:szCs w:val="17"/>
          <w:color w:val="auto"/>
          <w:strike w:val="1"/>
        </w:rPr>
        <w:t>the directors and officers of company in</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8"/>
          <w:szCs w:val="18"/>
          <w:color w:val="auto"/>
          <w:strike w:val="1"/>
        </w:rPr>
        <w:t>the event they are sued in conjunction</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strike w:val="1"/>
        </w:rPr>
        <w:t>with the performance of their duties for</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strike w:val="1"/>
        </w:rPr>
        <w:t>Fabrinet. Directors and officers are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strike w:val="1"/>
        </w:rPr>
        <w:t>personally liable for their duties. D&amp;O</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7"/>
          <w:szCs w:val="17"/>
          <w:color w:val="auto"/>
          <w:strike w:val="1"/>
        </w:rPr>
        <w:t>insurance provides coverage for claims</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8"/>
          <w:szCs w:val="18"/>
          <w:color w:val="auto"/>
          <w:strike w:val="1"/>
        </w:rPr>
        <w:t>alleged by interests including</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strike w:val="1"/>
        </w:rPr>
        <w:t>stockholders, employees, regulators,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strike w:val="1"/>
        </w:rPr>
        <w:t>debtors and clients.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strike w:val="1"/>
        </w:rPr>
        <w:t>Insurance CASIX—China Pacific Insurance</w:t>
      </w:r>
    </w:p>
    <w:p>
      <w:pPr>
        <w:spacing w:after="0" w:line="121"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strike w:val="1"/>
        </w:rPr>
        <w:t>Insurance</w:t>
      </w:r>
      <w:r>
        <w:rPr>
          <w:sz w:val="20"/>
          <w:szCs w:val="20"/>
          <w:color w:val="auto"/>
        </w:rPr>
        <w:tab/>
      </w:r>
      <w:r>
        <w:rPr>
          <w:rFonts w:ascii="Arial" w:cs="Arial" w:eastAsia="Arial" w:hAnsi="Arial"/>
          <w:sz w:val="16"/>
          <w:szCs w:val="16"/>
          <w:color w:val="auto"/>
          <w:strike w:val="1"/>
        </w:rPr>
        <w:t>All tangible assets including inventory and</w:t>
      </w:r>
    </w:p>
    <w:p>
      <w:pPr>
        <w:spacing w:after="0" w:line="4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strike w:val="1"/>
        </w:rPr>
        <w:t>company name :</w:t>
      </w:r>
      <w:r>
        <w:rPr>
          <w:sz w:val="20"/>
          <w:szCs w:val="20"/>
          <w:color w:val="auto"/>
        </w:rPr>
        <w:tab/>
      </w:r>
      <w:r>
        <w:rPr>
          <w:rFonts w:ascii="Arial" w:cs="Arial" w:eastAsia="Arial" w:hAnsi="Arial"/>
          <w:sz w:val="16"/>
          <w:szCs w:val="16"/>
          <w:color w:val="auto"/>
          <w:strike w:val="1"/>
        </w:rPr>
        <w:t>fixed assets. It insures for direct loss</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strike w:val="1"/>
        </w:rPr>
        <w:t>China Pacific</w:t>
      </w:r>
      <w:r>
        <w:rPr>
          <w:sz w:val="20"/>
          <w:szCs w:val="20"/>
          <w:color w:val="auto"/>
        </w:rPr>
        <w:tab/>
      </w:r>
      <w:r>
        <w:rPr>
          <w:rFonts w:ascii="Arial" w:cs="Arial" w:eastAsia="Arial" w:hAnsi="Arial"/>
          <w:sz w:val="16"/>
          <w:szCs w:val="16"/>
          <w:color w:val="auto"/>
          <w:strike w:val="1"/>
        </w:rPr>
        <w:t>caused by natural disaster or accident.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Insurance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ind w:left="320"/>
              <w:spacing w:after="0"/>
              <w:rPr>
                <w:sz w:val="20"/>
                <w:szCs w:val="20"/>
                <w:color w:val="auto"/>
              </w:rPr>
            </w:pPr>
            <w:r>
              <w:rPr>
                <w:rFonts w:ascii="Arial" w:cs="Arial" w:eastAsia="Arial" w:hAnsi="Arial"/>
                <w:sz w:val="14"/>
                <w:szCs w:val="14"/>
                <w:b w:val="1"/>
                <w:bCs w:val="1"/>
                <w:color w:val="auto"/>
                <w:strike w:val="1"/>
              </w:rPr>
              <w:t>Policy</w:t>
            </w:r>
          </w:p>
        </w:tc>
        <w:tc>
          <w:tcPr>
            <w:tcW w:w="1260" w:type="dxa"/>
            <w:vAlign w:val="bottom"/>
          </w:tcPr>
          <w:p>
            <w:pPr>
              <w:jc w:val="center"/>
              <w:ind w:left="322"/>
              <w:spacing w:after="0"/>
              <w:rPr>
                <w:sz w:val="20"/>
                <w:szCs w:val="20"/>
                <w:color w:val="auto"/>
              </w:rPr>
            </w:pPr>
            <w:r>
              <w:rPr>
                <w:rFonts w:ascii="Arial" w:cs="Arial" w:eastAsia="Arial" w:hAnsi="Arial"/>
                <w:sz w:val="14"/>
                <w:szCs w:val="14"/>
                <w:b w:val="1"/>
                <w:bCs w:val="1"/>
                <w:color w:val="auto"/>
                <w:strike w:val="1"/>
                <w:w w:val="90"/>
              </w:rPr>
              <w:t>Coverage</w:t>
            </w:r>
          </w:p>
        </w:tc>
      </w:tr>
      <w:tr>
        <w:trPr>
          <w:trHeight w:val="170"/>
        </w:trPr>
        <w:tc>
          <w:tcPr>
            <w:tcW w:w="1320" w:type="dxa"/>
            <w:vAlign w:val="bottom"/>
          </w:tcPr>
          <w:p>
            <w:pPr>
              <w:ind w:left="300"/>
              <w:spacing w:after="0"/>
              <w:rPr>
                <w:sz w:val="20"/>
                <w:szCs w:val="20"/>
                <w:color w:val="auto"/>
              </w:rPr>
            </w:pPr>
            <w:r>
              <w:rPr>
                <w:rFonts w:ascii="Arial" w:cs="Arial" w:eastAsia="Arial" w:hAnsi="Arial"/>
                <w:sz w:val="14"/>
                <w:szCs w:val="14"/>
                <w:b w:val="1"/>
                <w:bCs w:val="1"/>
                <w:color w:val="auto"/>
                <w:strike w:val="1"/>
              </w:rPr>
              <w:t>Period</w:t>
            </w:r>
          </w:p>
        </w:tc>
        <w:tc>
          <w:tcPr>
            <w:tcW w:w="1260" w:type="dxa"/>
            <w:vAlign w:val="bottom"/>
          </w:tcPr>
          <w:p>
            <w:pPr>
              <w:jc w:val="center"/>
              <w:ind w:left="322"/>
              <w:spacing w:after="0"/>
              <w:rPr>
                <w:sz w:val="20"/>
                <w:szCs w:val="20"/>
                <w:color w:val="auto"/>
              </w:rPr>
            </w:pPr>
            <w:r>
              <w:rPr>
                <w:rFonts w:ascii="Arial" w:cs="Arial" w:eastAsia="Arial" w:hAnsi="Arial"/>
                <w:sz w:val="14"/>
                <w:szCs w:val="14"/>
                <w:b w:val="1"/>
                <w:bCs w:val="1"/>
                <w:color w:val="auto"/>
                <w:strike w:val="1"/>
              </w:rPr>
              <w:t>Amount ($M)</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strike w:val="1"/>
              </w:rPr>
              <w:t>25-Jun-14 to</w:t>
            </w:r>
          </w:p>
        </w:tc>
        <w:tc>
          <w:tcPr>
            <w:tcW w:w="1260" w:type="dxa"/>
            <w:vAlign w:val="bottom"/>
          </w:tcPr>
          <w:p>
            <w:pPr>
              <w:jc w:val="center"/>
              <w:ind w:left="322"/>
              <w:spacing w:after="0"/>
              <w:rPr>
                <w:sz w:val="20"/>
                <w:szCs w:val="20"/>
                <w:color w:val="auto"/>
              </w:rPr>
            </w:pPr>
            <w:r>
              <w:rPr>
                <w:rFonts w:ascii="Arial" w:cs="Arial" w:eastAsia="Arial" w:hAnsi="Arial"/>
                <w:sz w:val="18"/>
                <w:szCs w:val="18"/>
                <w:color w:val="auto"/>
                <w:strike w:val="1"/>
                <w:w w:val="93"/>
              </w:rPr>
              <w:t>$30.0</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strike w:val="1"/>
              </w:rPr>
              <w:t>25-Dec-15</w:t>
            </w:r>
          </w:p>
        </w:tc>
        <w:tc>
          <w:tcPr>
            <w:tcW w:w="12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strike w:val="1"/>
              </w:rPr>
              <w:t>25-Oct-2014</w:t>
            </w:r>
          </w:p>
        </w:tc>
        <w:tc>
          <w:tcPr>
            <w:tcW w:w="920" w:type="dxa"/>
            <w:vAlign w:val="bottom"/>
          </w:tcPr>
          <w:p>
            <w:pPr>
              <w:jc w:val="right"/>
              <w:spacing w:after="0"/>
              <w:rPr>
                <w:sz w:val="20"/>
                <w:szCs w:val="20"/>
                <w:color w:val="auto"/>
              </w:rPr>
            </w:pPr>
            <w:r>
              <w:rPr>
                <w:rFonts w:ascii="Arial" w:cs="Arial" w:eastAsia="Arial" w:hAnsi="Arial"/>
                <w:sz w:val="18"/>
                <w:szCs w:val="18"/>
                <w:color w:val="auto"/>
                <w:strike w:val="1"/>
              </w:rPr>
              <w:t>$32.0</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strike w:val="1"/>
              </w:rPr>
              <w:t>to 24-Oct-15</w:t>
            </w:r>
          </w:p>
        </w:tc>
        <w:tc>
          <w:tcPr>
            <w:tcW w:w="920" w:type="dxa"/>
            <w:vAlign w:val="bottom"/>
          </w:tcPr>
          <w:p>
            <w:pPr>
              <w:spacing w:after="0"/>
              <w:rPr>
                <w:sz w:val="20"/>
                <w:szCs w:val="20"/>
                <w:color w:val="auto"/>
              </w:rPr>
            </w:pPr>
          </w:p>
        </w:tc>
      </w:tr>
    </w:tbl>
    <w:p>
      <w:pPr>
        <w:sectPr>
          <w:pgSz w:w="11900" w:h="16838" w:orient="portrait"/>
          <w:cols w:equalWidth="0" w:num="3">
            <w:col w:w="2940" w:space="620"/>
            <w:col w:w="4580" w:space="220"/>
            <w:col w:w="2580"/>
          </w:cols>
          <w:pgMar w:left="240" w:top="265" w:right="7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5.19(a)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strike w:val="1"/>
        </w:rPr>
        <w:t>Subsidiaries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40" w:type="dxa"/>
            <w:vAlign w:val="bottom"/>
            <w:vMerge w:val="restart"/>
          </w:tcPr>
          <w:p>
            <w:pPr>
              <w:ind w:left="680"/>
              <w:spacing w:after="0"/>
              <w:rPr>
                <w:sz w:val="20"/>
                <w:szCs w:val="20"/>
                <w:color w:val="auto"/>
              </w:rPr>
            </w:pPr>
            <w:r>
              <w:rPr>
                <w:rFonts w:ascii="Arial" w:cs="Arial" w:eastAsia="Arial" w:hAnsi="Arial"/>
                <w:sz w:val="14"/>
                <w:szCs w:val="14"/>
                <w:b w:val="1"/>
                <w:bCs w:val="1"/>
                <w:color w:val="auto"/>
                <w:strike w:val="1"/>
              </w:rPr>
              <w:t>Number of</w:t>
            </w:r>
          </w:p>
        </w:tc>
        <w:tc>
          <w:tcPr>
            <w:tcW w:w="2420" w:type="dxa"/>
            <w:vAlign w:val="bottom"/>
          </w:tcPr>
          <w:p>
            <w:pPr>
              <w:ind w:left="680"/>
              <w:spacing w:after="0"/>
              <w:rPr>
                <w:sz w:val="20"/>
                <w:szCs w:val="20"/>
                <w:color w:val="auto"/>
              </w:rPr>
            </w:pPr>
            <w:r>
              <w:rPr>
                <w:rFonts w:ascii="Arial" w:cs="Arial" w:eastAsia="Arial" w:hAnsi="Arial"/>
                <w:sz w:val="14"/>
                <w:szCs w:val="14"/>
                <w:b w:val="1"/>
                <w:bCs w:val="1"/>
                <w:color w:val="auto"/>
                <w:strike w:val="1"/>
              </w:rPr>
              <w:t>Percentage of</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24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strike w:val="1"/>
              </w:rPr>
              <w:t>Outstanding</w:t>
            </w:r>
          </w:p>
        </w:tc>
        <w:tc>
          <w:tcPr>
            <w:tcW w:w="1600" w:type="dxa"/>
            <w:vAlign w:val="bottom"/>
            <w:vMerge w:val="restart"/>
          </w:tcPr>
          <w:p>
            <w:pPr>
              <w:ind w:left="660"/>
              <w:spacing w:after="0"/>
              <w:rPr>
                <w:sz w:val="20"/>
                <w:szCs w:val="20"/>
                <w:color w:val="auto"/>
              </w:rPr>
            </w:pPr>
            <w:r>
              <w:rPr>
                <w:rFonts w:ascii="Arial" w:cs="Arial" w:eastAsia="Arial" w:hAnsi="Arial"/>
                <w:sz w:val="14"/>
                <w:szCs w:val="14"/>
                <w:b w:val="1"/>
                <w:bCs w:val="1"/>
                <w:color w:val="auto"/>
                <w:strike w:val="1"/>
                <w:w w:val="90"/>
              </w:rPr>
              <w:t>Class of Equity</w:t>
            </w:r>
          </w:p>
        </w:tc>
        <w:tc>
          <w:tcPr>
            <w:tcW w:w="0" w:type="dxa"/>
            <w:vAlign w:val="bottom"/>
          </w:tcPr>
          <w:p>
            <w:pPr>
              <w:spacing w:after="0"/>
              <w:rPr>
                <w:sz w:val="1"/>
                <w:szCs w:val="1"/>
                <w:color w:val="auto"/>
              </w:rPr>
            </w:pPr>
          </w:p>
        </w:tc>
      </w:tr>
      <w:tr>
        <w:trPr>
          <w:trHeight w:val="149"/>
        </w:trPr>
        <w:tc>
          <w:tcPr>
            <w:tcW w:w="31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strike w:val="1"/>
              </w:rPr>
              <w:t>Entity</w:t>
            </w:r>
          </w:p>
        </w:tc>
        <w:tc>
          <w:tcPr>
            <w:tcW w:w="2120" w:type="dxa"/>
            <w:vAlign w:val="bottom"/>
            <w:vMerge w:val="restart"/>
          </w:tcPr>
          <w:p>
            <w:pPr>
              <w:ind w:left="760"/>
              <w:spacing w:after="0"/>
              <w:rPr>
                <w:sz w:val="20"/>
                <w:szCs w:val="20"/>
                <w:color w:val="auto"/>
              </w:rPr>
            </w:pPr>
            <w:r>
              <w:rPr>
                <w:rFonts w:ascii="Arial" w:cs="Arial" w:eastAsia="Arial" w:hAnsi="Arial"/>
                <w:sz w:val="14"/>
                <w:szCs w:val="14"/>
                <w:b w:val="1"/>
                <w:bCs w:val="1"/>
                <w:color w:val="auto"/>
                <w:strike w:val="1"/>
              </w:rPr>
              <w:t>Owner</w:t>
            </w:r>
          </w:p>
        </w:tc>
        <w:tc>
          <w:tcPr>
            <w:tcW w:w="2140" w:type="dxa"/>
            <w:vAlign w:val="bottom"/>
          </w:tcPr>
          <w:p>
            <w:pPr>
              <w:ind w:left="680"/>
              <w:spacing w:after="0" w:line="149" w:lineRule="exact"/>
              <w:rPr>
                <w:sz w:val="20"/>
                <w:szCs w:val="20"/>
                <w:color w:val="auto"/>
              </w:rPr>
            </w:pPr>
            <w:r>
              <w:rPr>
                <w:rFonts w:ascii="Arial" w:cs="Arial" w:eastAsia="Arial" w:hAnsi="Arial"/>
                <w:sz w:val="14"/>
                <w:szCs w:val="14"/>
                <w:b w:val="1"/>
                <w:bCs w:val="1"/>
                <w:color w:val="auto"/>
                <w:strike w:val="1"/>
              </w:rPr>
              <w:t>Outstanding</w:t>
            </w:r>
          </w:p>
        </w:tc>
        <w:tc>
          <w:tcPr>
            <w:tcW w:w="24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strike w:val="1"/>
              </w:rPr>
              <w:t>Shares Owned by</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14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2140" w:type="dxa"/>
            <w:vAlign w:val="bottom"/>
          </w:tcPr>
          <w:p>
            <w:pPr>
              <w:ind w:left="680"/>
              <w:spacing w:after="0" w:line="157" w:lineRule="exact"/>
              <w:rPr>
                <w:sz w:val="20"/>
                <w:szCs w:val="20"/>
                <w:color w:val="auto"/>
              </w:rPr>
            </w:pPr>
            <w:r>
              <w:rPr>
                <w:rFonts w:ascii="Arial" w:cs="Arial" w:eastAsia="Arial" w:hAnsi="Arial"/>
                <w:sz w:val="14"/>
                <w:szCs w:val="14"/>
                <w:b w:val="1"/>
                <w:bCs w:val="1"/>
                <w:color w:val="auto"/>
                <w:strike w:val="1"/>
              </w:rPr>
              <w:t>Shares</w:t>
            </w:r>
          </w:p>
        </w:tc>
        <w:tc>
          <w:tcPr>
            <w:tcW w:w="2420" w:type="dxa"/>
            <w:vAlign w:val="bottom"/>
          </w:tcPr>
          <w:p>
            <w:pPr>
              <w:ind w:left="680"/>
              <w:spacing w:after="0" w:line="157" w:lineRule="exact"/>
              <w:rPr>
                <w:sz w:val="20"/>
                <w:szCs w:val="20"/>
                <w:color w:val="auto"/>
              </w:rPr>
            </w:pPr>
            <w:r>
              <w:rPr>
                <w:rFonts w:ascii="Arial" w:cs="Arial" w:eastAsia="Arial" w:hAnsi="Arial"/>
                <w:sz w:val="14"/>
                <w:szCs w:val="14"/>
                <w:b w:val="1"/>
                <w:bCs w:val="1"/>
                <w:color w:val="auto"/>
                <w:strike w:val="1"/>
              </w:rPr>
              <w:t>Loan Parties</w:t>
            </w:r>
          </w:p>
        </w:tc>
        <w:tc>
          <w:tcPr>
            <w:tcW w:w="1600" w:type="dxa"/>
            <w:vAlign w:val="bottom"/>
          </w:tcPr>
          <w:p>
            <w:pPr>
              <w:ind w:left="660"/>
              <w:spacing w:after="0" w:line="157" w:lineRule="exact"/>
              <w:rPr>
                <w:sz w:val="20"/>
                <w:szCs w:val="20"/>
                <w:color w:val="auto"/>
              </w:rPr>
            </w:pPr>
            <w:r>
              <w:rPr>
                <w:rFonts w:ascii="Arial" w:cs="Arial" w:eastAsia="Arial" w:hAnsi="Arial"/>
                <w:sz w:val="14"/>
                <w:szCs w:val="14"/>
                <w:b w:val="1"/>
                <w:bCs w:val="1"/>
                <w:color w:val="auto"/>
                <w:strike w:val="1"/>
              </w:rPr>
              <w:t>Interests</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strike w:val="1"/>
              </w:rPr>
              <w:t>Fabrinet Co., Ltd.</w:t>
            </w:r>
          </w:p>
        </w:tc>
        <w:tc>
          <w:tcPr>
            <w:tcW w:w="2120" w:type="dxa"/>
            <w:vAlign w:val="bottom"/>
          </w:tcPr>
          <w:p>
            <w:pPr>
              <w:spacing w:after="0"/>
              <w:rPr>
                <w:sz w:val="19"/>
                <w:szCs w:val="19"/>
                <w:color w:val="auto"/>
              </w:rPr>
            </w:pP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75,000,000</w:t>
            </w:r>
          </w:p>
        </w:tc>
        <w:tc>
          <w:tcPr>
            <w:tcW w:w="2420" w:type="dxa"/>
            <w:vAlign w:val="bottom"/>
          </w:tcPr>
          <w:p>
            <w:pPr>
              <w:spacing w:after="0"/>
              <w:rPr>
                <w:sz w:val="19"/>
                <w:szCs w:val="19"/>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Ordinary</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Company</w:t>
            </w: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shares</w:t>
            </w:r>
          </w:p>
        </w:tc>
        <w:tc>
          <w:tcPr>
            <w:tcW w:w="2420" w:type="dxa"/>
            <w:vAlign w:val="bottom"/>
          </w:tcPr>
          <w:p>
            <w:pPr>
              <w:ind w:left="680"/>
              <w:spacing w:after="0"/>
              <w:rPr>
                <w:sz w:val="20"/>
                <w:szCs w:val="20"/>
                <w:color w:val="auto"/>
              </w:rPr>
            </w:pPr>
            <w:r>
              <w:rPr>
                <w:rFonts w:ascii="Arial" w:cs="Arial" w:eastAsia="Arial" w:hAnsi="Arial"/>
                <w:sz w:val="18"/>
                <w:szCs w:val="18"/>
                <w:color w:val="auto"/>
                <w:strike w:val="1"/>
              </w:rPr>
              <w:t>99.99%</w:t>
            </w: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shares</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strike w:val="1"/>
              </w:rPr>
              <w:t>Fabrinet USA, Inc.+</w:t>
            </w:r>
          </w:p>
        </w:tc>
        <w:tc>
          <w:tcPr>
            <w:tcW w:w="2120" w:type="dxa"/>
            <w:vAlign w:val="bottom"/>
          </w:tcPr>
          <w:p>
            <w:pPr>
              <w:spacing w:after="0"/>
              <w:rPr>
                <w:sz w:val="18"/>
                <w:szCs w:val="18"/>
                <w:color w:val="auto"/>
              </w:rPr>
            </w:pP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1,000</w:t>
            </w:r>
          </w:p>
        </w:tc>
        <w:tc>
          <w:tcPr>
            <w:tcW w:w="2420" w:type="dxa"/>
            <w:vAlign w:val="bottom"/>
          </w:tcPr>
          <w:p>
            <w:pPr>
              <w:spacing w:after="0"/>
              <w:rPr>
                <w:sz w:val="18"/>
                <w:szCs w:val="18"/>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Ordinary</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Company</w:t>
            </w: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shares</w:t>
            </w:r>
          </w:p>
        </w:tc>
        <w:tc>
          <w:tcPr>
            <w:tcW w:w="2420" w:type="dxa"/>
            <w:vAlign w:val="bottom"/>
          </w:tcPr>
          <w:p>
            <w:pPr>
              <w:ind w:left="680"/>
              <w:spacing w:after="0"/>
              <w:rPr>
                <w:sz w:val="20"/>
                <w:szCs w:val="20"/>
                <w:color w:val="auto"/>
              </w:rPr>
            </w:pPr>
            <w:r>
              <w:rPr>
                <w:rFonts w:ascii="Arial" w:cs="Arial" w:eastAsia="Arial" w:hAnsi="Arial"/>
                <w:sz w:val="18"/>
                <w:szCs w:val="18"/>
                <w:color w:val="auto"/>
                <w:strike w:val="1"/>
              </w:rPr>
              <w:t>100%</w:t>
            </w: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shares</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strike w:val="1"/>
              </w:rPr>
              <w:t>FBN New Jersey Manufacturing,</w:t>
            </w:r>
          </w:p>
        </w:tc>
        <w:tc>
          <w:tcPr>
            <w:tcW w:w="2120" w:type="dxa"/>
            <w:vAlign w:val="bottom"/>
          </w:tcPr>
          <w:p>
            <w:pPr>
              <w:spacing w:after="0"/>
              <w:rPr>
                <w:sz w:val="18"/>
                <w:szCs w:val="18"/>
                <w:color w:val="auto"/>
              </w:rPr>
            </w:pP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1,000</w:t>
            </w:r>
          </w:p>
        </w:tc>
        <w:tc>
          <w:tcPr>
            <w:tcW w:w="2420" w:type="dxa"/>
            <w:vAlign w:val="bottom"/>
          </w:tcPr>
          <w:p>
            <w:pPr>
              <w:spacing w:after="0"/>
              <w:rPr>
                <w:sz w:val="18"/>
                <w:szCs w:val="18"/>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Ordinary</w:t>
            </w:r>
          </w:p>
        </w:tc>
        <w:tc>
          <w:tcPr>
            <w:tcW w:w="0" w:type="dxa"/>
            <w:vAlign w:val="bottom"/>
          </w:tcPr>
          <w:p>
            <w:pPr>
              <w:spacing w:after="0"/>
              <w:rPr>
                <w:sz w:val="1"/>
                <w:szCs w:val="1"/>
                <w:color w:val="auto"/>
              </w:rPr>
            </w:pP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strike w:val="1"/>
              </w:rPr>
              <w:t>Inc.+</w:t>
            </w: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Company</w:t>
            </w: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shares</w:t>
            </w:r>
          </w:p>
        </w:tc>
        <w:tc>
          <w:tcPr>
            <w:tcW w:w="2420" w:type="dxa"/>
            <w:vAlign w:val="bottom"/>
          </w:tcPr>
          <w:p>
            <w:pPr>
              <w:ind w:left="680"/>
              <w:spacing w:after="0"/>
              <w:rPr>
                <w:sz w:val="20"/>
                <w:szCs w:val="20"/>
                <w:color w:val="auto"/>
              </w:rPr>
            </w:pPr>
            <w:r>
              <w:rPr>
                <w:rFonts w:ascii="Arial" w:cs="Arial" w:eastAsia="Arial" w:hAnsi="Arial"/>
                <w:sz w:val="18"/>
                <w:szCs w:val="18"/>
                <w:color w:val="auto"/>
                <w:strike w:val="1"/>
              </w:rPr>
              <w:t>100%</w:t>
            </w: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shares</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strike w:val="1"/>
              </w:rPr>
              <w:t>Fabrinet China Holdings+</w:t>
            </w: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Ordinary</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Company</w:t>
            </w: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2 shares</w:t>
            </w:r>
          </w:p>
        </w:tc>
        <w:tc>
          <w:tcPr>
            <w:tcW w:w="2420" w:type="dxa"/>
            <w:vAlign w:val="bottom"/>
          </w:tcPr>
          <w:p>
            <w:pPr>
              <w:ind w:left="680"/>
              <w:spacing w:after="0"/>
              <w:rPr>
                <w:sz w:val="20"/>
                <w:szCs w:val="20"/>
                <w:color w:val="auto"/>
              </w:rPr>
            </w:pPr>
            <w:r>
              <w:rPr>
                <w:rFonts w:ascii="Arial" w:cs="Arial" w:eastAsia="Arial" w:hAnsi="Arial"/>
                <w:sz w:val="18"/>
                <w:szCs w:val="18"/>
                <w:color w:val="auto"/>
                <w:strike w:val="1"/>
              </w:rPr>
              <w:t>100%</w:t>
            </w: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shares</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strike w:val="1"/>
              </w:rPr>
              <w:t>CASIX, Inc.</w:t>
            </w: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Fabrinet</w:t>
            </w:r>
          </w:p>
        </w:tc>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China</w:t>
            </w:r>
          </w:p>
        </w:tc>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Holdings</w:t>
            </w: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N/A*</w:t>
            </w:r>
          </w:p>
        </w:tc>
        <w:tc>
          <w:tcPr>
            <w:tcW w:w="2420" w:type="dxa"/>
            <w:vAlign w:val="bottom"/>
          </w:tcPr>
          <w:p>
            <w:pPr>
              <w:ind w:left="680"/>
              <w:spacing w:after="0"/>
              <w:rPr>
                <w:sz w:val="20"/>
                <w:szCs w:val="20"/>
                <w:color w:val="auto"/>
              </w:rPr>
            </w:pPr>
            <w:r>
              <w:rPr>
                <w:rFonts w:ascii="Arial" w:cs="Arial" w:eastAsia="Arial" w:hAnsi="Arial"/>
                <w:sz w:val="18"/>
                <w:szCs w:val="18"/>
                <w:color w:val="auto"/>
                <w:strike w:val="1"/>
              </w:rPr>
              <w:t>100%</w:t>
            </w: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N/A*</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strike w:val="1"/>
              </w:rPr>
              <w:t>Fabrinet Pte., Ltd.+</w:t>
            </w:r>
          </w:p>
        </w:tc>
        <w:tc>
          <w:tcPr>
            <w:tcW w:w="2120" w:type="dxa"/>
            <w:vAlign w:val="bottom"/>
          </w:tcPr>
          <w:p>
            <w:pPr>
              <w:spacing w:after="0"/>
              <w:rPr>
                <w:sz w:val="18"/>
                <w:szCs w:val="18"/>
                <w:color w:val="auto"/>
              </w:rPr>
            </w:pP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100,000</w:t>
            </w:r>
          </w:p>
        </w:tc>
        <w:tc>
          <w:tcPr>
            <w:tcW w:w="2420" w:type="dxa"/>
            <w:vAlign w:val="bottom"/>
          </w:tcPr>
          <w:p>
            <w:pPr>
              <w:spacing w:after="0"/>
              <w:rPr>
                <w:sz w:val="18"/>
                <w:szCs w:val="18"/>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Ordinary</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Company</w:t>
            </w: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shares</w:t>
            </w:r>
          </w:p>
        </w:tc>
        <w:tc>
          <w:tcPr>
            <w:tcW w:w="2420" w:type="dxa"/>
            <w:vAlign w:val="bottom"/>
          </w:tcPr>
          <w:p>
            <w:pPr>
              <w:ind w:left="680"/>
              <w:spacing w:after="0"/>
              <w:rPr>
                <w:sz w:val="20"/>
                <w:szCs w:val="20"/>
                <w:color w:val="auto"/>
              </w:rPr>
            </w:pPr>
            <w:r>
              <w:rPr>
                <w:rFonts w:ascii="Arial" w:cs="Arial" w:eastAsia="Arial" w:hAnsi="Arial"/>
                <w:sz w:val="18"/>
                <w:szCs w:val="18"/>
                <w:color w:val="auto"/>
                <w:strike w:val="1"/>
              </w:rPr>
              <w:t>100%</w:t>
            </w: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shares</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strike w:val="1"/>
              </w:rPr>
              <w:t>Fabritek, Inc.</w:t>
            </w:r>
          </w:p>
        </w:tc>
        <w:tc>
          <w:tcPr>
            <w:tcW w:w="2120" w:type="dxa"/>
            <w:vAlign w:val="bottom"/>
          </w:tcPr>
          <w:p>
            <w:pPr>
              <w:spacing w:after="0"/>
              <w:rPr>
                <w:sz w:val="18"/>
                <w:szCs w:val="18"/>
                <w:color w:val="auto"/>
              </w:rPr>
            </w:pP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1,000</w:t>
            </w:r>
          </w:p>
        </w:tc>
        <w:tc>
          <w:tcPr>
            <w:tcW w:w="2420" w:type="dxa"/>
            <w:vAlign w:val="bottom"/>
          </w:tcPr>
          <w:p>
            <w:pPr>
              <w:spacing w:after="0"/>
              <w:rPr>
                <w:sz w:val="18"/>
                <w:szCs w:val="18"/>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Common</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Company</w:t>
            </w: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shares</w:t>
            </w:r>
          </w:p>
        </w:tc>
        <w:tc>
          <w:tcPr>
            <w:tcW w:w="2420" w:type="dxa"/>
            <w:vAlign w:val="bottom"/>
          </w:tcPr>
          <w:p>
            <w:pPr>
              <w:ind w:left="680"/>
              <w:spacing w:after="0"/>
              <w:rPr>
                <w:sz w:val="20"/>
                <w:szCs w:val="20"/>
                <w:color w:val="auto"/>
              </w:rPr>
            </w:pPr>
            <w:r>
              <w:rPr>
                <w:rFonts w:ascii="Arial" w:cs="Arial" w:eastAsia="Arial" w:hAnsi="Arial"/>
                <w:sz w:val="18"/>
                <w:szCs w:val="18"/>
                <w:color w:val="auto"/>
                <w:strike w:val="1"/>
              </w:rPr>
              <w:t>100%</w:t>
            </w: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stock</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strike w:val="1"/>
              </w:rPr>
              <w:t>Frabrinet West, Inc.</w:t>
            </w:r>
          </w:p>
        </w:tc>
        <w:tc>
          <w:tcPr>
            <w:tcW w:w="2120" w:type="dxa"/>
            <w:vAlign w:val="bottom"/>
          </w:tcPr>
          <w:p>
            <w:pPr>
              <w:spacing w:after="0"/>
              <w:rPr>
                <w:sz w:val="18"/>
                <w:szCs w:val="18"/>
                <w:color w:val="auto"/>
              </w:rPr>
            </w:pP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1,000</w:t>
            </w:r>
          </w:p>
        </w:tc>
        <w:tc>
          <w:tcPr>
            <w:tcW w:w="2420" w:type="dxa"/>
            <w:vAlign w:val="bottom"/>
          </w:tcPr>
          <w:p>
            <w:pPr>
              <w:spacing w:after="0"/>
              <w:rPr>
                <w:sz w:val="18"/>
                <w:szCs w:val="18"/>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Common</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Company</w:t>
            </w: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shares</w:t>
            </w:r>
          </w:p>
        </w:tc>
        <w:tc>
          <w:tcPr>
            <w:tcW w:w="2420" w:type="dxa"/>
            <w:vAlign w:val="bottom"/>
          </w:tcPr>
          <w:p>
            <w:pPr>
              <w:ind w:left="680"/>
              <w:spacing w:after="0"/>
              <w:rPr>
                <w:sz w:val="20"/>
                <w:szCs w:val="20"/>
                <w:color w:val="auto"/>
              </w:rPr>
            </w:pPr>
            <w:r>
              <w:rPr>
                <w:rFonts w:ascii="Arial" w:cs="Arial" w:eastAsia="Arial" w:hAnsi="Arial"/>
                <w:sz w:val="18"/>
                <w:szCs w:val="18"/>
                <w:color w:val="auto"/>
                <w:strike w:val="1"/>
              </w:rPr>
              <w:t>100%</w:t>
            </w: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Stock</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strike w:val="1"/>
              </w:rPr>
              <w:t>Fabrilink SEZC+</w:t>
            </w: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Ordinary</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120" w:type="dxa"/>
            <w:vAlign w:val="bottom"/>
          </w:tcPr>
          <w:p>
            <w:pPr>
              <w:ind w:left="760"/>
              <w:spacing w:after="0"/>
              <w:rPr>
                <w:sz w:val="20"/>
                <w:szCs w:val="20"/>
                <w:color w:val="auto"/>
              </w:rPr>
            </w:pPr>
            <w:r>
              <w:rPr>
                <w:rFonts w:ascii="Arial" w:cs="Arial" w:eastAsia="Arial" w:hAnsi="Arial"/>
                <w:sz w:val="18"/>
                <w:szCs w:val="18"/>
                <w:color w:val="auto"/>
                <w:strike w:val="1"/>
              </w:rPr>
              <w:t>Company</w:t>
            </w:r>
          </w:p>
        </w:tc>
        <w:tc>
          <w:tcPr>
            <w:tcW w:w="2140" w:type="dxa"/>
            <w:vAlign w:val="bottom"/>
          </w:tcPr>
          <w:p>
            <w:pPr>
              <w:ind w:left="680"/>
              <w:spacing w:after="0"/>
              <w:rPr>
                <w:sz w:val="20"/>
                <w:szCs w:val="20"/>
                <w:color w:val="auto"/>
              </w:rPr>
            </w:pPr>
            <w:r>
              <w:rPr>
                <w:rFonts w:ascii="Arial" w:cs="Arial" w:eastAsia="Arial" w:hAnsi="Arial"/>
                <w:sz w:val="18"/>
                <w:szCs w:val="18"/>
                <w:color w:val="auto"/>
                <w:strike w:val="1"/>
              </w:rPr>
              <w:t>1 share</w:t>
            </w:r>
          </w:p>
        </w:tc>
        <w:tc>
          <w:tcPr>
            <w:tcW w:w="2420" w:type="dxa"/>
            <w:vAlign w:val="bottom"/>
          </w:tcPr>
          <w:p>
            <w:pPr>
              <w:ind w:left="680"/>
              <w:spacing w:after="0"/>
              <w:rPr>
                <w:sz w:val="20"/>
                <w:szCs w:val="20"/>
                <w:color w:val="auto"/>
              </w:rPr>
            </w:pPr>
            <w:r>
              <w:rPr>
                <w:rFonts w:ascii="Arial" w:cs="Arial" w:eastAsia="Arial" w:hAnsi="Arial"/>
                <w:sz w:val="18"/>
                <w:szCs w:val="18"/>
                <w:color w:val="auto"/>
                <w:strike w:val="1"/>
              </w:rPr>
              <w:t>100%</w:t>
            </w:r>
          </w:p>
        </w:tc>
        <w:tc>
          <w:tcPr>
            <w:tcW w:w="1600" w:type="dxa"/>
            <w:vAlign w:val="bottom"/>
          </w:tcPr>
          <w:p>
            <w:pPr>
              <w:ind w:left="660"/>
              <w:spacing w:after="0"/>
              <w:rPr>
                <w:sz w:val="20"/>
                <w:szCs w:val="20"/>
                <w:color w:val="auto"/>
              </w:rPr>
            </w:pPr>
            <w:r>
              <w:rPr>
                <w:rFonts w:ascii="Arial" w:cs="Arial" w:eastAsia="Arial" w:hAnsi="Arial"/>
                <w:sz w:val="18"/>
                <w:szCs w:val="18"/>
                <w:color w:val="auto"/>
                <w:strike w:val="1"/>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274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-1508760</wp:posOffset>
            </wp:positionV>
            <wp:extent cx="7246620" cy="411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274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-2614930</wp:posOffset>
            </wp:positionV>
            <wp:extent cx="7246620" cy="2832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strike w:val="1"/>
        </w:rPr>
        <w:t>*Based on China law, Casix will not issue share certificates to shareholders. The certificate of business registration for CASIX, Inc. indicates its shareholders and paid up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strike w:val="1"/>
        </w:rPr>
        <w:t>+ Immaterial subsidiary.</w:t>
      </w:r>
    </w:p>
    <w:p>
      <w:pPr>
        <w:sectPr>
          <w:pgSz w:w="11900" w:h="16838" w:orient="portrait"/>
          <w:cols w:equalWidth="0" w:num="1">
            <w:col w:w="11420"/>
          </w:cols>
          <w:pgMar w:left="240" w:top="270" w:right="2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strike w:val="1"/>
        </w:rPr>
        <w:t>1. Fabrinet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strike w:val="1"/>
        </w:rPr>
        <w:t>Legal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Former Legal Names: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Jurisdiction of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Type of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Jurisdictions Qualified to Do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Chief Executive Office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strike w:val="1"/>
        </w:rPr>
        <w:t>Principal Place of Business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40"/>
        <w:spacing w:after="0" w:line="389" w:lineRule="auto"/>
        <w:rPr>
          <w:sz w:val="20"/>
          <w:szCs w:val="20"/>
          <w:color w:val="auto"/>
        </w:rPr>
      </w:pPr>
      <w:r>
        <w:rPr>
          <w:rFonts w:ascii="Arial" w:cs="Arial" w:eastAsia="Arial" w:hAnsi="Arial"/>
          <w:sz w:val="18"/>
          <w:szCs w:val="18"/>
          <w:color w:val="auto"/>
          <w:strike w:val="1"/>
        </w:rPr>
        <w:t>U.S. Federal Taxpayer ID or Unique ID Number Organization ID Number Ownership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strike w:val="1"/>
        </w:rPr>
        <w:t>2. Fabrinet Co.,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strike w:val="1"/>
        </w:rPr>
        <w:t>Legal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Former Legal Names: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Jurisdiction of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Type of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Jurisdictions Qualified to Do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Chief Executive Office Address: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Principal Place of Business Address:</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Arial" w:cs="Arial" w:eastAsia="Arial" w:hAnsi="Arial"/>
          <w:sz w:val="18"/>
          <w:szCs w:val="18"/>
          <w:b w:val="1"/>
          <w:bCs w:val="1"/>
          <w:u w:val="single" w:color="auto"/>
          <w:color w:val="auto"/>
          <w:strike w:val="1"/>
        </w:rPr>
        <w:t>Schedule 5.19(b)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-213360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 w:lineRule="exact"/>
        <w:rPr>
          <w:sz w:val="20"/>
          <w:szCs w:val="20"/>
          <w:color w:val="auto"/>
        </w:rPr>
      </w:pPr>
    </w:p>
    <w:p>
      <w:pPr>
        <w:jc w:val="center"/>
        <w:ind w:right="3920"/>
        <w:spacing w:after="0"/>
        <w:rPr>
          <w:sz w:val="20"/>
          <w:szCs w:val="20"/>
          <w:color w:val="auto"/>
        </w:rPr>
      </w:pPr>
      <w:r>
        <w:rPr>
          <w:rFonts w:ascii="Arial" w:cs="Arial" w:eastAsia="Arial" w:hAnsi="Arial"/>
          <w:sz w:val="18"/>
          <w:szCs w:val="18"/>
          <w:b w:val="1"/>
          <w:bCs w:val="1"/>
          <w:u w:val="single" w:color="auto"/>
          <w:color w:val="auto"/>
          <w:strike w:val="1"/>
        </w:rPr>
        <w:t>Loan Parties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strike w:val="1"/>
        </w:rPr>
        <w:t>Fabrinet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Cayman Islands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Exempted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Cayman Islands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c/o Intertrust Corporate Services (Cayman)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190 Elgin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George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Grand Cayman KY1-9005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Cayman Islands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c/o Intertrust Corporate Services (Cayman)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190 Elgin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George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Grand Cayman KY1-9005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Cayman Islands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Registration number 91794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Parent, publicly listed on NYSE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strike w:val="1"/>
        </w:rPr>
        <w:t xml:space="preserve">Fabrinet Co., Ltd. ( </w:t>
      </w:r>
      <w:r>
        <w:rPr>
          <w:rFonts w:ascii="MS PGothic" w:cs="MS PGothic" w:eastAsia="MS PGothic" w:hAnsi="MS PGothic"/>
          <w:sz w:val="18"/>
          <w:szCs w:val="18"/>
          <w:color w:val="auto"/>
          <w:strike w:val="1"/>
        </w:rPr>
        <w:t>☐☐☐☐☐☐☐☐☐☐☐☐☐☐☐☐☐☐☐</w:t>
      </w:r>
      <w:r>
        <w:rPr>
          <w:rFonts w:ascii="Arial" w:cs="Arial" w:eastAsia="Arial" w:hAnsi="Arial"/>
          <w:sz w:val="18"/>
          <w:szCs w:val="18"/>
          <w:color w:val="auto"/>
          <w:strike w:val="1"/>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strike w:val="1"/>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Thailand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Private company limited by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Thailand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strike w:val="1"/>
        </w:rPr>
        <w:t>No. 5/6, Moo 6, Klong Nung Sub-district, Klongluang District, Patumthani Province 12120, Thailand</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strike w:val="1"/>
        </w:rPr>
        <w:t>No. 5/6, Moo 6, Klong Nung Sub-district, Klongluang District, Patumthani Province 12120, Thailand</w:t>
      </w:r>
    </w:p>
    <w:p>
      <w:pPr>
        <w:sectPr>
          <w:pgSz w:w="11900" w:h="16838" w:orient="portrait"/>
          <w:cols w:equalWidth="0" w:num="2">
            <w:col w:w="3640" w:space="720"/>
            <w:col w:w="6640"/>
          </w:cols>
          <w:pgMar w:left="240" w:top="270" w:right="65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strike w:val="1"/>
        </w:rPr>
        <w:t>U.S. Federal Taxpayer ID or Unique ID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strike w:val="1"/>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-208915</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3640" w:space="720"/>
            <w:col w:w="6900"/>
          </w:cols>
          <w:pgMar w:left="240" w:top="274" w:right="399" w:bottom="1440" w:gutter="0" w:footer="0" w:header="0"/>
        </w:sectPr>
      </w:pPr>
    </w:p>
    <w:p>
      <w:pPr>
        <w:spacing w:after="0"/>
        <w:rPr>
          <w:sz w:val="20"/>
          <w:szCs w:val="20"/>
          <w:color w:val="auto"/>
        </w:rPr>
      </w:pPr>
      <w:r>
        <w:rPr>
          <w:rFonts w:ascii="Arial" w:cs="Arial" w:eastAsia="Arial" w:hAnsi="Arial"/>
          <w:sz w:val="16"/>
          <w:szCs w:val="16"/>
          <w:color w:val="auto"/>
          <w:strike w:val="1"/>
        </w:rPr>
        <w:t>Organization ID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Registration Number 0105542073726</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Ownership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Privately held, 99.99% owned by the Company and 0.01% collectively owned by 8 individuals,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(i) Mr. David T. Mitchell, (ii) Mrs. Jintamai Mitchell, (iii) Mr. Sean T. Mitchell,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strike w:val="1"/>
        </w:rPr>
        <w:t>(iv) Mr. Gabriel T. Mitchell, (v) Mr. Alesander T. Mitchell, (vi) Mrs. Antonija D. Kaewchansilp,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strike w:val="1"/>
        </w:rPr>
        <w:t>(vii) Miss Siriwan Kaewchansilp and (viii) Mr. Soon Kaewchansilp.</w:t>
      </w:r>
    </w:p>
    <w:p>
      <w:pPr>
        <w:spacing w:after="0" w:line="20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strike w:val="1"/>
        </w:rPr>
        <w:t>3. Fabrinet USA, Inc.</w:t>
      </w:r>
    </w:p>
    <w:p>
      <w:pPr>
        <w:sectPr>
          <w:pgSz w:w="11900" w:h="16838" w:orient="portrait"/>
          <w:cols w:equalWidth="0" w:num="1">
            <w:col w:w="11260"/>
          </w:cols>
          <w:pgMar w:left="240" w:top="274" w:right="39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strike w:val="1"/>
        </w:rPr>
        <w:t>Legal Name: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strike w:val="1"/>
        </w:rPr>
        <w:t>Fabrinet USA, Inc.</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Former Legal Names: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strike w:val="1"/>
        </w:rPr>
        <w:t>N/A</w:t>
      </w:r>
    </w:p>
    <w:p>
      <w:pPr>
        <w:spacing w:after="0" w:line="129"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Jurisdiction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strike w:val="1"/>
        </w:rPr>
        <w:t>California, USA</w:t>
      </w:r>
    </w:p>
    <w:p>
      <w:pPr>
        <w:spacing w:after="0" w:line="129"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Type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Corporation</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Jurisdictions Qualified to Do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strike w:val="1"/>
        </w:rPr>
        <w:t>California</w:t>
      </w:r>
    </w:p>
    <w:p>
      <w:pPr>
        <w:spacing w:after="0" w:line="129"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Chief Executive Office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18818 Bellgrove Circle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Saratoga, CA 95070</w:t>
      </w:r>
    </w:p>
    <w:p>
      <w:pPr>
        <w:spacing w:after="0" w:line="116"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Principal Place of Business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3736 Fallon Road Suite 428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Dublin, California 94568</w:t>
      </w:r>
    </w:p>
    <w:p>
      <w:pPr>
        <w:spacing w:after="0" w:line="116"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U.S. Federal Taxpayer ID or Unique ID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91-2017059</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Organization ID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strike w:val="1"/>
        </w:rPr>
        <w:t>2178844</w:t>
      </w:r>
    </w:p>
    <w:p>
      <w:pPr>
        <w:spacing w:after="0" w:line="151"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Ownership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Privately held, 100% owned by the Company</w:t>
      </w:r>
    </w:p>
    <w:p>
      <w:pPr>
        <w:spacing w:after="0" w:line="20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strike w:val="1"/>
        </w:rPr>
        <w:t>4. FBN New Jersey Manufacturing, Inc. (dba VitroCom)</w:t>
      </w:r>
    </w:p>
    <w:p>
      <w:pPr>
        <w:sectPr>
          <w:pgSz w:w="11900" w:h="16838" w:orient="portrait"/>
          <w:cols w:equalWidth="0" w:num="1">
            <w:col w:w="11260"/>
          </w:cols>
          <w:pgMar w:left="240" w:top="274" w:right="39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strike w:val="1"/>
        </w:rPr>
        <w:t>Legal Name: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strike w:val="1"/>
        </w:rPr>
        <w:t>FBN New Jersey Manufacturing, Inc.</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Former Legal Names: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strike w:val="1"/>
        </w:rPr>
        <w:t>N/A</w:t>
      </w:r>
    </w:p>
    <w:p>
      <w:pPr>
        <w:spacing w:after="0" w:line="129"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Jurisdiction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Delaware, USA</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Type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Corporation</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Jurisdictions Qualified to Do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Delaware</w:t>
      </w:r>
    </w:p>
    <w:p>
      <w:pPr>
        <w:sectPr>
          <w:pgSz w:w="11900" w:h="16838" w:orient="portrait"/>
          <w:cols w:equalWidth="0" w:num="2">
            <w:col w:w="3640" w:space="720"/>
            <w:col w:w="6900"/>
          </w:cols>
          <w:pgMar w:left="240" w:top="274" w:right="39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8"/>
          <w:szCs w:val="18"/>
          <w:color w:val="auto"/>
          <w:strike w:val="1"/>
        </w:rPr>
        <w:t>Chief Executive Office Address: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Principal Place of Business Address:</w:t>
      </w:r>
    </w:p>
    <w:p>
      <w:pPr>
        <w:spacing w:after="0" w:line="347" w:lineRule="exact"/>
        <w:rPr>
          <w:sz w:val="20"/>
          <w:szCs w:val="20"/>
          <w:color w:val="auto"/>
        </w:rPr>
      </w:pPr>
    </w:p>
    <w:p>
      <w:pPr>
        <w:ind w:right="140"/>
        <w:spacing w:after="0" w:line="389" w:lineRule="auto"/>
        <w:rPr>
          <w:sz w:val="20"/>
          <w:szCs w:val="20"/>
          <w:color w:val="auto"/>
        </w:rPr>
      </w:pPr>
      <w:r>
        <w:rPr>
          <w:rFonts w:ascii="Arial" w:cs="Arial" w:eastAsia="Arial" w:hAnsi="Arial"/>
          <w:sz w:val="18"/>
          <w:szCs w:val="18"/>
          <w:color w:val="auto"/>
          <w:strike w:val="1"/>
        </w:rPr>
        <w:t>U.S. Federal Taxpayer ID or Unique ID Number Organization ID Number Ownership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strike w:val="1"/>
        </w:rPr>
        <w:t>5. Fabrinet China Holdings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strike w:val="1"/>
        </w:rPr>
        <w:t>Legal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Former Legal Names: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Jurisdiction of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Type of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Jurisdictions Qualified to Do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Chief Executive Office Address: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Principal Place of Business Address: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389" w:lineRule="auto"/>
        <w:rPr>
          <w:sz w:val="20"/>
          <w:szCs w:val="20"/>
          <w:color w:val="auto"/>
        </w:rPr>
      </w:pPr>
      <w:r>
        <w:rPr>
          <w:rFonts w:ascii="Arial" w:cs="Arial" w:eastAsia="Arial" w:hAnsi="Arial"/>
          <w:sz w:val="18"/>
          <w:szCs w:val="18"/>
          <w:color w:val="auto"/>
          <w:strike w:val="1"/>
        </w:rPr>
        <w:t>U.S. Federal Taxpayer ID or Unique ID Number Organization ID Number Ownership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strike w:val="1"/>
        </w:rPr>
        <w:t>6. Fabritek,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strike w:val="1"/>
        </w:rPr>
        <w:t>Legal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Former Legal Names: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Jurisdiction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strike w:val="1"/>
        </w:rPr>
        <w:t>c/o Corporation Service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-215900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2711 Centerville Road,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Wilmington, Delaware 19808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8 Morris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Mountain Lakes, New Jersey 07046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20-2883285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20-2883285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strike w:val="1"/>
        </w:rPr>
        <w:t>Privately held, 100% owned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strike w:val="1"/>
        </w:rPr>
        <w:t>Fabrinet China Holdings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Mauritius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Private company limited by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Mauritius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c/o OCRA (Mauritius)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Max City Building, Floor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Remy Ollier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Port Louis, Republic of Mauritius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c/o OCRA (Mauritius)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Max City Building, Floor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Remy Ollier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Port Louis, Republic of Mauritius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strike w:val="1"/>
        </w:rPr>
        <w:t>File No. 23862/5555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strike w:val="1"/>
        </w:rPr>
        <w:t>Privately held, 100% owned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strike w:val="1"/>
        </w:rPr>
        <w:t>Fabritek,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trike w:val="1"/>
        </w:rPr>
        <w:t>California, USA</w:t>
      </w:r>
    </w:p>
    <w:p>
      <w:pPr>
        <w:sectPr>
          <w:pgSz w:w="11900" w:h="16838" w:orient="portrait"/>
          <w:cols w:equalWidth="0" w:num="2">
            <w:col w:w="3640" w:space="720"/>
            <w:col w:w="5859"/>
          </w:cols>
          <w:pgMar w:left="240" w:top="274" w:right="1440"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strike w:val="1"/>
              </w:rPr>
              <w:t>Type of Organization:</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Corporation</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strike w:val="1"/>
              </w:rPr>
              <w:t>Jurisdictions Qualified to Do Business:</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California</w:t>
            </w:r>
          </w:p>
        </w:tc>
      </w:tr>
      <w:tr>
        <w:trPr>
          <w:trHeight w:val="310"/>
        </w:trPr>
        <w:tc>
          <w:tcPr>
            <w:tcW w:w="3920" w:type="dxa"/>
            <w:vAlign w:val="bottom"/>
          </w:tcPr>
          <w:p>
            <w:pPr>
              <w:spacing w:after="0"/>
              <w:rPr>
                <w:sz w:val="20"/>
                <w:szCs w:val="20"/>
                <w:color w:val="auto"/>
              </w:rPr>
            </w:pPr>
            <w:r>
              <w:rPr>
                <w:rFonts w:ascii="Arial" w:cs="Arial" w:eastAsia="Arial" w:hAnsi="Arial"/>
                <w:sz w:val="18"/>
                <w:szCs w:val="18"/>
                <w:color w:val="auto"/>
                <w:strike w:val="1"/>
              </w:rPr>
              <w:t>Chief Executive Office Address:</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4900 Patrick Henry Drive</w:t>
            </w:r>
          </w:p>
        </w:tc>
      </w:tr>
      <w:tr>
        <w:trPr>
          <w:trHeight w:val="230"/>
        </w:trPr>
        <w:tc>
          <w:tcPr>
            <w:tcW w:w="3920" w:type="dxa"/>
            <w:vAlign w:val="bottom"/>
          </w:tcPr>
          <w:p>
            <w:pPr>
              <w:spacing w:after="0"/>
              <w:rPr>
                <w:sz w:val="20"/>
                <w:szCs w:val="20"/>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Santa Clara, California 95054</w:t>
            </w:r>
            <w:r>
              <w:rPr>
                <w:rFonts w:ascii="Arial" w:cs="Arial" w:eastAsia="Arial" w:hAnsi="Arial"/>
                <w:sz w:val="15"/>
                <w:szCs w:val="15"/>
                <w:color w:val="auto"/>
                <w:strike w:val="1"/>
              </w:rPr>
              <w:t>1</w:t>
            </w:r>
          </w:p>
        </w:tc>
      </w:tr>
      <w:tr>
        <w:trPr>
          <w:trHeight w:val="323"/>
        </w:trPr>
        <w:tc>
          <w:tcPr>
            <w:tcW w:w="3920" w:type="dxa"/>
            <w:vAlign w:val="bottom"/>
          </w:tcPr>
          <w:p>
            <w:pPr>
              <w:spacing w:after="0"/>
              <w:rPr>
                <w:sz w:val="20"/>
                <w:szCs w:val="20"/>
                <w:color w:val="auto"/>
              </w:rPr>
            </w:pPr>
            <w:r>
              <w:rPr>
                <w:rFonts w:ascii="Arial" w:cs="Arial" w:eastAsia="Arial" w:hAnsi="Arial"/>
                <w:sz w:val="18"/>
                <w:szCs w:val="18"/>
                <w:color w:val="auto"/>
                <w:strike w:val="1"/>
              </w:rPr>
              <w:t>Principal Place of Business Address:</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4900 Patrick Henry Drive</w:t>
            </w:r>
          </w:p>
        </w:tc>
      </w:tr>
      <w:tr>
        <w:trPr>
          <w:trHeight w:val="230"/>
        </w:trPr>
        <w:tc>
          <w:tcPr>
            <w:tcW w:w="3920" w:type="dxa"/>
            <w:vAlign w:val="bottom"/>
          </w:tcPr>
          <w:p>
            <w:pPr>
              <w:spacing w:after="0"/>
              <w:rPr>
                <w:sz w:val="20"/>
                <w:szCs w:val="20"/>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Santa Clara, California 95054</w:t>
            </w:r>
            <w:r>
              <w:rPr>
                <w:rFonts w:ascii="Arial" w:cs="Arial" w:eastAsia="Arial" w:hAnsi="Arial"/>
                <w:sz w:val="15"/>
                <w:szCs w:val="15"/>
                <w:color w:val="auto"/>
                <w:strike w:val="1"/>
              </w:rPr>
              <w:t>2</w:t>
            </w:r>
          </w:p>
        </w:tc>
      </w:tr>
      <w:tr>
        <w:trPr>
          <w:trHeight w:val="338"/>
        </w:trPr>
        <w:tc>
          <w:tcPr>
            <w:tcW w:w="3920" w:type="dxa"/>
            <w:vAlign w:val="bottom"/>
          </w:tcPr>
          <w:p>
            <w:pPr>
              <w:spacing w:after="0"/>
              <w:rPr>
                <w:sz w:val="20"/>
                <w:szCs w:val="20"/>
                <w:color w:val="auto"/>
              </w:rPr>
            </w:pPr>
            <w:r>
              <w:rPr>
                <w:rFonts w:ascii="Arial" w:cs="Arial" w:eastAsia="Arial" w:hAnsi="Arial"/>
                <w:sz w:val="18"/>
                <w:szCs w:val="18"/>
                <w:color w:val="auto"/>
                <w:strike w:val="1"/>
              </w:rPr>
              <w:t>U.S. Federal Taxpayer ID or Unique ID Number</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47-3011719</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strike w:val="1"/>
              </w:rPr>
              <w:t>Organization ID Number</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C3744509</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strike w:val="1"/>
              </w:rPr>
              <w:t>Ownership Information</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w w:val="91"/>
              </w:rPr>
              <w:t>Privately held, 100% owned by the Company</w:t>
            </w:r>
          </w:p>
        </w:tc>
      </w:tr>
      <w:tr>
        <w:trPr>
          <w:trHeight w:val="540"/>
        </w:trPr>
        <w:tc>
          <w:tcPr>
            <w:tcW w:w="3920" w:type="dxa"/>
            <w:vAlign w:val="bottom"/>
          </w:tcPr>
          <w:p>
            <w:pPr>
              <w:spacing w:after="0"/>
              <w:rPr>
                <w:sz w:val="20"/>
                <w:szCs w:val="20"/>
                <w:color w:val="auto"/>
              </w:rPr>
            </w:pPr>
            <w:r>
              <w:rPr>
                <w:rFonts w:ascii="Arial" w:cs="Arial" w:eastAsia="Arial" w:hAnsi="Arial"/>
                <w:sz w:val="18"/>
                <w:szCs w:val="18"/>
                <w:color w:val="auto"/>
                <w:strike w:val="1"/>
              </w:rPr>
              <w:t>7. Fabrinet West, Inc.</w:t>
            </w:r>
          </w:p>
        </w:tc>
        <w:tc>
          <w:tcPr>
            <w:tcW w:w="3720" w:type="dxa"/>
            <w:vAlign w:val="bottom"/>
          </w:tcPr>
          <w:p>
            <w:pPr>
              <w:spacing w:after="0"/>
              <w:rPr>
                <w:sz w:val="24"/>
                <w:szCs w:val="24"/>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strike w:val="1"/>
              </w:rPr>
              <w:t>Legal Name:</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Fabrinet West, Inc.</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strike w:val="1"/>
              </w:rPr>
              <w:t>Former Legal Names:</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N/A</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strike w:val="1"/>
              </w:rPr>
              <w:t>Jurisdiction of Organization:</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California, USA</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strike w:val="1"/>
              </w:rPr>
              <w:t>Type of Organization:</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Corporation</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strike w:val="1"/>
              </w:rPr>
              <w:t>Jurisdictions Qualified to Do Business:</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California</w:t>
            </w:r>
          </w:p>
        </w:tc>
      </w:tr>
      <w:tr>
        <w:trPr>
          <w:trHeight w:val="310"/>
        </w:trPr>
        <w:tc>
          <w:tcPr>
            <w:tcW w:w="3920" w:type="dxa"/>
            <w:vAlign w:val="bottom"/>
          </w:tcPr>
          <w:p>
            <w:pPr>
              <w:spacing w:after="0"/>
              <w:rPr>
                <w:sz w:val="20"/>
                <w:szCs w:val="20"/>
                <w:color w:val="auto"/>
              </w:rPr>
            </w:pPr>
            <w:r>
              <w:rPr>
                <w:rFonts w:ascii="Arial" w:cs="Arial" w:eastAsia="Arial" w:hAnsi="Arial"/>
                <w:sz w:val="18"/>
                <w:szCs w:val="18"/>
                <w:color w:val="auto"/>
                <w:strike w:val="1"/>
              </w:rPr>
              <w:t>Chief Executive Office Address:</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4900 Patrick Henry Drive</w:t>
            </w:r>
          </w:p>
        </w:tc>
      </w:tr>
      <w:tr>
        <w:trPr>
          <w:trHeight w:val="230"/>
        </w:trPr>
        <w:tc>
          <w:tcPr>
            <w:tcW w:w="3920" w:type="dxa"/>
            <w:vAlign w:val="bottom"/>
          </w:tcPr>
          <w:p>
            <w:pPr>
              <w:spacing w:after="0"/>
              <w:rPr>
                <w:sz w:val="20"/>
                <w:szCs w:val="20"/>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Santa Clara, California 95054</w:t>
            </w:r>
            <w:r>
              <w:rPr>
                <w:rFonts w:ascii="Arial" w:cs="Arial" w:eastAsia="Arial" w:hAnsi="Arial"/>
                <w:sz w:val="15"/>
                <w:szCs w:val="15"/>
                <w:color w:val="auto"/>
                <w:strike w:val="1"/>
              </w:rPr>
              <w:t>3</w:t>
            </w:r>
          </w:p>
        </w:tc>
      </w:tr>
      <w:tr>
        <w:trPr>
          <w:trHeight w:val="323"/>
        </w:trPr>
        <w:tc>
          <w:tcPr>
            <w:tcW w:w="3920" w:type="dxa"/>
            <w:vAlign w:val="bottom"/>
          </w:tcPr>
          <w:p>
            <w:pPr>
              <w:spacing w:after="0"/>
              <w:rPr>
                <w:sz w:val="20"/>
                <w:szCs w:val="20"/>
                <w:color w:val="auto"/>
              </w:rPr>
            </w:pPr>
            <w:r>
              <w:rPr>
                <w:rFonts w:ascii="Arial" w:cs="Arial" w:eastAsia="Arial" w:hAnsi="Arial"/>
                <w:sz w:val="18"/>
                <w:szCs w:val="18"/>
                <w:color w:val="auto"/>
                <w:strike w:val="1"/>
              </w:rPr>
              <w:t>Principal Place of Business Address:</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4900 Patrick Henry Drive</w:t>
            </w:r>
          </w:p>
        </w:tc>
      </w:tr>
      <w:tr>
        <w:trPr>
          <w:trHeight w:val="230"/>
        </w:trPr>
        <w:tc>
          <w:tcPr>
            <w:tcW w:w="3920" w:type="dxa"/>
            <w:vAlign w:val="bottom"/>
          </w:tcPr>
          <w:p>
            <w:pPr>
              <w:spacing w:after="0"/>
              <w:rPr>
                <w:sz w:val="20"/>
                <w:szCs w:val="20"/>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Santa Clara, California 95054</w:t>
            </w:r>
            <w:r>
              <w:rPr>
                <w:rFonts w:ascii="Arial" w:cs="Arial" w:eastAsia="Arial" w:hAnsi="Arial"/>
                <w:sz w:val="15"/>
                <w:szCs w:val="15"/>
                <w:color w:val="auto"/>
                <w:strike w:val="1"/>
              </w:rPr>
              <w:t>4</w:t>
            </w:r>
          </w:p>
        </w:tc>
      </w:tr>
      <w:tr>
        <w:trPr>
          <w:trHeight w:val="338"/>
        </w:trPr>
        <w:tc>
          <w:tcPr>
            <w:tcW w:w="3920" w:type="dxa"/>
            <w:vAlign w:val="bottom"/>
          </w:tcPr>
          <w:p>
            <w:pPr>
              <w:spacing w:after="0"/>
              <w:rPr>
                <w:sz w:val="20"/>
                <w:szCs w:val="20"/>
                <w:color w:val="auto"/>
              </w:rPr>
            </w:pPr>
            <w:r>
              <w:rPr>
                <w:rFonts w:ascii="Arial" w:cs="Arial" w:eastAsia="Arial" w:hAnsi="Arial"/>
                <w:sz w:val="18"/>
                <w:szCs w:val="18"/>
                <w:color w:val="auto"/>
                <w:strike w:val="1"/>
              </w:rPr>
              <w:t>U.S. Federal Taxpayer ID or Unique ID Number</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47-2987697</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strike w:val="1"/>
              </w:rPr>
              <w:t>Organization ID Number</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rPr>
              <w:t>C3744510</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strike w:val="1"/>
              </w:rPr>
              <w:t>Ownership Information</w:t>
            </w:r>
          </w:p>
        </w:tc>
        <w:tc>
          <w:tcPr>
            <w:tcW w:w="3720" w:type="dxa"/>
            <w:vAlign w:val="bottom"/>
          </w:tcPr>
          <w:p>
            <w:pPr>
              <w:ind w:left="440"/>
              <w:spacing w:after="0"/>
              <w:rPr>
                <w:sz w:val="20"/>
                <w:szCs w:val="20"/>
                <w:color w:val="auto"/>
              </w:rPr>
            </w:pPr>
            <w:r>
              <w:rPr>
                <w:rFonts w:ascii="Arial" w:cs="Arial" w:eastAsia="Arial" w:hAnsi="Arial"/>
                <w:sz w:val="18"/>
                <w:szCs w:val="18"/>
                <w:color w:val="auto"/>
                <w:strike w:val="1"/>
                <w:w w:val="91"/>
              </w:rPr>
              <w:t>Privately held, 100% owned by 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5"/>
          <w:szCs w:val="15"/>
          <w:color w:val="auto"/>
        </w:rPr>
      </w:pPr>
      <w:r>
        <w:rPr>
          <w:rFonts w:ascii="Arial" w:cs="Arial" w:eastAsia="Arial" w:hAnsi="Arial"/>
          <w:sz w:val="18"/>
          <w:szCs w:val="18"/>
          <w:color w:val="auto"/>
          <w:strike w:val="1"/>
        </w:rPr>
        <w:t>Upon purchase of real property at this address.</w:t>
      </w:r>
    </w:p>
    <w:p>
      <w:pPr>
        <w:spacing w:after="0" w:line="22"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5"/>
          <w:szCs w:val="15"/>
          <w:color w:val="auto"/>
        </w:rPr>
      </w:pPr>
      <w:r>
        <w:rPr>
          <w:rFonts w:ascii="Arial" w:cs="Arial" w:eastAsia="Arial" w:hAnsi="Arial"/>
          <w:sz w:val="18"/>
          <w:szCs w:val="18"/>
          <w:color w:val="auto"/>
          <w:strike w:val="1"/>
        </w:rPr>
        <w:t>Upon purchase of real property at this address.</w:t>
      </w:r>
    </w:p>
    <w:p>
      <w:pPr>
        <w:spacing w:after="0" w:line="9"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5"/>
          <w:szCs w:val="15"/>
          <w:color w:val="auto"/>
        </w:rPr>
      </w:pPr>
      <w:r>
        <w:rPr>
          <w:rFonts w:ascii="Arial" w:cs="Arial" w:eastAsia="Arial" w:hAnsi="Arial"/>
          <w:sz w:val="18"/>
          <w:szCs w:val="18"/>
          <w:color w:val="auto"/>
          <w:strike w:val="1"/>
        </w:rPr>
        <w:t>Upon Fabritek’s purchase of real property at this address and sublease by Fabrinet West.</w:t>
      </w:r>
    </w:p>
    <w:p>
      <w:pPr>
        <w:spacing w:after="0" w:line="9"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5"/>
          <w:szCs w:val="15"/>
          <w:color w:val="auto"/>
        </w:rPr>
      </w:pPr>
      <w:r>
        <w:rPr>
          <w:rFonts w:ascii="Arial" w:cs="Arial" w:eastAsia="Arial" w:hAnsi="Arial"/>
          <w:sz w:val="18"/>
          <w:szCs w:val="18"/>
          <w:color w:val="auto"/>
          <w:strike w:val="1"/>
        </w:rPr>
        <w:t>Upon Fabritek’s purchase of real property at this address and sublease by Fabrinet West.</w:t>
      </w:r>
    </w:p>
    <w:p>
      <w:pPr>
        <w:sectPr>
          <w:pgSz w:w="11900" w:h="16838" w:orient="portrait"/>
          <w:cols w:equalWidth="0" w:num="1">
            <w:col w:w="10219"/>
          </w:cols>
          <w:pgMar w:left="240" w:top="274" w:right="1440"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 Fabrilink SEZC</w:t>
      </w:r>
    </w:p>
    <w:p>
      <w:pPr>
        <w:sectPr>
          <w:pgSz w:w="11900" w:h="16838" w:orient="portrait"/>
          <w:cols w:equalWidth="0" w:num="1">
            <w:col w:w="11260"/>
          </w:cols>
          <w:pgMar w:left="240" w:top="274" w:right="39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strike w:val="1"/>
        </w:rPr>
        <w:t>Legal Name: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strike w:val="1"/>
        </w:rPr>
        <w:t>Fabrilink SEZC</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Former Legal Names: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strike w:val="1"/>
        </w:rPr>
        <w:t>N/A</w:t>
      </w:r>
    </w:p>
    <w:p>
      <w:pPr>
        <w:spacing w:after="0" w:line="129"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Jurisdiction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Cayman Islands</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Type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Corporation</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Jurisdictions Qualified to Do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Cayman Islands</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Chief Executive Office Address: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strike w:val="1"/>
        </w:rPr>
        <w:t>Cayman Enterprise City, HSBC House, 68 West Bay Road, Grand Cayman KY1-1003, Cayman Islands</w:t>
      </w:r>
    </w:p>
    <w:p>
      <w:pPr>
        <w:spacing w:after="0" w:line="62"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Principal Place of Business Address: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strike w:val="1"/>
        </w:rPr>
        <w:t>Cayman Enterprise City, HSBC House, 68 West Bay Road, Grand Cayman KY1-1003, Cayman Islands</w:t>
      </w:r>
    </w:p>
    <w:p>
      <w:pPr>
        <w:spacing w:after="0" w:line="62"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U.S. Federal Taxpayer ID or Unique ID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strike w:val="1"/>
        </w:rPr>
        <w:t>N/A</w:t>
      </w:r>
    </w:p>
    <w:p>
      <w:pPr>
        <w:spacing w:after="0" w:line="129"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Organization ID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Registration number 295164</w:t>
      </w:r>
    </w:p>
    <w:p>
      <w:pPr>
        <w:spacing w:after="0" w:line="140" w:lineRule="exact"/>
        <w:rPr>
          <w:sz w:val="20"/>
          <w:szCs w:val="20"/>
          <w:color w:val="auto"/>
        </w:rPr>
      </w:pPr>
    </w:p>
    <w:p>
      <w:pPr>
        <w:sectPr>
          <w:pgSz w:w="11900" w:h="16838" w:orient="portrait"/>
          <w:cols w:equalWidth="0" w:num="2">
            <w:col w:w="3640" w:space="720"/>
            <w:col w:w="69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strike w:val="1"/>
        </w:rPr>
        <w:t>Ownership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Privately held, 100% owned by the Company</w:t>
      </w:r>
    </w:p>
    <w:p>
      <w:pPr>
        <w:sectPr>
          <w:pgSz w:w="11900" w:h="16838" w:orient="portrait"/>
          <w:cols w:equalWidth="0" w:num="2">
            <w:col w:w="3640" w:space="720"/>
            <w:col w:w="6900"/>
          </w:cols>
          <w:pgMar w:left="240" w:top="274" w:right="399" w:bottom="1440" w:gutter="0" w:footer="0" w:header="0"/>
          <w:type w:val="continuous"/>
        </w:sectPr>
      </w:pPr>
    </w:p>
    <w:bookmarkStart w:id="154" w:name="page155"/>
    <w:bookmarkEnd w:id="154"/>
    <w:p>
      <w:pPr>
        <w:jc w:val="center"/>
        <w:ind w:right="-79"/>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5.20(b)(</w:t>
      </w:r>
      <w:r>
        <w:rPr>
          <w:rFonts w:ascii="Arial" w:cs="Arial" w:eastAsia="Arial" w:hAnsi="Arial"/>
          <w:sz w:val="18"/>
          <w:szCs w:val="18"/>
          <w:b w:val="1"/>
          <w:bCs w:val="1"/>
          <w:color w:val="auto"/>
          <w:strike w:val="1"/>
        </w:rPr>
        <w:t>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strike w:val="1"/>
        </w:rPr>
        <w:t>Deposit Accounts &amp; Securities Accounts of the Borrower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jc w:val="center"/>
              <w:ind w:right="56"/>
              <w:spacing w:after="0"/>
              <w:rPr>
                <w:sz w:val="20"/>
                <w:szCs w:val="20"/>
                <w:color w:val="auto"/>
              </w:rPr>
            </w:pPr>
            <w:r>
              <w:rPr>
                <w:rFonts w:ascii="Arial" w:cs="Arial" w:eastAsia="Arial" w:hAnsi="Arial"/>
                <w:sz w:val="14"/>
                <w:szCs w:val="14"/>
                <w:b w:val="1"/>
                <w:bCs w:val="1"/>
                <w:color w:val="auto"/>
                <w:strike w:val="1"/>
                <w:w w:val="93"/>
              </w:rPr>
              <w:t>Average Amount for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strike w:val="1"/>
                <w:w w:val="93"/>
              </w:rPr>
              <w:t>Zero Balance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00" w:type="dxa"/>
            <w:vAlign w:val="bottom"/>
          </w:tcPr>
          <w:p>
            <w:pPr>
              <w:spacing w:after="0" w:line="158" w:lineRule="exact"/>
              <w:rPr>
                <w:sz w:val="20"/>
                <w:szCs w:val="20"/>
                <w:color w:val="auto"/>
              </w:rPr>
            </w:pPr>
            <w:r>
              <w:rPr>
                <w:rFonts w:ascii="Arial" w:cs="Arial" w:eastAsia="Arial" w:hAnsi="Arial"/>
                <w:sz w:val="14"/>
                <w:szCs w:val="14"/>
                <w:b w:val="1"/>
                <w:bCs w:val="1"/>
                <w:color w:val="auto"/>
                <w:strike w:val="1"/>
              </w:rPr>
              <w:t>Account</w:t>
            </w:r>
          </w:p>
        </w:tc>
        <w:tc>
          <w:tcPr>
            <w:tcW w:w="174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strike w:val="1"/>
                <w:w w:val="93"/>
              </w:rPr>
              <w:t>Depositary</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strike w:val="1"/>
                <w:w w:val="92"/>
              </w:rPr>
              <w:t>Location</w:t>
            </w:r>
          </w:p>
        </w:tc>
        <w:tc>
          <w:tcPr>
            <w:tcW w:w="1940" w:type="dxa"/>
            <w:vAlign w:val="bottom"/>
            <w:vMerge w:val="restart"/>
          </w:tcPr>
          <w:p>
            <w:pPr>
              <w:ind w:left="540"/>
              <w:spacing w:after="0"/>
              <w:rPr>
                <w:sz w:val="20"/>
                <w:szCs w:val="20"/>
                <w:color w:val="auto"/>
              </w:rPr>
            </w:pPr>
            <w:r>
              <w:rPr>
                <w:rFonts w:ascii="Arial" w:cs="Arial" w:eastAsia="Arial" w:hAnsi="Arial"/>
                <w:sz w:val="14"/>
                <w:szCs w:val="14"/>
                <w:b w:val="1"/>
                <w:bCs w:val="1"/>
                <w:color w:val="auto"/>
                <w:strike w:val="1"/>
              </w:rPr>
              <w:t>Account Number</w:t>
            </w:r>
          </w:p>
        </w:tc>
        <w:tc>
          <w:tcPr>
            <w:tcW w:w="168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strike w:val="1"/>
                <w:w w:val="96"/>
              </w:rPr>
              <w:t>Prior Three Months</w:t>
            </w: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strike w:val="1"/>
                <w:w w:val="95"/>
              </w:rPr>
              <w:t>or Payroll</w:t>
            </w:r>
          </w:p>
        </w:tc>
        <w:tc>
          <w:tcPr>
            <w:tcW w:w="1340" w:type="dxa"/>
            <w:vAlign w:val="bottom"/>
          </w:tcPr>
          <w:p>
            <w:pPr>
              <w:jc w:val="center"/>
              <w:ind w:left="174"/>
              <w:spacing w:after="0" w:line="158" w:lineRule="exact"/>
              <w:rPr>
                <w:sz w:val="20"/>
                <w:szCs w:val="20"/>
                <w:color w:val="auto"/>
              </w:rPr>
            </w:pPr>
            <w:r>
              <w:rPr>
                <w:rFonts w:ascii="Arial" w:cs="Arial" w:eastAsia="Arial" w:hAnsi="Arial"/>
                <w:sz w:val="14"/>
                <w:szCs w:val="14"/>
                <w:b w:val="1"/>
                <w:bCs w:val="1"/>
                <w:color w:val="auto"/>
                <w:strike w:val="1"/>
                <w:w w:val="87"/>
              </w:rPr>
              <w:t>Type of Asset</w:t>
            </w:r>
          </w:p>
        </w:tc>
        <w:tc>
          <w:tcPr>
            <w:tcW w:w="0" w:type="dxa"/>
            <w:vAlign w:val="bottom"/>
          </w:tcPr>
          <w:p>
            <w:pPr>
              <w:spacing w:after="0"/>
              <w:rPr>
                <w:sz w:val="1"/>
                <w:szCs w:val="1"/>
                <w:color w:val="auto"/>
              </w:rPr>
            </w:pPr>
          </w:p>
        </w:tc>
      </w:tr>
      <w:tr>
        <w:trPr>
          <w:trHeight w:val="161"/>
        </w:trPr>
        <w:tc>
          <w:tcPr>
            <w:tcW w:w="2100" w:type="dxa"/>
            <w:vAlign w:val="bottom"/>
          </w:tcPr>
          <w:p>
            <w:pPr>
              <w:spacing w:after="0"/>
              <w:rPr>
                <w:sz w:val="20"/>
                <w:szCs w:val="20"/>
                <w:color w:val="auto"/>
              </w:rPr>
            </w:pPr>
            <w:r>
              <w:rPr>
                <w:rFonts w:ascii="Arial" w:cs="Arial" w:eastAsia="Arial" w:hAnsi="Arial"/>
                <w:sz w:val="14"/>
                <w:szCs w:val="14"/>
                <w:b w:val="1"/>
                <w:bCs w:val="1"/>
                <w:u w:val="single" w:color="auto"/>
                <w:color w:val="auto"/>
                <w:strike w:val="1"/>
              </w:rPr>
              <w:t>Description</w:t>
            </w:r>
          </w:p>
        </w:tc>
        <w:tc>
          <w:tcPr>
            <w:tcW w:w="1740" w:type="dxa"/>
            <w:vAlign w:val="bottom"/>
          </w:tcPr>
          <w:p>
            <w:pPr>
              <w:jc w:val="center"/>
              <w:ind w:right="94"/>
              <w:spacing w:after="0"/>
              <w:rPr>
                <w:sz w:val="20"/>
                <w:szCs w:val="20"/>
                <w:color w:val="auto"/>
              </w:rPr>
            </w:pPr>
            <w:r>
              <w:rPr>
                <w:rFonts w:ascii="Arial" w:cs="Arial" w:eastAsia="Arial" w:hAnsi="Arial"/>
                <w:sz w:val="14"/>
                <w:szCs w:val="14"/>
                <w:b w:val="1"/>
                <w:bCs w:val="1"/>
                <w:color w:val="auto"/>
                <w:strike w:val="1"/>
                <w:w w:val="94"/>
              </w:rPr>
              <w:t>Institution</w:t>
            </w:r>
          </w:p>
        </w:tc>
        <w:tc>
          <w:tcPr>
            <w:tcW w:w="120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1680" w:type="dxa"/>
            <w:vAlign w:val="bottom"/>
          </w:tcPr>
          <w:p>
            <w:pPr>
              <w:jc w:val="center"/>
              <w:ind w:right="36"/>
              <w:spacing w:after="0"/>
              <w:rPr>
                <w:sz w:val="20"/>
                <w:szCs w:val="20"/>
                <w:color w:val="auto"/>
              </w:rPr>
            </w:pPr>
            <w:r>
              <w:rPr>
                <w:rFonts w:ascii="Arial" w:cs="Arial" w:eastAsia="Arial" w:hAnsi="Arial"/>
                <w:sz w:val="14"/>
                <w:szCs w:val="14"/>
                <w:b w:val="1"/>
                <w:bCs w:val="1"/>
                <w:color w:val="auto"/>
                <w:strike w:val="1"/>
                <w:w w:val="94"/>
              </w:rPr>
              <w:t>Ended 4/25/14</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strike w:val="1"/>
                <w:w w:val="89"/>
              </w:rPr>
              <w:t>Account</w:t>
            </w:r>
          </w:p>
        </w:tc>
        <w:tc>
          <w:tcPr>
            <w:tcW w:w="1340" w:type="dxa"/>
            <w:vAlign w:val="bottom"/>
          </w:tcPr>
          <w:p>
            <w:pPr>
              <w:jc w:val="center"/>
              <w:ind w:left="174"/>
              <w:spacing w:after="0"/>
              <w:rPr>
                <w:sz w:val="20"/>
                <w:szCs w:val="20"/>
                <w:color w:val="auto"/>
              </w:rPr>
            </w:pPr>
            <w:r>
              <w:rPr>
                <w:rFonts w:ascii="Arial" w:cs="Arial" w:eastAsia="Arial" w:hAnsi="Arial"/>
                <w:sz w:val="14"/>
                <w:szCs w:val="14"/>
                <w:b w:val="1"/>
                <w:bCs w:val="1"/>
                <w:color w:val="auto"/>
                <w:strike w:val="1"/>
                <w:w w:val="91"/>
              </w:rPr>
              <w:t>(Cash/Securitiies)</w:t>
            </w:r>
          </w:p>
        </w:tc>
        <w:tc>
          <w:tcPr>
            <w:tcW w:w="0" w:type="dxa"/>
            <w:vAlign w:val="bottom"/>
          </w:tcPr>
          <w:p>
            <w:pPr>
              <w:spacing w:after="0"/>
              <w:rPr>
                <w:sz w:val="1"/>
                <w:szCs w:val="1"/>
                <w:color w:val="auto"/>
              </w:rPr>
            </w:pPr>
          </w:p>
        </w:tc>
      </w:tr>
      <w:tr>
        <w:trPr>
          <w:trHeight w:val="244"/>
        </w:trPr>
        <w:tc>
          <w:tcPr>
            <w:tcW w:w="2100" w:type="dxa"/>
            <w:vAlign w:val="bottom"/>
          </w:tcPr>
          <w:p>
            <w:pPr>
              <w:jc w:val="center"/>
              <w:spacing w:after="0"/>
              <w:rPr>
                <w:sz w:val="20"/>
                <w:szCs w:val="20"/>
                <w:color w:val="auto"/>
              </w:rPr>
            </w:pPr>
            <w:r>
              <w:rPr>
                <w:rFonts w:ascii="Arial" w:cs="Arial" w:eastAsia="Arial" w:hAnsi="Arial"/>
                <w:sz w:val="18"/>
                <w:szCs w:val="18"/>
                <w:color w:val="auto"/>
                <w:strike w:val="1"/>
                <w:w w:val="93"/>
              </w:rPr>
              <w:t>Bank of America</w:t>
            </w:r>
          </w:p>
        </w:tc>
        <w:tc>
          <w:tcPr>
            <w:tcW w:w="1740" w:type="dxa"/>
            <w:vAlign w:val="bottom"/>
          </w:tcPr>
          <w:p>
            <w:pPr>
              <w:jc w:val="center"/>
              <w:ind w:right="74"/>
              <w:spacing w:after="0"/>
              <w:rPr>
                <w:sz w:val="20"/>
                <w:szCs w:val="20"/>
                <w:color w:val="auto"/>
              </w:rPr>
            </w:pPr>
            <w:r>
              <w:rPr>
                <w:rFonts w:ascii="Arial" w:cs="Arial" w:eastAsia="Arial" w:hAnsi="Arial"/>
                <w:sz w:val="18"/>
                <w:szCs w:val="18"/>
                <w:color w:val="auto"/>
                <w:strike w:val="1"/>
                <w:w w:val="92"/>
              </w:rPr>
              <w:t>Bank of America</w:t>
            </w:r>
          </w:p>
        </w:tc>
        <w:tc>
          <w:tcPr>
            <w:tcW w:w="1200" w:type="dxa"/>
            <w:vAlign w:val="bottom"/>
          </w:tcPr>
          <w:p>
            <w:pPr>
              <w:jc w:val="center"/>
              <w:spacing w:after="0"/>
              <w:rPr>
                <w:sz w:val="20"/>
                <w:szCs w:val="20"/>
                <w:color w:val="auto"/>
              </w:rPr>
            </w:pPr>
            <w:r>
              <w:rPr>
                <w:rFonts w:ascii="Arial" w:cs="Arial" w:eastAsia="Arial" w:hAnsi="Arial"/>
                <w:sz w:val="18"/>
                <w:szCs w:val="18"/>
                <w:color w:val="auto"/>
                <w:strike w:val="1"/>
                <w:w w:val="97"/>
              </w:rPr>
              <w:t>USA</w:t>
            </w:r>
          </w:p>
        </w:tc>
        <w:tc>
          <w:tcPr>
            <w:tcW w:w="1940" w:type="dxa"/>
            <w:vAlign w:val="bottom"/>
          </w:tcPr>
          <w:p>
            <w:pPr>
              <w:jc w:val="center"/>
              <w:ind w:left="113"/>
              <w:spacing w:after="0"/>
              <w:rPr>
                <w:sz w:val="20"/>
                <w:szCs w:val="20"/>
                <w:color w:val="auto"/>
              </w:rPr>
            </w:pPr>
            <w:r>
              <w:rPr>
                <w:rFonts w:ascii="Arial" w:cs="Arial" w:eastAsia="Arial" w:hAnsi="Arial"/>
                <w:sz w:val="18"/>
                <w:szCs w:val="18"/>
                <w:color w:val="auto"/>
                <w:strike w:val="1"/>
                <w:w w:val="90"/>
              </w:rPr>
              <w:t>0013684-01626</w:t>
            </w:r>
          </w:p>
        </w:tc>
        <w:tc>
          <w:tcPr>
            <w:tcW w:w="1680" w:type="dxa"/>
            <w:vAlign w:val="bottom"/>
          </w:tcPr>
          <w:p>
            <w:pPr>
              <w:jc w:val="center"/>
              <w:ind w:right="56"/>
              <w:spacing w:after="0"/>
              <w:rPr>
                <w:sz w:val="20"/>
                <w:szCs w:val="20"/>
                <w:color w:val="auto"/>
              </w:rPr>
            </w:pPr>
            <w:r>
              <w:rPr>
                <w:rFonts w:ascii="Arial" w:cs="Arial" w:eastAsia="Arial" w:hAnsi="Arial"/>
                <w:sz w:val="18"/>
                <w:szCs w:val="18"/>
                <w:color w:val="auto"/>
                <w:strike w:val="1"/>
                <w:w w:val="90"/>
              </w:rPr>
              <w:t>$5,057,432</w:t>
            </w:r>
          </w:p>
        </w:tc>
        <w:tc>
          <w:tcPr>
            <w:tcW w:w="1340" w:type="dxa"/>
            <w:vAlign w:val="bottom"/>
          </w:tcPr>
          <w:p>
            <w:pPr>
              <w:jc w:val="center"/>
              <w:spacing w:after="0"/>
              <w:rPr>
                <w:sz w:val="20"/>
                <w:szCs w:val="20"/>
                <w:color w:val="auto"/>
              </w:rPr>
            </w:pPr>
            <w:r>
              <w:rPr>
                <w:rFonts w:ascii="Arial" w:cs="Arial" w:eastAsia="Arial" w:hAnsi="Arial"/>
                <w:sz w:val="18"/>
                <w:szCs w:val="18"/>
                <w:color w:val="auto"/>
                <w:strike w:val="1"/>
                <w:w w:val="95"/>
              </w:rPr>
              <w:t>No</w:t>
            </w:r>
          </w:p>
        </w:tc>
        <w:tc>
          <w:tcPr>
            <w:tcW w:w="1340" w:type="dxa"/>
            <w:vAlign w:val="bottom"/>
          </w:tcPr>
          <w:p>
            <w:pPr>
              <w:jc w:val="center"/>
              <w:ind w:left="174"/>
              <w:spacing w:after="0"/>
              <w:rPr>
                <w:sz w:val="20"/>
                <w:szCs w:val="20"/>
                <w:color w:val="auto"/>
              </w:rPr>
            </w:pPr>
            <w:r>
              <w:rPr>
                <w:rFonts w:ascii="Arial" w:cs="Arial" w:eastAsia="Arial" w:hAnsi="Arial"/>
                <w:sz w:val="18"/>
                <w:szCs w:val="18"/>
                <w:color w:val="auto"/>
                <w:strike w:val="1"/>
                <w:w w:val="85"/>
              </w:rPr>
              <w:t>Cash</w:t>
            </w:r>
          </w:p>
        </w:tc>
        <w:tc>
          <w:tcPr>
            <w:tcW w:w="0" w:type="dxa"/>
            <w:vAlign w:val="bottom"/>
          </w:tcPr>
          <w:p>
            <w:pPr>
              <w:spacing w:after="0"/>
              <w:rPr>
                <w:sz w:val="1"/>
                <w:szCs w:val="1"/>
                <w:color w:val="auto"/>
              </w:rPr>
            </w:pPr>
          </w:p>
        </w:tc>
      </w:tr>
      <w:tr>
        <w:trPr>
          <w:trHeight w:val="310"/>
        </w:trPr>
        <w:tc>
          <w:tcPr>
            <w:tcW w:w="2100" w:type="dxa"/>
            <w:vAlign w:val="bottom"/>
          </w:tcPr>
          <w:p>
            <w:pPr>
              <w:jc w:val="center"/>
              <w:spacing w:after="0"/>
              <w:rPr>
                <w:sz w:val="20"/>
                <w:szCs w:val="20"/>
                <w:color w:val="auto"/>
              </w:rPr>
            </w:pPr>
            <w:r>
              <w:rPr>
                <w:rFonts w:ascii="Arial" w:cs="Arial" w:eastAsia="Arial" w:hAnsi="Arial"/>
                <w:sz w:val="18"/>
                <w:szCs w:val="18"/>
                <w:color w:val="auto"/>
                <w:strike w:val="1"/>
                <w:w w:val="94"/>
              </w:rPr>
              <w:t>Bank of America Money</w:t>
            </w:r>
          </w:p>
        </w:tc>
        <w:tc>
          <w:tcPr>
            <w:tcW w:w="1740" w:type="dxa"/>
            <w:vAlign w:val="bottom"/>
          </w:tcPr>
          <w:p>
            <w:pPr>
              <w:jc w:val="center"/>
              <w:ind w:right="94"/>
              <w:spacing w:after="0"/>
              <w:rPr>
                <w:sz w:val="20"/>
                <w:szCs w:val="20"/>
                <w:color w:val="auto"/>
              </w:rPr>
            </w:pPr>
            <w:r>
              <w:rPr>
                <w:rFonts w:ascii="Arial" w:cs="Arial" w:eastAsia="Arial" w:hAnsi="Arial"/>
                <w:sz w:val="18"/>
                <w:szCs w:val="18"/>
                <w:color w:val="auto"/>
                <w:strike w:val="1"/>
                <w:w w:val="93"/>
              </w:rPr>
              <w:t>Bank of America</w:t>
            </w:r>
          </w:p>
        </w:tc>
        <w:tc>
          <w:tcPr>
            <w:tcW w:w="1200" w:type="dxa"/>
            <w:vAlign w:val="bottom"/>
          </w:tcPr>
          <w:p>
            <w:pPr>
              <w:jc w:val="center"/>
              <w:spacing w:after="0"/>
              <w:rPr>
                <w:sz w:val="20"/>
                <w:szCs w:val="20"/>
                <w:color w:val="auto"/>
              </w:rPr>
            </w:pPr>
            <w:r>
              <w:rPr>
                <w:rFonts w:ascii="Arial" w:cs="Arial" w:eastAsia="Arial" w:hAnsi="Arial"/>
                <w:sz w:val="18"/>
                <w:szCs w:val="18"/>
                <w:color w:val="auto"/>
                <w:strike w:val="1"/>
                <w:w w:val="97"/>
              </w:rPr>
              <w:t>USA</w:t>
            </w:r>
          </w:p>
        </w:tc>
        <w:tc>
          <w:tcPr>
            <w:tcW w:w="1940" w:type="dxa"/>
            <w:vAlign w:val="bottom"/>
          </w:tcPr>
          <w:p>
            <w:pPr>
              <w:jc w:val="center"/>
              <w:ind w:left="93"/>
              <w:spacing w:after="0"/>
              <w:rPr>
                <w:sz w:val="20"/>
                <w:szCs w:val="20"/>
                <w:color w:val="auto"/>
              </w:rPr>
            </w:pPr>
            <w:r>
              <w:rPr>
                <w:rFonts w:ascii="Arial" w:cs="Arial" w:eastAsia="Arial" w:hAnsi="Arial"/>
                <w:sz w:val="18"/>
                <w:szCs w:val="18"/>
                <w:color w:val="auto"/>
                <w:strike w:val="1"/>
                <w:w w:val="91"/>
              </w:rPr>
              <w:t>72-40-400-0213850</w:t>
            </w:r>
          </w:p>
        </w:tc>
        <w:tc>
          <w:tcPr>
            <w:tcW w:w="1680" w:type="dxa"/>
            <w:vAlign w:val="bottom"/>
          </w:tcPr>
          <w:p>
            <w:pPr>
              <w:jc w:val="center"/>
              <w:ind w:right="56"/>
              <w:spacing w:after="0"/>
              <w:rPr>
                <w:sz w:val="20"/>
                <w:szCs w:val="20"/>
                <w:color w:val="auto"/>
              </w:rPr>
            </w:pPr>
            <w:r>
              <w:rPr>
                <w:rFonts w:ascii="Arial" w:cs="Arial" w:eastAsia="Arial" w:hAnsi="Arial"/>
                <w:sz w:val="18"/>
                <w:szCs w:val="18"/>
                <w:color w:val="auto"/>
                <w:strike w:val="1"/>
                <w:w w:val="90"/>
              </w:rPr>
              <w:t>$7,285,074</w:t>
            </w:r>
          </w:p>
        </w:tc>
        <w:tc>
          <w:tcPr>
            <w:tcW w:w="1340" w:type="dxa"/>
            <w:vAlign w:val="bottom"/>
          </w:tcPr>
          <w:p>
            <w:pPr>
              <w:jc w:val="center"/>
              <w:spacing w:after="0"/>
              <w:rPr>
                <w:sz w:val="20"/>
                <w:szCs w:val="20"/>
                <w:color w:val="auto"/>
              </w:rPr>
            </w:pPr>
            <w:r>
              <w:rPr>
                <w:rFonts w:ascii="Arial" w:cs="Arial" w:eastAsia="Arial" w:hAnsi="Arial"/>
                <w:sz w:val="18"/>
                <w:szCs w:val="18"/>
                <w:color w:val="auto"/>
                <w:strike w:val="1"/>
                <w:w w:val="95"/>
              </w:rPr>
              <w:t>No</w:t>
            </w:r>
          </w:p>
        </w:tc>
        <w:tc>
          <w:tcPr>
            <w:tcW w:w="1340" w:type="dxa"/>
            <w:vAlign w:val="bottom"/>
          </w:tcPr>
          <w:p>
            <w:pPr>
              <w:jc w:val="center"/>
              <w:ind w:left="174"/>
              <w:spacing w:after="0"/>
              <w:rPr>
                <w:sz w:val="20"/>
                <w:szCs w:val="20"/>
                <w:color w:val="auto"/>
              </w:rPr>
            </w:pPr>
            <w:r>
              <w:rPr>
                <w:rFonts w:ascii="Arial" w:cs="Arial" w:eastAsia="Arial" w:hAnsi="Arial"/>
                <w:sz w:val="18"/>
                <w:szCs w:val="18"/>
                <w:color w:val="auto"/>
                <w:strike w:val="1"/>
                <w:w w:val="85"/>
              </w:rPr>
              <w:t>Cash</w:t>
            </w:r>
          </w:p>
        </w:tc>
        <w:tc>
          <w:tcPr>
            <w:tcW w:w="0" w:type="dxa"/>
            <w:vAlign w:val="bottom"/>
          </w:tcPr>
          <w:p>
            <w:pPr>
              <w:spacing w:after="0"/>
              <w:rPr>
                <w:sz w:val="1"/>
                <w:szCs w:val="1"/>
                <w:color w:val="auto"/>
              </w:rPr>
            </w:pPr>
          </w:p>
        </w:tc>
      </w:tr>
      <w:tr>
        <w:trPr>
          <w:trHeight w:val="230"/>
        </w:trPr>
        <w:tc>
          <w:tcPr>
            <w:tcW w:w="2100" w:type="dxa"/>
            <w:vAlign w:val="bottom"/>
          </w:tcPr>
          <w:p>
            <w:pPr>
              <w:jc w:val="center"/>
              <w:spacing w:after="0"/>
              <w:rPr>
                <w:sz w:val="20"/>
                <w:szCs w:val="20"/>
                <w:color w:val="auto"/>
              </w:rPr>
            </w:pPr>
            <w:r>
              <w:rPr>
                <w:rFonts w:ascii="Arial" w:cs="Arial" w:eastAsia="Arial" w:hAnsi="Arial"/>
                <w:sz w:val="18"/>
                <w:szCs w:val="18"/>
                <w:color w:val="auto"/>
                <w:strike w:val="1"/>
                <w:w w:val="90"/>
              </w:rPr>
              <w:t>Market Savings</w:t>
            </w:r>
          </w:p>
        </w:tc>
        <w:tc>
          <w:tcPr>
            <w:tcW w:w="1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100" w:type="dxa"/>
            <w:vAlign w:val="bottom"/>
          </w:tcPr>
          <w:p>
            <w:pPr>
              <w:jc w:val="center"/>
              <w:spacing w:after="0"/>
              <w:rPr>
                <w:sz w:val="20"/>
                <w:szCs w:val="20"/>
                <w:color w:val="auto"/>
              </w:rPr>
            </w:pPr>
            <w:r>
              <w:rPr>
                <w:rFonts w:ascii="Arial" w:cs="Arial" w:eastAsia="Arial" w:hAnsi="Arial"/>
                <w:sz w:val="18"/>
                <w:szCs w:val="18"/>
                <w:color w:val="auto"/>
                <w:strike w:val="1"/>
                <w:w w:val="94"/>
              </w:rPr>
              <w:t>Bank of America Money</w:t>
            </w:r>
          </w:p>
        </w:tc>
        <w:tc>
          <w:tcPr>
            <w:tcW w:w="1740" w:type="dxa"/>
            <w:vAlign w:val="bottom"/>
          </w:tcPr>
          <w:p>
            <w:pPr>
              <w:jc w:val="center"/>
              <w:ind w:right="94"/>
              <w:spacing w:after="0"/>
              <w:rPr>
                <w:sz w:val="20"/>
                <w:szCs w:val="20"/>
                <w:color w:val="auto"/>
              </w:rPr>
            </w:pPr>
            <w:r>
              <w:rPr>
                <w:rFonts w:ascii="Arial" w:cs="Arial" w:eastAsia="Arial" w:hAnsi="Arial"/>
                <w:sz w:val="18"/>
                <w:szCs w:val="18"/>
                <w:color w:val="auto"/>
                <w:strike w:val="1"/>
                <w:w w:val="93"/>
              </w:rPr>
              <w:t>Bank of America</w:t>
            </w:r>
          </w:p>
        </w:tc>
        <w:tc>
          <w:tcPr>
            <w:tcW w:w="1200" w:type="dxa"/>
            <w:vAlign w:val="bottom"/>
          </w:tcPr>
          <w:p>
            <w:pPr>
              <w:jc w:val="center"/>
              <w:spacing w:after="0"/>
              <w:rPr>
                <w:sz w:val="20"/>
                <w:szCs w:val="20"/>
                <w:color w:val="auto"/>
              </w:rPr>
            </w:pPr>
            <w:r>
              <w:rPr>
                <w:rFonts w:ascii="Arial" w:cs="Arial" w:eastAsia="Arial" w:hAnsi="Arial"/>
                <w:sz w:val="18"/>
                <w:szCs w:val="18"/>
                <w:color w:val="auto"/>
                <w:strike w:val="1"/>
                <w:w w:val="97"/>
              </w:rPr>
              <w:t>USA</w:t>
            </w:r>
          </w:p>
        </w:tc>
        <w:tc>
          <w:tcPr>
            <w:tcW w:w="1940" w:type="dxa"/>
            <w:vAlign w:val="bottom"/>
          </w:tcPr>
          <w:p>
            <w:pPr>
              <w:jc w:val="center"/>
              <w:ind w:left="93"/>
              <w:spacing w:after="0"/>
              <w:rPr>
                <w:sz w:val="20"/>
                <w:szCs w:val="20"/>
                <w:color w:val="auto"/>
              </w:rPr>
            </w:pPr>
            <w:r>
              <w:rPr>
                <w:rFonts w:ascii="Arial" w:cs="Arial" w:eastAsia="Arial" w:hAnsi="Arial"/>
                <w:sz w:val="18"/>
                <w:szCs w:val="18"/>
                <w:color w:val="auto"/>
                <w:strike w:val="1"/>
                <w:w w:val="89"/>
              </w:rPr>
              <w:t>325000447937</w:t>
            </w:r>
          </w:p>
        </w:tc>
        <w:tc>
          <w:tcPr>
            <w:tcW w:w="1680" w:type="dxa"/>
            <w:vAlign w:val="bottom"/>
          </w:tcPr>
          <w:p>
            <w:pPr>
              <w:jc w:val="center"/>
              <w:ind w:right="56"/>
              <w:spacing w:after="0"/>
              <w:rPr>
                <w:sz w:val="20"/>
                <w:szCs w:val="20"/>
                <w:color w:val="auto"/>
              </w:rPr>
            </w:pPr>
            <w:r>
              <w:rPr>
                <w:rFonts w:ascii="Arial" w:cs="Arial" w:eastAsia="Arial" w:hAnsi="Arial"/>
                <w:sz w:val="18"/>
                <w:szCs w:val="18"/>
                <w:color w:val="auto"/>
                <w:strike w:val="1"/>
                <w:w w:val="89"/>
              </w:rPr>
              <w:t>$20,044,335</w:t>
            </w:r>
          </w:p>
        </w:tc>
        <w:tc>
          <w:tcPr>
            <w:tcW w:w="1340" w:type="dxa"/>
            <w:vAlign w:val="bottom"/>
          </w:tcPr>
          <w:p>
            <w:pPr>
              <w:jc w:val="center"/>
              <w:spacing w:after="0"/>
              <w:rPr>
                <w:sz w:val="20"/>
                <w:szCs w:val="20"/>
                <w:color w:val="auto"/>
              </w:rPr>
            </w:pPr>
            <w:r>
              <w:rPr>
                <w:rFonts w:ascii="Arial" w:cs="Arial" w:eastAsia="Arial" w:hAnsi="Arial"/>
                <w:sz w:val="18"/>
                <w:szCs w:val="18"/>
                <w:color w:val="auto"/>
                <w:strike w:val="1"/>
                <w:w w:val="95"/>
              </w:rPr>
              <w:t>No</w:t>
            </w:r>
          </w:p>
        </w:tc>
        <w:tc>
          <w:tcPr>
            <w:tcW w:w="1340" w:type="dxa"/>
            <w:vAlign w:val="bottom"/>
          </w:tcPr>
          <w:p>
            <w:pPr>
              <w:jc w:val="center"/>
              <w:ind w:left="174"/>
              <w:spacing w:after="0"/>
              <w:rPr>
                <w:sz w:val="20"/>
                <w:szCs w:val="20"/>
                <w:color w:val="auto"/>
              </w:rPr>
            </w:pPr>
            <w:r>
              <w:rPr>
                <w:rFonts w:ascii="Arial" w:cs="Arial" w:eastAsia="Arial" w:hAnsi="Arial"/>
                <w:sz w:val="18"/>
                <w:szCs w:val="18"/>
                <w:color w:val="auto"/>
                <w:strike w:val="1"/>
                <w:w w:val="85"/>
              </w:rPr>
              <w:t>Cash</w:t>
            </w:r>
          </w:p>
        </w:tc>
        <w:tc>
          <w:tcPr>
            <w:tcW w:w="0" w:type="dxa"/>
            <w:vAlign w:val="bottom"/>
          </w:tcPr>
          <w:p>
            <w:pPr>
              <w:spacing w:after="0"/>
              <w:rPr>
                <w:sz w:val="1"/>
                <w:szCs w:val="1"/>
                <w:color w:val="auto"/>
              </w:rPr>
            </w:pPr>
          </w:p>
        </w:tc>
      </w:tr>
      <w:tr>
        <w:trPr>
          <w:trHeight w:val="230"/>
        </w:trPr>
        <w:tc>
          <w:tcPr>
            <w:tcW w:w="2100" w:type="dxa"/>
            <w:vAlign w:val="bottom"/>
          </w:tcPr>
          <w:p>
            <w:pPr>
              <w:jc w:val="center"/>
              <w:spacing w:after="0"/>
              <w:rPr>
                <w:sz w:val="20"/>
                <w:szCs w:val="20"/>
                <w:color w:val="auto"/>
              </w:rPr>
            </w:pPr>
            <w:r>
              <w:rPr>
                <w:rFonts w:ascii="Arial" w:cs="Arial" w:eastAsia="Arial" w:hAnsi="Arial"/>
                <w:sz w:val="18"/>
                <w:szCs w:val="18"/>
                <w:color w:val="auto"/>
                <w:strike w:val="1"/>
                <w:w w:val="92"/>
              </w:rPr>
              <w:t>Market Deposit</w:t>
            </w:r>
          </w:p>
        </w:tc>
        <w:tc>
          <w:tcPr>
            <w:tcW w:w="1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100" w:type="dxa"/>
            <w:vAlign w:val="bottom"/>
          </w:tcPr>
          <w:p>
            <w:pPr>
              <w:jc w:val="center"/>
              <w:spacing w:after="0"/>
              <w:rPr>
                <w:sz w:val="20"/>
                <w:szCs w:val="20"/>
                <w:color w:val="auto"/>
              </w:rPr>
            </w:pPr>
            <w:r>
              <w:rPr>
                <w:rFonts w:ascii="Arial" w:cs="Arial" w:eastAsia="Arial" w:hAnsi="Arial"/>
                <w:sz w:val="18"/>
                <w:szCs w:val="18"/>
                <w:color w:val="auto"/>
                <w:strike w:val="1"/>
                <w:w w:val="93"/>
              </w:rPr>
              <w:t>BoA Fabrinet EFD</w:t>
            </w:r>
          </w:p>
        </w:tc>
        <w:tc>
          <w:tcPr>
            <w:tcW w:w="1740" w:type="dxa"/>
            <w:vAlign w:val="bottom"/>
          </w:tcPr>
          <w:p>
            <w:pPr>
              <w:jc w:val="center"/>
              <w:ind w:right="94"/>
              <w:spacing w:after="0"/>
              <w:rPr>
                <w:sz w:val="20"/>
                <w:szCs w:val="20"/>
                <w:color w:val="auto"/>
              </w:rPr>
            </w:pPr>
            <w:r>
              <w:rPr>
                <w:rFonts w:ascii="Arial" w:cs="Arial" w:eastAsia="Arial" w:hAnsi="Arial"/>
                <w:sz w:val="18"/>
                <w:szCs w:val="18"/>
                <w:color w:val="auto"/>
                <w:strike w:val="1"/>
                <w:w w:val="93"/>
              </w:rPr>
              <w:t>Bank of America</w:t>
            </w:r>
          </w:p>
        </w:tc>
        <w:tc>
          <w:tcPr>
            <w:tcW w:w="1200" w:type="dxa"/>
            <w:vAlign w:val="bottom"/>
          </w:tcPr>
          <w:p>
            <w:pPr>
              <w:jc w:val="center"/>
              <w:spacing w:after="0"/>
              <w:rPr>
                <w:sz w:val="20"/>
                <w:szCs w:val="20"/>
                <w:color w:val="auto"/>
              </w:rPr>
            </w:pPr>
            <w:r>
              <w:rPr>
                <w:rFonts w:ascii="Arial" w:cs="Arial" w:eastAsia="Arial" w:hAnsi="Arial"/>
                <w:sz w:val="18"/>
                <w:szCs w:val="18"/>
                <w:color w:val="auto"/>
                <w:strike w:val="1"/>
                <w:w w:val="97"/>
              </w:rPr>
              <w:t>USA</w:t>
            </w:r>
          </w:p>
        </w:tc>
        <w:tc>
          <w:tcPr>
            <w:tcW w:w="1940" w:type="dxa"/>
            <w:vAlign w:val="bottom"/>
          </w:tcPr>
          <w:p>
            <w:pPr>
              <w:jc w:val="center"/>
              <w:ind w:left="93"/>
              <w:spacing w:after="0"/>
              <w:rPr>
                <w:sz w:val="20"/>
                <w:szCs w:val="20"/>
                <w:color w:val="auto"/>
              </w:rPr>
            </w:pPr>
            <w:r>
              <w:rPr>
                <w:rFonts w:ascii="Arial" w:cs="Arial" w:eastAsia="Arial" w:hAnsi="Arial"/>
                <w:sz w:val="18"/>
                <w:szCs w:val="18"/>
                <w:color w:val="auto"/>
                <w:strike w:val="1"/>
                <w:w w:val="89"/>
              </w:rPr>
              <w:t>485008734281</w:t>
            </w:r>
          </w:p>
        </w:tc>
        <w:tc>
          <w:tcPr>
            <w:tcW w:w="1680" w:type="dxa"/>
            <w:vAlign w:val="bottom"/>
          </w:tcPr>
          <w:p>
            <w:pPr>
              <w:jc w:val="center"/>
              <w:ind w:right="36"/>
              <w:spacing w:after="0"/>
              <w:rPr>
                <w:sz w:val="20"/>
                <w:szCs w:val="20"/>
                <w:color w:val="auto"/>
              </w:rPr>
            </w:pPr>
            <w:r>
              <w:rPr>
                <w:rFonts w:ascii="Arial" w:cs="Arial" w:eastAsia="Arial" w:hAnsi="Arial"/>
                <w:sz w:val="18"/>
                <w:szCs w:val="18"/>
                <w:color w:val="auto"/>
                <w:strike w:val="1"/>
                <w:w w:val="90"/>
              </w:rPr>
              <w:t>$844,942</w:t>
            </w:r>
          </w:p>
        </w:tc>
        <w:tc>
          <w:tcPr>
            <w:tcW w:w="1340" w:type="dxa"/>
            <w:vAlign w:val="bottom"/>
          </w:tcPr>
          <w:p>
            <w:pPr>
              <w:jc w:val="center"/>
              <w:spacing w:after="0"/>
              <w:rPr>
                <w:sz w:val="20"/>
                <w:szCs w:val="20"/>
                <w:color w:val="auto"/>
              </w:rPr>
            </w:pPr>
            <w:r>
              <w:rPr>
                <w:rFonts w:ascii="Arial" w:cs="Arial" w:eastAsia="Arial" w:hAnsi="Arial"/>
                <w:sz w:val="18"/>
                <w:szCs w:val="18"/>
                <w:color w:val="auto"/>
                <w:strike w:val="1"/>
                <w:w w:val="95"/>
              </w:rPr>
              <w:t>No</w:t>
            </w:r>
          </w:p>
        </w:tc>
        <w:tc>
          <w:tcPr>
            <w:tcW w:w="1340" w:type="dxa"/>
            <w:vAlign w:val="bottom"/>
          </w:tcPr>
          <w:p>
            <w:pPr>
              <w:jc w:val="center"/>
              <w:ind w:left="174"/>
              <w:spacing w:after="0"/>
              <w:rPr>
                <w:sz w:val="20"/>
                <w:szCs w:val="20"/>
                <w:color w:val="auto"/>
              </w:rPr>
            </w:pPr>
            <w:r>
              <w:rPr>
                <w:rFonts w:ascii="Arial" w:cs="Arial" w:eastAsia="Arial" w:hAnsi="Arial"/>
                <w:sz w:val="18"/>
                <w:szCs w:val="18"/>
                <w:color w:val="auto"/>
                <w:strike w:val="1"/>
                <w:w w:val="85"/>
              </w:rPr>
              <w:t>Cash</w:t>
            </w:r>
          </w:p>
        </w:tc>
        <w:tc>
          <w:tcPr>
            <w:tcW w:w="0" w:type="dxa"/>
            <w:vAlign w:val="bottom"/>
          </w:tcPr>
          <w:p>
            <w:pPr>
              <w:spacing w:after="0"/>
              <w:rPr>
                <w:sz w:val="1"/>
                <w:szCs w:val="1"/>
                <w:color w:val="auto"/>
              </w:rPr>
            </w:pPr>
          </w:p>
        </w:tc>
      </w:tr>
      <w:tr>
        <w:trPr>
          <w:trHeight w:val="324"/>
        </w:trPr>
        <w:tc>
          <w:tcPr>
            <w:tcW w:w="2100" w:type="dxa"/>
            <w:vAlign w:val="bottom"/>
          </w:tcPr>
          <w:p>
            <w:pPr>
              <w:jc w:val="center"/>
              <w:spacing w:after="0"/>
              <w:rPr>
                <w:sz w:val="20"/>
                <w:szCs w:val="20"/>
                <w:color w:val="auto"/>
              </w:rPr>
            </w:pPr>
            <w:r>
              <w:rPr>
                <w:rFonts w:ascii="Arial" w:cs="Arial" w:eastAsia="Arial" w:hAnsi="Arial"/>
                <w:sz w:val="18"/>
                <w:szCs w:val="18"/>
                <w:color w:val="auto"/>
                <w:strike w:val="1"/>
                <w:w w:val="92"/>
              </w:rPr>
              <w:t>HSBC USA Checking</w:t>
            </w:r>
          </w:p>
        </w:tc>
        <w:tc>
          <w:tcPr>
            <w:tcW w:w="1740" w:type="dxa"/>
            <w:vAlign w:val="bottom"/>
          </w:tcPr>
          <w:p>
            <w:pPr>
              <w:jc w:val="center"/>
              <w:ind w:right="94"/>
              <w:spacing w:after="0"/>
              <w:rPr>
                <w:sz w:val="20"/>
                <w:szCs w:val="20"/>
                <w:color w:val="auto"/>
              </w:rPr>
            </w:pPr>
            <w:r>
              <w:rPr>
                <w:rFonts w:ascii="Arial" w:cs="Arial" w:eastAsia="Arial" w:hAnsi="Arial"/>
                <w:sz w:val="18"/>
                <w:szCs w:val="18"/>
                <w:color w:val="auto"/>
                <w:strike w:val="1"/>
                <w:w w:val="95"/>
              </w:rPr>
              <w:t>HSBC</w:t>
            </w:r>
          </w:p>
        </w:tc>
        <w:tc>
          <w:tcPr>
            <w:tcW w:w="1200" w:type="dxa"/>
            <w:vAlign w:val="bottom"/>
          </w:tcPr>
          <w:p>
            <w:pPr>
              <w:jc w:val="center"/>
              <w:spacing w:after="0"/>
              <w:rPr>
                <w:sz w:val="20"/>
                <w:szCs w:val="20"/>
                <w:color w:val="auto"/>
              </w:rPr>
            </w:pPr>
            <w:r>
              <w:rPr>
                <w:rFonts w:ascii="Arial" w:cs="Arial" w:eastAsia="Arial" w:hAnsi="Arial"/>
                <w:sz w:val="18"/>
                <w:szCs w:val="18"/>
                <w:color w:val="auto"/>
                <w:strike w:val="1"/>
                <w:w w:val="97"/>
              </w:rPr>
              <w:t>USA</w:t>
            </w:r>
          </w:p>
        </w:tc>
        <w:tc>
          <w:tcPr>
            <w:tcW w:w="1940" w:type="dxa"/>
            <w:vAlign w:val="bottom"/>
          </w:tcPr>
          <w:p>
            <w:pPr>
              <w:jc w:val="center"/>
              <w:ind w:left="93"/>
              <w:spacing w:after="0"/>
              <w:rPr>
                <w:sz w:val="20"/>
                <w:szCs w:val="20"/>
                <w:color w:val="auto"/>
              </w:rPr>
            </w:pPr>
            <w:r>
              <w:rPr>
                <w:rFonts w:ascii="Arial" w:cs="Arial" w:eastAsia="Arial" w:hAnsi="Arial"/>
                <w:sz w:val="18"/>
                <w:szCs w:val="18"/>
                <w:color w:val="auto"/>
                <w:strike w:val="1"/>
                <w:w w:val="88"/>
              </w:rPr>
              <w:t>267115547</w:t>
            </w:r>
          </w:p>
        </w:tc>
        <w:tc>
          <w:tcPr>
            <w:tcW w:w="1680" w:type="dxa"/>
            <w:vAlign w:val="bottom"/>
          </w:tcPr>
          <w:p>
            <w:pPr>
              <w:jc w:val="center"/>
              <w:ind w:right="56"/>
              <w:spacing w:after="0"/>
              <w:rPr>
                <w:sz w:val="20"/>
                <w:szCs w:val="20"/>
                <w:color w:val="auto"/>
              </w:rPr>
            </w:pPr>
            <w:r>
              <w:rPr>
                <w:rFonts w:ascii="Arial" w:cs="Arial" w:eastAsia="Arial" w:hAnsi="Arial"/>
                <w:sz w:val="18"/>
                <w:szCs w:val="18"/>
                <w:color w:val="auto"/>
                <w:strike w:val="1"/>
                <w:w w:val="89"/>
              </w:rPr>
              <w:t>$10,000</w:t>
            </w:r>
          </w:p>
        </w:tc>
        <w:tc>
          <w:tcPr>
            <w:tcW w:w="1340" w:type="dxa"/>
            <w:vAlign w:val="bottom"/>
          </w:tcPr>
          <w:p>
            <w:pPr>
              <w:jc w:val="center"/>
              <w:spacing w:after="0"/>
              <w:rPr>
                <w:sz w:val="20"/>
                <w:szCs w:val="20"/>
                <w:color w:val="auto"/>
              </w:rPr>
            </w:pPr>
            <w:r>
              <w:rPr>
                <w:rFonts w:ascii="Arial" w:cs="Arial" w:eastAsia="Arial" w:hAnsi="Arial"/>
                <w:sz w:val="18"/>
                <w:szCs w:val="18"/>
                <w:color w:val="auto"/>
                <w:strike w:val="1"/>
                <w:w w:val="95"/>
              </w:rPr>
              <w:t>No</w:t>
            </w:r>
          </w:p>
        </w:tc>
        <w:tc>
          <w:tcPr>
            <w:tcW w:w="1340" w:type="dxa"/>
            <w:vAlign w:val="bottom"/>
          </w:tcPr>
          <w:p>
            <w:pPr>
              <w:jc w:val="center"/>
              <w:ind w:left="174"/>
              <w:spacing w:after="0"/>
              <w:rPr>
                <w:sz w:val="20"/>
                <w:szCs w:val="20"/>
                <w:color w:val="auto"/>
              </w:rPr>
            </w:pPr>
            <w:r>
              <w:rPr>
                <w:rFonts w:ascii="Arial" w:cs="Arial" w:eastAsia="Arial" w:hAnsi="Arial"/>
                <w:sz w:val="18"/>
                <w:szCs w:val="18"/>
                <w:color w:val="auto"/>
                <w:strike w:val="1"/>
                <w:w w:val="85"/>
              </w:rPr>
              <w:t>Cash</w:t>
            </w:r>
          </w:p>
        </w:tc>
        <w:tc>
          <w:tcPr>
            <w:tcW w:w="0" w:type="dxa"/>
            <w:vAlign w:val="bottom"/>
          </w:tcPr>
          <w:p>
            <w:pPr>
              <w:spacing w:after="0"/>
              <w:rPr>
                <w:sz w:val="1"/>
                <w:szCs w:val="1"/>
                <w:color w:val="auto"/>
              </w:rPr>
            </w:pPr>
          </w:p>
        </w:tc>
      </w:tr>
      <w:tr>
        <w:trPr>
          <w:trHeight w:val="324"/>
        </w:trPr>
        <w:tc>
          <w:tcPr>
            <w:tcW w:w="2100" w:type="dxa"/>
            <w:vAlign w:val="bottom"/>
          </w:tcPr>
          <w:p>
            <w:pPr>
              <w:jc w:val="center"/>
              <w:spacing w:after="0"/>
              <w:rPr>
                <w:sz w:val="20"/>
                <w:szCs w:val="20"/>
                <w:color w:val="auto"/>
              </w:rPr>
            </w:pPr>
            <w:r>
              <w:rPr>
                <w:rFonts w:ascii="Arial" w:cs="Arial" w:eastAsia="Arial" w:hAnsi="Arial"/>
                <w:sz w:val="18"/>
                <w:szCs w:val="18"/>
                <w:color w:val="auto"/>
                <w:strike w:val="1"/>
                <w:w w:val="91"/>
              </w:rPr>
              <w:t>HSBC USA Savings</w:t>
            </w:r>
          </w:p>
        </w:tc>
        <w:tc>
          <w:tcPr>
            <w:tcW w:w="1740" w:type="dxa"/>
            <w:vAlign w:val="bottom"/>
          </w:tcPr>
          <w:p>
            <w:pPr>
              <w:jc w:val="center"/>
              <w:ind w:right="94"/>
              <w:spacing w:after="0"/>
              <w:rPr>
                <w:sz w:val="20"/>
                <w:szCs w:val="20"/>
                <w:color w:val="auto"/>
              </w:rPr>
            </w:pPr>
            <w:r>
              <w:rPr>
                <w:rFonts w:ascii="Arial" w:cs="Arial" w:eastAsia="Arial" w:hAnsi="Arial"/>
                <w:sz w:val="18"/>
                <w:szCs w:val="18"/>
                <w:color w:val="auto"/>
                <w:strike w:val="1"/>
                <w:w w:val="95"/>
              </w:rPr>
              <w:t>HSBC</w:t>
            </w:r>
          </w:p>
        </w:tc>
        <w:tc>
          <w:tcPr>
            <w:tcW w:w="1200" w:type="dxa"/>
            <w:vAlign w:val="bottom"/>
          </w:tcPr>
          <w:p>
            <w:pPr>
              <w:jc w:val="center"/>
              <w:spacing w:after="0"/>
              <w:rPr>
                <w:sz w:val="20"/>
                <w:szCs w:val="20"/>
                <w:color w:val="auto"/>
              </w:rPr>
            </w:pPr>
            <w:r>
              <w:rPr>
                <w:rFonts w:ascii="Arial" w:cs="Arial" w:eastAsia="Arial" w:hAnsi="Arial"/>
                <w:sz w:val="18"/>
                <w:szCs w:val="18"/>
                <w:color w:val="auto"/>
                <w:strike w:val="1"/>
                <w:w w:val="97"/>
              </w:rPr>
              <w:t>USA</w:t>
            </w:r>
          </w:p>
        </w:tc>
        <w:tc>
          <w:tcPr>
            <w:tcW w:w="1940" w:type="dxa"/>
            <w:vAlign w:val="bottom"/>
          </w:tcPr>
          <w:p>
            <w:pPr>
              <w:jc w:val="center"/>
              <w:ind w:left="113"/>
              <w:spacing w:after="0"/>
              <w:rPr>
                <w:sz w:val="20"/>
                <w:szCs w:val="20"/>
                <w:color w:val="auto"/>
              </w:rPr>
            </w:pPr>
            <w:r>
              <w:rPr>
                <w:rFonts w:ascii="Arial" w:cs="Arial" w:eastAsia="Arial" w:hAnsi="Arial"/>
                <w:sz w:val="18"/>
                <w:szCs w:val="18"/>
                <w:color w:val="auto"/>
                <w:strike w:val="1"/>
                <w:w w:val="90"/>
              </w:rPr>
              <w:t>267519958</w:t>
            </w:r>
          </w:p>
        </w:tc>
        <w:tc>
          <w:tcPr>
            <w:tcW w:w="1680" w:type="dxa"/>
            <w:vAlign w:val="bottom"/>
          </w:tcPr>
          <w:p>
            <w:pPr>
              <w:jc w:val="center"/>
              <w:ind w:right="56"/>
              <w:spacing w:after="0"/>
              <w:rPr>
                <w:sz w:val="20"/>
                <w:szCs w:val="20"/>
                <w:color w:val="auto"/>
              </w:rPr>
            </w:pPr>
            <w:r>
              <w:rPr>
                <w:rFonts w:ascii="Arial" w:cs="Arial" w:eastAsia="Arial" w:hAnsi="Arial"/>
                <w:sz w:val="18"/>
                <w:szCs w:val="18"/>
                <w:color w:val="auto"/>
                <w:strike w:val="1"/>
                <w:w w:val="89"/>
              </w:rPr>
              <w:t>$30,000,000</w:t>
            </w:r>
          </w:p>
        </w:tc>
        <w:tc>
          <w:tcPr>
            <w:tcW w:w="1340" w:type="dxa"/>
            <w:vAlign w:val="bottom"/>
          </w:tcPr>
          <w:p>
            <w:pPr>
              <w:jc w:val="center"/>
              <w:spacing w:after="0"/>
              <w:rPr>
                <w:sz w:val="20"/>
                <w:szCs w:val="20"/>
                <w:color w:val="auto"/>
              </w:rPr>
            </w:pPr>
            <w:r>
              <w:rPr>
                <w:rFonts w:ascii="Arial" w:cs="Arial" w:eastAsia="Arial" w:hAnsi="Arial"/>
                <w:sz w:val="18"/>
                <w:szCs w:val="18"/>
                <w:color w:val="auto"/>
                <w:strike w:val="1"/>
                <w:w w:val="95"/>
              </w:rPr>
              <w:t>No</w:t>
            </w:r>
          </w:p>
        </w:tc>
        <w:tc>
          <w:tcPr>
            <w:tcW w:w="1340" w:type="dxa"/>
            <w:vAlign w:val="bottom"/>
          </w:tcPr>
          <w:p>
            <w:pPr>
              <w:jc w:val="center"/>
              <w:ind w:left="174"/>
              <w:spacing w:after="0"/>
              <w:rPr>
                <w:sz w:val="20"/>
                <w:szCs w:val="20"/>
                <w:color w:val="auto"/>
              </w:rPr>
            </w:pPr>
            <w:r>
              <w:rPr>
                <w:rFonts w:ascii="Arial" w:cs="Arial" w:eastAsia="Arial" w:hAnsi="Arial"/>
                <w:sz w:val="18"/>
                <w:szCs w:val="18"/>
                <w:color w:val="auto"/>
                <w:strike w:val="1"/>
                <w:w w:val="85"/>
              </w:rPr>
              <w:t>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-1448435</wp:posOffset>
            </wp:positionV>
            <wp:extent cx="58572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340"/>
          </w:cols>
          <w:pgMar w:left="240" w:top="270" w:right="319" w:bottom="1440" w:gutter="0" w:footer="0" w:header="0"/>
        </w:sectPr>
      </w:pPr>
    </w:p>
    <w:bookmarkStart w:id="155" w:name="page156"/>
    <w:bookmarkEnd w:id="155"/>
    <w:p>
      <w:pPr>
        <w:jc w:val="center"/>
        <w:ind w:right="-1200"/>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5.20(b)(ii)</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strike w:val="1"/>
        </w:rPr>
        <w:t>Electronic Chattel Paper &amp; Letter of Credit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strike w:val="1"/>
        </w:rPr>
        <w:t>None.</w:t>
      </w:r>
    </w:p>
    <w:p>
      <w:pPr>
        <w:sectPr>
          <w:pgSz w:w="11900" w:h="16838" w:orient="portrait"/>
          <w:cols w:equalWidth="0" w:num="1">
            <w:col w:w="10219"/>
          </w:cols>
          <w:pgMar w:left="240" w:top="270" w:right="1440" w:bottom="1440" w:gutter="0" w:footer="0" w:header="0"/>
        </w:sectPr>
      </w:pPr>
    </w:p>
    <w:bookmarkStart w:id="156" w:name="page157"/>
    <w:bookmarkEnd w:id="156"/>
    <w:p>
      <w:pPr>
        <w:jc w:val="center"/>
        <w:ind w:right="-199"/>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5.20(c)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strike w:val="1"/>
        </w:rPr>
        <w:t>Pledged Equity Interests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jc w:val="center"/>
              <w:ind w:left="34"/>
              <w:spacing w:after="0"/>
              <w:rPr>
                <w:sz w:val="20"/>
                <w:szCs w:val="20"/>
                <w:color w:val="auto"/>
              </w:rPr>
            </w:pPr>
            <w:r>
              <w:rPr>
                <w:rFonts w:ascii="Arial" w:cs="Arial" w:eastAsia="Arial" w:hAnsi="Arial"/>
                <w:sz w:val="14"/>
                <w:szCs w:val="14"/>
                <w:b w:val="1"/>
                <w:bCs w:val="1"/>
                <w:color w:val="auto"/>
                <w:strike w:val="1"/>
                <w:w w:val="92"/>
              </w:rPr>
              <w:t>Number of Shares</w:t>
            </w:r>
          </w:p>
        </w:tc>
        <w:tc>
          <w:tcPr>
            <w:tcW w:w="1800" w:type="dxa"/>
            <w:vAlign w:val="bottom"/>
          </w:tcPr>
          <w:p>
            <w:pPr>
              <w:spacing w:after="0"/>
              <w:rPr>
                <w:sz w:val="14"/>
                <w:szCs w:val="14"/>
                <w:color w:val="auto"/>
              </w:rPr>
            </w:pPr>
          </w:p>
        </w:tc>
        <w:tc>
          <w:tcPr>
            <w:tcW w:w="1880" w:type="dxa"/>
            <w:vAlign w:val="bottom"/>
          </w:tcPr>
          <w:p>
            <w:pPr>
              <w:ind w:left="260"/>
              <w:spacing w:after="0"/>
              <w:rPr>
                <w:sz w:val="20"/>
                <w:szCs w:val="20"/>
                <w:color w:val="auto"/>
              </w:rPr>
            </w:pPr>
            <w:r>
              <w:rPr>
                <w:rFonts w:ascii="Arial" w:cs="Arial" w:eastAsia="Arial" w:hAnsi="Arial"/>
                <w:sz w:val="14"/>
                <w:szCs w:val="14"/>
                <w:b w:val="1"/>
                <w:bCs w:val="1"/>
                <w:color w:val="auto"/>
                <w:strike w:val="1"/>
              </w:rPr>
              <w:t>Percentage Ownership</w:t>
            </w:r>
          </w:p>
        </w:tc>
        <w:tc>
          <w:tcPr>
            <w:tcW w:w="1400" w:type="dxa"/>
            <w:vAlign w:val="bottom"/>
          </w:tcPr>
          <w:p>
            <w:pPr>
              <w:jc w:val="center"/>
              <w:ind w:left="174"/>
              <w:spacing w:after="0"/>
              <w:rPr>
                <w:sz w:val="20"/>
                <w:szCs w:val="20"/>
                <w:color w:val="auto"/>
              </w:rPr>
            </w:pPr>
            <w:r>
              <w:rPr>
                <w:rFonts w:ascii="Arial" w:cs="Arial" w:eastAsia="Arial" w:hAnsi="Arial"/>
                <w:sz w:val="14"/>
                <w:szCs w:val="14"/>
                <w:b w:val="1"/>
                <w:bCs w:val="1"/>
                <w:color w:val="auto"/>
                <w:strike w:val="1"/>
                <w:w w:val="92"/>
              </w:rPr>
              <w:t>Class of Equity</w:t>
            </w:r>
          </w:p>
        </w:tc>
      </w:tr>
      <w:tr>
        <w:trPr>
          <w:trHeight w:val="170"/>
        </w:trPr>
        <w:tc>
          <w:tcPr>
            <w:tcW w:w="2700" w:type="dxa"/>
            <w:vAlign w:val="bottom"/>
          </w:tcPr>
          <w:p>
            <w:pPr>
              <w:jc w:val="center"/>
              <w:ind w:right="232"/>
              <w:spacing w:after="0"/>
              <w:rPr>
                <w:sz w:val="20"/>
                <w:szCs w:val="20"/>
                <w:color w:val="auto"/>
              </w:rPr>
            </w:pPr>
            <w:r>
              <w:rPr>
                <w:rFonts w:ascii="Arial" w:cs="Arial" w:eastAsia="Arial" w:hAnsi="Arial"/>
                <w:sz w:val="14"/>
                <w:szCs w:val="14"/>
                <w:b w:val="1"/>
                <w:bCs w:val="1"/>
                <w:u w:val="single" w:color="auto"/>
                <w:color w:val="auto"/>
                <w:strike w:val="1"/>
                <w:w w:val="92"/>
              </w:rPr>
              <w:t>Issuer</w:t>
            </w:r>
          </w:p>
        </w:tc>
        <w:tc>
          <w:tcPr>
            <w:tcW w:w="1480" w:type="dxa"/>
            <w:vAlign w:val="bottom"/>
          </w:tcPr>
          <w:p>
            <w:pPr>
              <w:jc w:val="center"/>
              <w:ind w:right="52"/>
              <w:spacing w:after="0"/>
              <w:rPr>
                <w:sz w:val="20"/>
                <w:szCs w:val="20"/>
                <w:color w:val="auto"/>
              </w:rPr>
            </w:pPr>
            <w:r>
              <w:rPr>
                <w:rFonts w:ascii="Arial" w:cs="Arial" w:eastAsia="Arial" w:hAnsi="Arial"/>
                <w:sz w:val="14"/>
                <w:szCs w:val="14"/>
                <w:b w:val="1"/>
                <w:bCs w:val="1"/>
                <w:color w:val="auto"/>
                <w:strike w:val="1"/>
                <w:w w:val="96"/>
              </w:rPr>
              <w:t>Owner</w:t>
            </w:r>
          </w:p>
        </w:tc>
        <w:tc>
          <w:tcPr>
            <w:tcW w:w="1920" w:type="dxa"/>
            <w:vAlign w:val="bottom"/>
          </w:tcPr>
          <w:p>
            <w:pPr>
              <w:jc w:val="center"/>
              <w:ind w:left="54"/>
              <w:spacing w:after="0"/>
              <w:rPr>
                <w:sz w:val="20"/>
                <w:szCs w:val="20"/>
                <w:color w:val="auto"/>
              </w:rPr>
            </w:pPr>
            <w:r>
              <w:rPr>
                <w:rFonts w:ascii="Arial" w:cs="Arial" w:eastAsia="Arial" w:hAnsi="Arial"/>
                <w:sz w:val="14"/>
                <w:szCs w:val="14"/>
                <w:b w:val="1"/>
                <w:bCs w:val="1"/>
                <w:color w:val="auto"/>
                <w:strike w:val="1"/>
                <w:w w:val="91"/>
              </w:rPr>
              <w:t>Pledged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strike w:val="1"/>
                <w:w w:val="95"/>
              </w:rPr>
              <w:t>Certificate Number</w:t>
            </w:r>
          </w:p>
        </w:tc>
        <w:tc>
          <w:tcPr>
            <w:tcW w:w="1880" w:type="dxa"/>
            <w:vAlign w:val="bottom"/>
          </w:tcPr>
          <w:p>
            <w:pPr>
              <w:ind w:left="260"/>
              <w:spacing w:after="0"/>
              <w:rPr>
                <w:sz w:val="20"/>
                <w:szCs w:val="20"/>
                <w:color w:val="auto"/>
              </w:rPr>
            </w:pPr>
            <w:r>
              <w:rPr>
                <w:rFonts w:ascii="Arial" w:cs="Arial" w:eastAsia="Arial" w:hAnsi="Arial"/>
                <w:sz w:val="14"/>
                <w:szCs w:val="14"/>
                <w:b w:val="1"/>
                <w:bCs w:val="1"/>
                <w:color w:val="auto"/>
                <w:strike w:val="1"/>
              </w:rPr>
              <w:t>of Outstanding Shares</w:t>
            </w:r>
          </w:p>
        </w:tc>
        <w:tc>
          <w:tcPr>
            <w:tcW w:w="1400" w:type="dxa"/>
            <w:vAlign w:val="bottom"/>
          </w:tcPr>
          <w:p>
            <w:pPr>
              <w:jc w:val="center"/>
              <w:ind w:left="154"/>
              <w:spacing w:after="0"/>
              <w:rPr>
                <w:sz w:val="20"/>
                <w:szCs w:val="20"/>
                <w:color w:val="auto"/>
              </w:rPr>
            </w:pPr>
            <w:r>
              <w:rPr>
                <w:rFonts w:ascii="Arial" w:cs="Arial" w:eastAsia="Arial" w:hAnsi="Arial"/>
                <w:sz w:val="14"/>
                <w:szCs w:val="14"/>
                <w:b w:val="1"/>
                <w:bCs w:val="1"/>
                <w:color w:val="auto"/>
                <w:strike w:val="1"/>
                <w:w w:val="89"/>
              </w:rPr>
              <w:t>Interests</w:t>
            </w:r>
          </w:p>
        </w:tc>
      </w:tr>
      <w:tr>
        <w:trPr>
          <w:trHeight w:val="244"/>
        </w:trPr>
        <w:tc>
          <w:tcPr>
            <w:tcW w:w="2700" w:type="dxa"/>
            <w:vAlign w:val="bottom"/>
          </w:tcPr>
          <w:p>
            <w:pPr>
              <w:jc w:val="center"/>
              <w:ind w:right="232"/>
              <w:spacing w:after="0"/>
              <w:rPr>
                <w:sz w:val="20"/>
                <w:szCs w:val="20"/>
                <w:color w:val="auto"/>
              </w:rPr>
            </w:pPr>
            <w:r>
              <w:rPr>
                <w:rFonts w:ascii="Arial" w:cs="Arial" w:eastAsia="Arial" w:hAnsi="Arial"/>
                <w:sz w:val="18"/>
                <w:szCs w:val="18"/>
                <w:color w:val="auto"/>
                <w:strike w:val="1"/>
                <w:w w:val="93"/>
              </w:rPr>
              <w:t>Fabrinet Co., Ltd.</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strike w:val="1"/>
                <w:w w:val="90"/>
              </w:rPr>
              <w:t>Company</w:t>
            </w:r>
          </w:p>
        </w:tc>
        <w:tc>
          <w:tcPr>
            <w:tcW w:w="1920" w:type="dxa"/>
            <w:vAlign w:val="bottom"/>
          </w:tcPr>
          <w:p>
            <w:pPr>
              <w:jc w:val="center"/>
              <w:ind w:left="54"/>
              <w:spacing w:after="0"/>
              <w:rPr>
                <w:sz w:val="20"/>
                <w:szCs w:val="20"/>
                <w:color w:val="auto"/>
              </w:rPr>
            </w:pPr>
            <w:r>
              <w:rPr>
                <w:rFonts w:ascii="Arial" w:cs="Arial" w:eastAsia="Arial" w:hAnsi="Arial"/>
                <w:sz w:val="18"/>
                <w:szCs w:val="18"/>
                <w:color w:val="auto"/>
                <w:strike w:val="1"/>
                <w:w w:val="90"/>
              </w:rPr>
              <w:t>74,999,992</w:t>
            </w:r>
          </w:p>
        </w:tc>
        <w:tc>
          <w:tcPr>
            <w:tcW w:w="1800" w:type="dxa"/>
            <w:vAlign w:val="bottom"/>
          </w:tcPr>
          <w:p>
            <w:pPr>
              <w:jc w:val="center"/>
              <w:spacing w:after="0"/>
              <w:rPr>
                <w:sz w:val="20"/>
                <w:szCs w:val="20"/>
                <w:color w:val="auto"/>
              </w:rPr>
            </w:pPr>
            <w:r>
              <w:rPr>
                <w:rFonts w:ascii="Arial" w:cs="Arial" w:eastAsia="Arial" w:hAnsi="Arial"/>
                <w:sz w:val="18"/>
                <w:szCs w:val="18"/>
                <w:color w:val="auto"/>
                <w:strike w:val="1"/>
                <w:w w:val="89"/>
              </w:rPr>
              <w:t>17 and 18</w:t>
            </w:r>
          </w:p>
        </w:tc>
        <w:tc>
          <w:tcPr>
            <w:tcW w:w="1880" w:type="dxa"/>
            <w:vAlign w:val="bottom"/>
          </w:tcPr>
          <w:p>
            <w:pPr>
              <w:jc w:val="center"/>
              <w:spacing w:after="0"/>
              <w:rPr>
                <w:sz w:val="20"/>
                <w:szCs w:val="20"/>
                <w:color w:val="auto"/>
              </w:rPr>
            </w:pPr>
            <w:r>
              <w:rPr>
                <w:rFonts w:ascii="Arial" w:cs="Arial" w:eastAsia="Arial" w:hAnsi="Arial"/>
                <w:sz w:val="18"/>
                <w:szCs w:val="18"/>
                <w:color w:val="auto"/>
                <w:strike w:val="1"/>
                <w:w w:val="88"/>
              </w:rPr>
              <w:t>99.99%</w:t>
            </w:r>
          </w:p>
        </w:tc>
        <w:tc>
          <w:tcPr>
            <w:tcW w:w="1400" w:type="dxa"/>
            <w:vAlign w:val="bottom"/>
          </w:tcPr>
          <w:p>
            <w:pPr>
              <w:jc w:val="center"/>
              <w:ind w:left="174"/>
              <w:spacing w:after="0"/>
              <w:rPr>
                <w:sz w:val="20"/>
                <w:szCs w:val="20"/>
                <w:color w:val="auto"/>
              </w:rPr>
            </w:pPr>
            <w:r>
              <w:rPr>
                <w:rFonts w:ascii="Arial" w:cs="Arial" w:eastAsia="Arial" w:hAnsi="Arial"/>
                <w:sz w:val="18"/>
                <w:szCs w:val="18"/>
                <w:color w:val="auto"/>
                <w:strike w:val="1"/>
                <w:w w:val="88"/>
              </w:rPr>
              <w:t>Ordinary shares</w:t>
            </w:r>
          </w:p>
        </w:tc>
      </w:tr>
      <w:tr>
        <w:trPr>
          <w:trHeight w:val="324"/>
        </w:trPr>
        <w:tc>
          <w:tcPr>
            <w:tcW w:w="2700" w:type="dxa"/>
            <w:vAlign w:val="bottom"/>
          </w:tcPr>
          <w:p>
            <w:pPr>
              <w:jc w:val="center"/>
              <w:ind w:right="232"/>
              <w:spacing w:after="0"/>
              <w:rPr>
                <w:sz w:val="20"/>
                <w:szCs w:val="20"/>
                <w:color w:val="auto"/>
              </w:rPr>
            </w:pPr>
            <w:r>
              <w:rPr>
                <w:rFonts w:ascii="Arial" w:cs="Arial" w:eastAsia="Arial" w:hAnsi="Arial"/>
                <w:sz w:val="18"/>
                <w:szCs w:val="18"/>
                <w:color w:val="auto"/>
                <w:strike w:val="1"/>
                <w:w w:val="93"/>
              </w:rPr>
              <w:t>Fabrinet USA, Inc.</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strike w:val="1"/>
                <w:w w:val="90"/>
              </w:rPr>
              <w:t>Company</w:t>
            </w:r>
          </w:p>
        </w:tc>
        <w:tc>
          <w:tcPr>
            <w:tcW w:w="1920" w:type="dxa"/>
            <w:vAlign w:val="bottom"/>
          </w:tcPr>
          <w:p>
            <w:pPr>
              <w:jc w:val="center"/>
              <w:ind w:left="54"/>
              <w:spacing w:after="0"/>
              <w:rPr>
                <w:sz w:val="20"/>
                <w:szCs w:val="20"/>
                <w:color w:val="auto"/>
              </w:rPr>
            </w:pPr>
            <w:r>
              <w:rPr>
                <w:rFonts w:ascii="Arial" w:cs="Arial" w:eastAsia="Arial" w:hAnsi="Arial"/>
                <w:sz w:val="18"/>
                <w:szCs w:val="18"/>
                <w:color w:val="auto"/>
                <w:strike w:val="1"/>
                <w:w w:val="93"/>
              </w:rPr>
              <w:t>1,000</w:t>
            </w:r>
          </w:p>
        </w:tc>
        <w:tc>
          <w:tcPr>
            <w:tcW w:w="1800" w:type="dxa"/>
            <w:vAlign w:val="bottom"/>
          </w:tcPr>
          <w:p>
            <w:pPr>
              <w:jc w:val="center"/>
              <w:spacing w:after="0"/>
              <w:rPr>
                <w:sz w:val="20"/>
                <w:szCs w:val="20"/>
                <w:color w:val="auto"/>
              </w:rPr>
            </w:pPr>
            <w:r>
              <w:rPr>
                <w:rFonts w:ascii="Arial" w:cs="Arial" w:eastAsia="Arial" w:hAnsi="Arial"/>
                <w:sz w:val="18"/>
                <w:szCs w:val="18"/>
                <w:color w:val="auto"/>
                <w:strike w:val="1"/>
                <w:w w:val="79"/>
              </w:rPr>
              <w:t>2</w:t>
            </w:r>
          </w:p>
        </w:tc>
        <w:tc>
          <w:tcPr>
            <w:tcW w:w="1880" w:type="dxa"/>
            <w:vAlign w:val="bottom"/>
          </w:tcPr>
          <w:p>
            <w:pPr>
              <w:jc w:val="center"/>
              <w:spacing w:after="0"/>
              <w:rPr>
                <w:sz w:val="20"/>
                <w:szCs w:val="20"/>
                <w:color w:val="auto"/>
              </w:rPr>
            </w:pPr>
            <w:r>
              <w:rPr>
                <w:rFonts w:ascii="Arial" w:cs="Arial" w:eastAsia="Arial" w:hAnsi="Arial"/>
                <w:sz w:val="18"/>
                <w:szCs w:val="18"/>
                <w:color w:val="auto"/>
                <w:strike w:val="1"/>
                <w:w w:val="91"/>
              </w:rPr>
              <w:t>100%</w:t>
            </w:r>
          </w:p>
        </w:tc>
        <w:tc>
          <w:tcPr>
            <w:tcW w:w="1400" w:type="dxa"/>
            <w:vAlign w:val="bottom"/>
          </w:tcPr>
          <w:p>
            <w:pPr>
              <w:jc w:val="center"/>
              <w:ind w:left="174"/>
              <w:spacing w:after="0"/>
              <w:rPr>
                <w:sz w:val="20"/>
                <w:szCs w:val="20"/>
                <w:color w:val="auto"/>
              </w:rPr>
            </w:pPr>
            <w:r>
              <w:rPr>
                <w:rFonts w:ascii="Arial" w:cs="Arial" w:eastAsia="Arial" w:hAnsi="Arial"/>
                <w:sz w:val="18"/>
                <w:szCs w:val="18"/>
                <w:color w:val="auto"/>
                <w:strike w:val="1"/>
                <w:w w:val="88"/>
              </w:rPr>
              <w:t>Ordinary shares</w:t>
            </w:r>
          </w:p>
        </w:tc>
      </w:tr>
      <w:tr>
        <w:trPr>
          <w:trHeight w:val="310"/>
        </w:trPr>
        <w:tc>
          <w:tcPr>
            <w:tcW w:w="2700" w:type="dxa"/>
            <w:vAlign w:val="bottom"/>
          </w:tcPr>
          <w:p>
            <w:pPr>
              <w:jc w:val="center"/>
              <w:ind w:right="232"/>
              <w:spacing w:after="0"/>
              <w:rPr>
                <w:sz w:val="20"/>
                <w:szCs w:val="20"/>
                <w:color w:val="auto"/>
              </w:rPr>
            </w:pPr>
            <w:r>
              <w:rPr>
                <w:rFonts w:ascii="Arial" w:cs="Arial" w:eastAsia="Arial" w:hAnsi="Arial"/>
                <w:sz w:val="18"/>
                <w:szCs w:val="18"/>
                <w:color w:val="auto"/>
                <w:strike w:val="1"/>
                <w:w w:val="91"/>
              </w:rPr>
              <w:t>FBN New Jersey Manufacturing,</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strike w:val="1"/>
                <w:w w:val="90"/>
              </w:rPr>
              <w:t>Company</w:t>
            </w:r>
          </w:p>
        </w:tc>
        <w:tc>
          <w:tcPr>
            <w:tcW w:w="1920" w:type="dxa"/>
            <w:vAlign w:val="bottom"/>
          </w:tcPr>
          <w:p>
            <w:pPr>
              <w:jc w:val="center"/>
              <w:ind w:left="54"/>
              <w:spacing w:after="0"/>
              <w:rPr>
                <w:sz w:val="20"/>
                <w:szCs w:val="20"/>
                <w:color w:val="auto"/>
              </w:rPr>
            </w:pPr>
            <w:r>
              <w:rPr>
                <w:rFonts w:ascii="Arial" w:cs="Arial" w:eastAsia="Arial" w:hAnsi="Arial"/>
                <w:sz w:val="18"/>
                <w:szCs w:val="18"/>
                <w:color w:val="auto"/>
                <w:strike w:val="1"/>
                <w:w w:val="93"/>
              </w:rPr>
              <w:t>1,000</w:t>
            </w:r>
          </w:p>
        </w:tc>
        <w:tc>
          <w:tcPr>
            <w:tcW w:w="1800" w:type="dxa"/>
            <w:vAlign w:val="bottom"/>
          </w:tcPr>
          <w:p>
            <w:pPr>
              <w:jc w:val="center"/>
              <w:spacing w:after="0"/>
              <w:rPr>
                <w:sz w:val="20"/>
                <w:szCs w:val="20"/>
                <w:color w:val="auto"/>
              </w:rPr>
            </w:pPr>
            <w:r>
              <w:rPr>
                <w:rFonts w:ascii="Arial" w:cs="Arial" w:eastAsia="Arial" w:hAnsi="Arial"/>
                <w:sz w:val="18"/>
                <w:szCs w:val="18"/>
                <w:color w:val="auto"/>
                <w:strike w:val="1"/>
                <w:w w:val="79"/>
              </w:rPr>
              <w:t>2</w:t>
            </w:r>
          </w:p>
        </w:tc>
        <w:tc>
          <w:tcPr>
            <w:tcW w:w="1880" w:type="dxa"/>
            <w:vAlign w:val="bottom"/>
          </w:tcPr>
          <w:p>
            <w:pPr>
              <w:jc w:val="center"/>
              <w:spacing w:after="0"/>
              <w:rPr>
                <w:sz w:val="20"/>
                <w:szCs w:val="20"/>
                <w:color w:val="auto"/>
              </w:rPr>
            </w:pPr>
            <w:r>
              <w:rPr>
                <w:rFonts w:ascii="Arial" w:cs="Arial" w:eastAsia="Arial" w:hAnsi="Arial"/>
                <w:sz w:val="18"/>
                <w:szCs w:val="18"/>
                <w:color w:val="auto"/>
                <w:strike w:val="1"/>
                <w:w w:val="91"/>
              </w:rPr>
              <w:t>100%</w:t>
            </w:r>
          </w:p>
        </w:tc>
        <w:tc>
          <w:tcPr>
            <w:tcW w:w="1400" w:type="dxa"/>
            <w:vAlign w:val="bottom"/>
          </w:tcPr>
          <w:p>
            <w:pPr>
              <w:jc w:val="center"/>
              <w:ind w:left="174"/>
              <w:spacing w:after="0"/>
              <w:rPr>
                <w:sz w:val="20"/>
                <w:szCs w:val="20"/>
                <w:color w:val="auto"/>
              </w:rPr>
            </w:pPr>
            <w:r>
              <w:rPr>
                <w:rFonts w:ascii="Arial" w:cs="Arial" w:eastAsia="Arial" w:hAnsi="Arial"/>
                <w:sz w:val="18"/>
                <w:szCs w:val="18"/>
                <w:color w:val="auto"/>
                <w:strike w:val="1"/>
                <w:w w:val="88"/>
              </w:rPr>
              <w:t>Ordinary shares</w:t>
            </w:r>
          </w:p>
        </w:tc>
      </w:tr>
      <w:tr>
        <w:trPr>
          <w:trHeight w:val="230"/>
        </w:trPr>
        <w:tc>
          <w:tcPr>
            <w:tcW w:w="2700" w:type="dxa"/>
            <w:vAlign w:val="bottom"/>
          </w:tcPr>
          <w:p>
            <w:pPr>
              <w:jc w:val="center"/>
              <w:ind w:right="232"/>
              <w:spacing w:after="0"/>
              <w:rPr>
                <w:sz w:val="20"/>
                <w:szCs w:val="20"/>
                <w:color w:val="auto"/>
              </w:rPr>
            </w:pPr>
            <w:r>
              <w:rPr>
                <w:rFonts w:ascii="Arial" w:cs="Arial" w:eastAsia="Arial" w:hAnsi="Arial"/>
                <w:sz w:val="18"/>
                <w:szCs w:val="18"/>
                <w:color w:val="auto"/>
                <w:strike w:val="1"/>
                <w:w w:val="89"/>
              </w:rPr>
              <w:t>Inc.</w:t>
            </w:r>
          </w:p>
        </w:tc>
        <w:tc>
          <w:tcPr>
            <w:tcW w:w="1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24"/>
        </w:trPr>
        <w:tc>
          <w:tcPr>
            <w:tcW w:w="2700" w:type="dxa"/>
            <w:vAlign w:val="bottom"/>
          </w:tcPr>
          <w:p>
            <w:pPr>
              <w:jc w:val="center"/>
              <w:ind w:right="232"/>
              <w:spacing w:after="0"/>
              <w:rPr>
                <w:sz w:val="20"/>
                <w:szCs w:val="20"/>
                <w:color w:val="auto"/>
              </w:rPr>
            </w:pPr>
            <w:r>
              <w:rPr>
                <w:rFonts w:ascii="Arial" w:cs="Arial" w:eastAsia="Arial" w:hAnsi="Arial"/>
                <w:sz w:val="18"/>
                <w:szCs w:val="18"/>
                <w:color w:val="auto"/>
                <w:strike w:val="1"/>
                <w:w w:val="92"/>
              </w:rPr>
              <w:t>Fabrinet China Holdings</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strike w:val="1"/>
                <w:w w:val="90"/>
              </w:rPr>
              <w:t>Company</w:t>
            </w:r>
          </w:p>
        </w:tc>
        <w:tc>
          <w:tcPr>
            <w:tcW w:w="1920" w:type="dxa"/>
            <w:vAlign w:val="bottom"/>
          </w:tcPr>
          <w:p>
            <w:pPr>
              <w:jc w:val="center"/>
              <w:ind w:left="54"/>
              <w:spacing w:after="0"/>
              <w:rPr>
                <w:sz w:val="20"/>
                <w:szCs w:val="20"/>
                <w:color w:val="auto"/>
              </w:rPr>
            </w:pPr>
            <w:r>
              <w:rPr>
                <w:rFonts w:ascii="Arial" w:cs="Arial" w:eastAsia="Arial" w:hAnsi="Arial"/>
                <w:sz w:val="18"/>
                <w:szCs w:val="18"/>
                <w:color w:val="auto"/>
                <w:strike w:val="1"/>
                <w:w w:val="99"/>
              </w:rPr>
              <w:t>2</w:t>
            </w:r>
          </w:p>
        </w:tc>
        <w:tc>
          <w:tcPr>
            <w:tcW w:w="1800" w:type="dxa"/>
            <w:vAlign w:val="bottom"/>
          </w:tcPr>
          <w:p>
            <w:pPr>
              <w:jc w:val="center"/>
              <w:spacing w:after="0"/>
              <w:rPr>
                <w:sz w:val="20"/>
                <w:szCs w:val="20"/>
                <w:color w:val="auto"/>
              </w:rPr>
            </w:pPr>
            <w:r>
              <w:rPr>
                <w:rFonts w:ascii="Arial" w:cs="Arial" w:eastAsia="Arial" w:hAnsi="Arial"/>
                <w:sz w:val="18"/>
                <w:szCs w:val="18"/>
                <w:color w:val="auto"/>
                <w:strike w:val="1"/>
                <w:w w:val="79"/>
              </w:rPr>
              <w:t>7</w:t>
            </w:r>
          </w:p>
        </w:tc>
        <w:tc>
          <w:tcPr>
            <w:tcW w:w="1880" w:type="dxa"/>
            <w:vAlign w:val="bottom"/>
          </w:tcPr>
          <w:p>
            <w:pPr>
              <w:jc w:val="center"/>
              <w:spacing w:after="0"/>
              <w:rPr>
                <w:sz w:val="20"/>
                <w:szCs w:val="20"/>
                <w:color w:val="auto"/>
              </w:rPr>
            </w:pPr>
            <w:r>
              <w:rPr>
                <w:rFonts w:ascii="Arial" w:cs="Arial" w:eastAsia="Arial" w:hAnsi="Arial"/>
                <w:sz w:val="18"/>
                <w:szCs w:val="18"/>
                <w:color w:val="auto"/>
                <w:strike w:val="1"/>
                <w:w w:val="91"/>
              </w:rPr>
              <w:t>100%</w:t>
            </w:r>
          </w:p>
        </w:tc>
        <w:tc>
          <w:tcPr>
            <w:tcW w:w="1400" w:type="dxa"/>
            <w:vAlign w:val="bottom"/>
          </w:tcPr>
          <w:p>
            <w:pPr>
              <w:jc w:val="center"/>
              <w:ind w:left="174"/>
              <w:spacing w:after="0"/>
              <w:rPr>
                <w:sz w:val="20"/>
                <w:szCs w:val="20"/>
                <w:color w:val="auto"/>
              </w:rPr>
            </w:pPr>
            <w:r>
              <w:rPr>
                <w:rFonts w:ascii="Arial" w:cs="Arial" w:eastAsia="Arial" w:hAnsi="Arial"/>
                <w:sz w:val="18"/>
                <w:szCs w:val="18"/>
                <w:color w:val="auto"/>
                <w:strike w:val="1"/>
                <w:w w:val="88"/>
              </w:rPr>
              <w:t>Ordinary shares</w:t>
            </w:r>
          </w:p>
        </w:tc>
      </w:tr>
      <w:tr>
        <w:trPr>
          <w:trHeight w:val="324"/>
        </w:trPr>
        <w:tc>
          <w:tcPr>
            <w:tcW w:w="2700" w:type="dxa"/>
            <w:vAlign w:val="bottom"/>
          </w:tcPr>
          <w:p>
            <w:pPr>
              <w:jc w:val="center"/>
              <w:ind w:right="232"/>
              <w:spacing w:after="0"/>
              <w:rPr>
                <w:sz w:val="20"/>
                <w:szCs w:val="20"/>
                <w:color w:val="auto"/>
              </w:rPr>
            </w:pPr>
            <w:r>
              <w:rPr>
                <w:rFonts w:ascii="Arial" w:cs="Arial" w:eastAsia="Arial" w:hAnsi="Arial"/>
                <w:sz w:val="18"/>
                <w:szCs w:val="18"/>
                <w:color w:val="auto"/>
                <w:strike w:val="1"/>
                <w:w w:val="90"/>
              </w:rPr>
              <w:t>Fabrinet Pte., Ltd.</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strike w:val="1"/>
                <w:w w:val="90"/>
              </w:rPr>
              <w:t>Company</w:t>
            </w:r>
          </w:p>
        </w:tc>
        <w:tc>
          <w:tcPr>
            <w:tcW w:w="1920" w:type="dxa"/>
            <w:vAlign w:val="bottom"/>
          </w:tcPr>
          <w:p>
            <w:pPr>
              <w:jc w:val="center"/>
              <w:ind w:left="54"/>
              <w:spacing w:after="0"/>
              <w:rPr>
                <w:sz w:val="20"/>
                <w:szCs w:val="20"/>
                <w:color w:val="auto"/>
              </w:rPr>
            </w:pPr>
            <w:r>
              <w:rPr>
                <w:rFonts w:ascii="Arial" w:cs="Arial" w:eastAsia="Arial" w:hAnsi="Arial"/>
                <w:sz w:val="18"/>
                <w:szCs w:val="18"/>
                <w:color w:val="auto"/>
                <w:strike w:val="1"/>
                <w:w w:val="99"/>
              </w:rPr>
              <w:t>N/A</w:t>
            </w:r>
          </w:p>
        </w:tc>
        <w:tc>
          <w:tcPr>
            <w:tcW w:w="1800" w:type="dxa"/>
            <w:vAlign w:val="bottom"/>
          </w:tcPr>
          <w:p>
            <w:pPr>
              <w:jc w:val="center"/>
              <w:spacing w:after="0"/>
              <w:rPr>
                <w:sz w:val="20"/>
                <w:szCs w:val="20"/>
                <w:color w:val="auto"/>
              </w:rPr>
            </w:pPr>
            <w:r>
              <w:rPr>
                <w:rFonts w:ascii="Arial" w:cs="Arial" w:eastAsia="Arial" w:hAnsi="Arial"/>
                <w:sz w:val="18"/>
                <w:szCs w:val="18"/>
                <w:color w:val="auto"/>
                <w:strike w:val="1"/>
              </w:rPr>
              <w:t>N/A</w:t>
            </w:r>
          </w:p>
        </w:tc>
        <w:tc>
          <w:tcPr>
            <w:tcW w:w="1880" w:type="dxa"/>
            <w:vAlign w:val="bottom"/>
          </w:tcPr>
          <w:p>
            <w:pPr>
              <w:jc w:val="center"/>
              <w:spacing w:after="0"/>
              <w:rPr>
                <w:sz w:val="20"/>
                <w:szCs w:val="20"/>
                <w:color w:val="auto"/>
              </w:rPr>
            </w:pPr>
            <w:r>
              <w:rPr>
                <w:rFonts w:ascii="Arial" w:cs="Arial" w:eastAsia="Arial" w:hAnsi="Arial"/>
                <w:sz w:val="18"/>
                <w:szCs w:val="18"/>
                <w:color w:val="auto"/>
                <w:strike w:val="1"/>
                <w:w w:val="91"/>
              </w:rPr>
              <w:t>100%</w:t>
            </w:r>
          </w:p>
        </w:tc>
        <w:tc>
          <w:tcPr>
            <w:tcW w:w="1400" w:type="dxa"/>
            <w:vAlign w:val="bottom"/>
          </w:tcPr>
          <w:p>
            <w:pPr>
              <w:jc w:val="center"/>
              <w:ind w:left="174"/>
              <w:spacing w:after="0"/>
              <w:rPr>
                <w:sz w:val="20"/>
                <w:szCs w:val="20"/>
                <w:color w:val="auto"/>
              </w:rPr>
            </w:pPr>
            <w:r>
              <w:rPr>
                <w:rFonts w:ascii="Arial" w:cs="Arial" w:eastAsia="Arial" w:hAnsi="Arial"/>
                <w:sz w:val="18"/>
                <w:szCs w:val="18"/>
                <w:color w:val="auto"/>
                <w:strike w:val="1"/>
                <w:w w:val="88"/>
              </w:rPr>
              <w:t>Ordinary shares</w:t>
            </w:r>
          </w:p>
        </w:tc>
      </w:tr>
      <w:tr>
        <w:trPr>
          <w:trHeight w:val="324"/>
        </w:trPr>
        <w:tc>
          <w:tcPr>
            <w:tcW w:w="2700" w:type="dxa"/>
            <w:vAlign w:val="bottom"/>
          </w:tcPr>
          <w:p>
            <w:pPr>
              <w:jc w:val="center"/>
              <w:ind w:right="232"/>
              <w:spacing w:after="0"/>
              <w:rPr>
                <w:sz w:val="20"/>
                <w:szCs w:val="20"/>
                <w:color w:val="auto"/>
              </w:rPr>
            </w:pPr>
            <w:r>
              <w:rPr>
                <w:rFonts w:ascii="Arial" w:cs="Arial" w:eastAsia="Arial" w:hAnsi="Arial"/>
                <w:sz w:val="18"/>
                <w:szCs w:val="18"/>
                <w:color w:val="auto"/>
                <w:strike w:val="1"/>
                <w:w w:val="94"/>
              </w:rPr>
              <w:t>Fabritek, Inc.</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strike w:val="1"/>
                <w:w w:val="90"/>
              </w:rPr>
              <w:t>Company</w:t>
            </w:r>
          </w:p>
        </w:tc>
        <w:tc>
          <w:tcPr>
            <w:tcW w:w="1920" w:type="dxa"/>
            <w:vAlign w:val="bottom"/>
          </w:tcPr>
          <w:p>
            <w:pPr>
              <w:jc w:val="center"/>
              <w:ind w:left="54"/>
              <w:spacing w:after="0"/>
              <w:rPr>
                <w:sz w:val="20"/>
                <w:szCs w:val="20"/>
                <w:color w:val="auto"/>
              </w:rPr>
            </w:pPr>
            <w:r>
              <w:rPr>
                <w:rFonts w:ascii="Arial" w:cs="Arial" w:eastAsia="Arial" w:hAnsi="Arial"/>
                <w:sz w:val="18"/>
                <w:szCs w:val="18"/>
                <w:color w:val="auto"/>
                <w:strike w:val="1"/>
                <w:w w:val="93"/>
              </w:rPr>
              <w:t>1,000</w:t>
            </w:r>
          </w:p>
        </w:tc>
        <w:tc>
          <w:tcPr>
            <w:tcW w:w="1800" w:type="dxa"/>
            <w:vAlign w:val="bottom"/>
          </w:tcPr>
          <w:p>
            <w:pPr>
              <w:jc w:val="center"/>
              <w:spacing w:after="0"/>
              <w:rPr>
                <w:sz w:val="20"/>
                <w:szCs w:val="20"/>
                <w:color w:val="auto"/>
              </w:rPr>
            </w:pPr>
            <w:r>
              <w:rPr>
                <w:rFonts w:ascii="Arial" w:cs="Arial" w:eastAsia="Arial" w:hAnsi="Arial"/>
                <w:sz w:val="18"/>
                <w:szCs w:val="18"/>
                <w:color w:val="auto"/>
                <w:strike w:val="1"/>
                <w:w w:val="79"/>
              </w:rPr>
              <w:t>1</w:t>
            </w:r>
          </w:p>
        </w:tc>
        <w:tc>
          <w:tcPr>
            <w:tcW w:w="1880" w:type="dxa"/>
            <w:vAlign w:val="bottom"/>
          </w:tcPr>
          <w:p>
            <w:pPr>
              <w:jc w:val="center"/>
              <w:spacing w:after="0"/>
              <w:rPr>
                <w:sz w:val="20"/>
                <w:szCs w:val="20"/>
                <w:color w:val="auto"/>
              </w:rPr>
            </w:pPr>
            <w:r>
              <w:rPr>
                <w:rFonts w:ascii="Arial" w:cs="Arial" w:eastAsia="Arial" w:hAnsi="Arial"/>
                <w:sz w:val="18"/>
                <w:szCs w:val="18"/>
                <w:color w:val="auto"/>
                <w:strike w:val="1"/>
                <w:w w:val="91"/>
              </w:rPr>
              <w:t>100%</w:t>
            </w:r>
          </w:p>
        </w:tc>
        <w:tc>
          <w:tcPr>
            <w:tcW w:w="1400" w:type="dxa"/>
            <w:vAlign w:val="bottom"/>
          </w:tcPr>
          <w:p>
            <w:pPr>
              <w:jc w:val="center"/>
              <w:ind w:left="154"/>
              <w:spacing w:after="0"/>
              <w:rPr>
                <w:sz w:val="20"/>
                <w:szCs w:val="20"/>
                <w:color w:val="auto"/>
              </w:rPr>
            </w:pPr>
            <w:r>
              <w:rPr>
                <w:rFonts w:ascii="Arial" w:cs="Arial" w:eastAsia="Arial" w:hAnsi="Arial"/>
                <w:sz w:val="18"/>
                <w:szCs w:val="18"/>
                <w:color w:val="auto"/>
                <w:strike w:val="1"/>
                <w:w w:val="87"/>
              </w:rPr>
              <w:t>Common shares</w:t>
            </w:r>
          </w:p>
        </w:tc>
      </w:tr>
      <w:tr>
        <w:trPr>
          <w:trHeight w:val="324"/>
        </w:trPr>
        <w:tc>
          <w:tcPr>
            <w:tcW w:w="2700" w:type="dxa"/>
            <w:vAlign w:val="bottom"/>
          </w:tcPr>
          <w:p>
            <w:pPr>
              <w:jc w:val="center"/>
              <w:ind w:right="232"/>
              <w:spacing w:after="0"/>
              <w:rPr>
                <w:sz w:val="20"/>
                <w:szCs w:val="20"/>
                <w:color w:val="auto"/>
              </w:rPr>
            </w:pPr>
            <w:r>
              <w:rPr>
                <w:rFonts w:ascii="Arial" w:cs="Arial" w:eastAsia="Arial" w:hAnsi="Arial"/>
                <w:sz w:val="18"/>
                <w:szCs w:val="18"/>
                <w:color w:val="auto"/>
                <w:strike w:val="1"/>
                <w:w w:val="91"/>
              </w:rPr>
              <w:t>Fabrinet West, Inc.</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strike w:val="1"/>
                <w:w w:val="90"/>
              </w:rPr>
              <w:t>Company</w:t>
            </w:r>
          </w:p>
        </w:tc>
        <w:tc>
          <w:tcPr>
            <w:tcW w:w="1920" w:type="dxa"/>
            <w:vAlign w:val="bottom"/>
          </w:tcPr>
          <w:p>
            <w:pPr>
              <w:jc w:val="center"/>
              <w:ind w:left="54"/>
              <w:spacing w:after="0"/>
              <w:rPr>
                <w:sz w:val="20"/>
                <w:szCs w:val="20"/>
                <w:color w:val="auto"/>
              </w:rPr>
            </w:pPr>
            <w:r>
              <w:rPr>
                <w:rFonts w:ascii="Arial" w:cs="Arial" w:eastAsia="Arial" w:hAnsi="Arial"/>
                <w:sz w:val="18"/>
                <w:szCs w:val="18"/>
                <w:color w:val="auto"/>
                <w:strike w:val="1"/>
                <w:w w:val="93"/>
              </w:rPr>
              <w:t>1,000</w:t>
            </w:r>
          </w:p>
        </w:tc>
        <w:tc>
          <w:tcPr>
            <w:tcW w:w="1800" w:type="dxa"/>
            <w:vAlign w:val="bottom"/>
          </w:tcPr>
          <w:p>
            <w:pPr>
              <w:jc w:val="center"/>
              <w:spacing w:after="0"/>
              <w:rPr>
                <w:sz w:val="20"/>
                <w:szCs w:val="20"/>
                <w:color w:val="auto"/>
              </w:rPr>
            </w:pPr>
            <w:r>
              <w:rPr>
                <w:rFonts w:ascii="Arial" w:cs="Arial" w:eastAsia="Arial" w:hAnsi="Arial"/>
                <w:sz w:val="18"/>
                <w:szCs w:val="18"/>
                <w:color w:val="auto"/>
                <w:strike w:val="1"/>
                <w:w w:val="79"/>
              </w:rPr>
              <w:t>1</w:t>
            </w:r>
          </w:p>
        </w:tc>
        <w:tc>
          <w:tcPr>
            <w:tcW w:w="1880" w:type="dxa"/>
            <w:vAlign w:val="bottom"/>
          </w:tcPr>
          <w:p>
            <w:pPr>
              <w:jc w:val="center"/>
              <w:spacing w:after="0"/>
              <w:rPr>
                <w:sz w:val="20"/>
                <w:szCs w:val="20"/>
                <w:color w:val="auto"/>
              </w:rPr>
            </w:pPr>
            <w:r>
              <w:rPr>
                <w:rFonts w:ascii="Arial" w:cs="Arial" w:eastAsia="Arial" w:hAnsi="Arial"/>
                <w:sz w:val="18"/>
                <w:szCs w:val="18"/>
                <w:color w:val="auto"/>
                <w:strike w:val="1"/>
                <w:w w:val="91"/>
              </w:rPr>
              <w:t>100%</w:t>
            </w:r>
          </w:p>
        </w:tc>
        <w:tc>
          <w:tcPr>
            <w:tcW w:w="1400" w:type="dxa"/>
            <w:vAlign w:val="bottom"/>
          </w:tcPr>
          <w:p>
            <w:pPr>
              <w:jc w:val="center"/>
              <w:ind w:left="154"/>
              <w:spacing w:after="0"/>
              <w:rPr>
                <w:sz w:val="20"/>
                <w:szCs w:val="20"/>
                <w:color w:val="auto"/>
              </w:rPr>
            </w:pPr>
            <w:r>
              <w:rPr>
                <w:rFonts w:ascii="Arial" w:cs="Arial" w:eastAsia="Arial" w:hAnsi="Arial"/>
                <w:sz w:val="18"/>
                <w:szCs w:val="18"/>
                <w:color w:val="auto"/>
                <w:strike w:val="1"/>
                <w:w w:val="87"/>
              </w:rPr>
              <w:t>Common shares</w:t>
            </w:r>
          </w:p>
        </w:tc>
      </w:tr>
      <w:tr>
        <w:trPr>
          <w:trHeight w:val="324"/>
        </w:trPr>
        <w:tc>
          <w:tcPr>
            <w:tcW w:w="2700" w:type="dxa"/>
            <w:vAlign w:val="bottom"/>
          </w:tcPr>
          <w:p>
            <w:pPr>
              <w:jc w:val="center"/>
              <w:ind w:right="232"/>
              <w:spacing w:after="0"/>
              <w:rPr>
                <w:sz w:val="20"/>
                <w:szCs w:val="20"/>
                <w:color w:val="auto"/>
              </w:rPr>
            </w:pPr>
            <w:r>
              <w:rPr>
                <w:rFonts w:ascii="Arial" w:cs="Arial" w:eastAsia="Arial" w:hAnsi="Arial"/>
                <w:sz w:val="18"/>
                <w:szCs w:val="18"/>
                <w:color w:val="auto"/>
                <w:strike w:val="1"/>
                <w:w w:val="94"/>
              </w:rPr>
              <w:t>Fabrilink SEZC</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strike w:val="1"/>
                <w:w w:val="90"/>
              </w:rPr>
              <w:t>Company</w:t>
            </w:r>
          </w:p>
        </w:tc>
        <w:tc>
          <w:tcPr>
            <w:tcW w:w="1920" w:type="dxa"/>
            <w:vAlign w:val="bottom"/>
          </w:tcPr>
          <w:p>
            <w:pPr>
              <w:jc w:val="center"/>
              <w:ind w:left="54"/>
              <w:spacing w:after="0"/>
              <w:rPr>
                <w:sz w:val="20"/>
                <w:szCs w:val="20"/>
                <w:color w:val="auto"/>
              </w:rPr>
            </w:pPr>
            <w:r>
              <w:rPr>
                <w:rFonts w:ascii="Arial" w:cs="Arial" w:eastAsia="Arial" w:hAnsi="Arial"/>
                <w:sz w:val="18"/>
                <w:szCs w:val="18"/>
                <w:color w:val="auto"/>
                <w:strike w:val="1"/>
                <w:w w:val="99"/>
              </w:rPr>
              <w:t>1</w:t>
            </w:r>
          </w:p>
        </w:tc>
        <w:tc>
          <w:tcPr>
            <w:tcW w:w="1800" w:type="dxa"/>
            <w:vAlign w:val="bottom"/>
          </w:tcPr>
          <w:p>
            <w:pPr>
              <w:jc w:val="center"/>
              <w:spacing w:after="0"/>
              <w:rPr>
                <w:sz w:val="20"/>
                <w:szCs w:val="20"/>
                <w:color w:val="auto"/>
              </w:rPr>
            </w:pPr>
            <w:r>
              <w:rPr>
                <w:rFonts w:ascii="Arial" w:cs="Arial" w:eastAsia="Arial" w:hAnsi="Arial"/>
                <w:sz w:val="18"/>
                <w:szCs w:val="18"/>
                <w:color w:val="auto"/>
                <w:strike w:val="1"/>
                <w:w w:val="79"/>
              </w:rPr>
              <w:t>1</w:t>
            </w:r>
          </w:p>
        </w:tc>
        <w:tc>
          <w:tcPr>
            <w:tcW w:w="1880" w:type="dxa"/>
            <w:vAlign w:val="bottom"/>
          </w:tcPr>
          <w:p>
            <w:pPr>
              <w:jc w:val="center"/>
              <w:spacing w:after="0"/>
              <w:rPr>
                <w:sz w:val="20"/>
                <w:szCs w:val="20"/>
                <w:color w:val="auto"/>
              </w:rPr>
            </w:pPr>
            <w:r>
              <w:rPr>
                <w:rFonts w:ascii="Arial" w:cs="Arial" w:eastAsia="Arial" w:hAnsi="Arial"/>
                <w:sz w:val="18"/>
                <w:szCs w:val="18"/>
                <w:color w:val="auto"/>
                <w:strike w:val="1"/>
                <w:w w:val="91"/>
              </w:rPr>
              <w:t>100%</w:t>
            </w:r>
          </w:p>
        </w:tc>
        <w:tc>
          <w:tcPr>
            <w:tcW w:w="1400" w:type="dxa"/>
            <w:vAlign w:val="bottom"/>
          </w:tcPr>
          <w:p>
            <w:pPr>
              <w:jc w:val="center"/>
              <w:ind w:left="174"/>
              <w:spacing w:after="0"/>
              <w:rPr>
                <w:sz w:val="20"/>
                <w:szCs w:val="20"/>
                <w:color w:val="auto"/>
              </w:rPr>
            </w:pPr>
            <w:r>
              <w:rPr>
                <w:rFonts w:ascii="Arial" w:cs="Arial" w:eastAsia="Arial" w:hAnsi="Arial"/>
                <w:sz w:val="18"/>
                <w:szCs w:val="18"/>
                <w:color w:val="auto"/>
                <w:strike w:val="1"/>
                <w:w w:val="88"/>
              </w:rPr>
              <w:t>Ordinary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-1723390</wp:posOffset>
            </wp:positionV>
            <wp:extent cx="56426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42610" cy="8890"/>
                    </a:xfrm>
                    <a:prstGeom prst="rect">
                      <a:avLst/>
                    </a:prstGeom>
                    <a:noFill/>
                  </pic:spPr>
                </pic:pic>
              </a:graphicData>
            </a:graphic>
          </wp:anchor>
        </w:drawing>
      </w:r>
    </w:p>
    <w:p>
      <w:pPr>
        <w:sectPr>
          <w:pgSz w:w="11900" w:h="16838" w:orient="portrait"/>
          <w:cols w:equalWidth="0" w:num="1">
            <w:col w:w="11180"/>
          </w:cols>
          <w:pgMar w:left="260" w:top="270" w:right="459" w:bottom="1440" w:gutter="0" w:footer="0" w:header="0"/>
        </w:sectPr>
      </w:pPr>
    </w:p>
    <w:bookmarkStart w:id="157" w:name="page158"/>
    <w:bookmarkEnd w:id="157"/>
    <w:p>
      <w:pPr>
        <w:jc w:val="center"/>
        <w:ind w:right="-499"/>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6.14</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strike w:val="1"/>
        </w:rPr>
        <w:t>Excluded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320" w:type="dxa"/>
            <w:vAlign w:val="bottom"/>
          </w:tcPr>
          <w:p>
            <w:pPr>
              <w:jc w:val="center"/>
              <w:ind w:right="4"/>
              <w:spacing w:after="0"/>
              <w:rPr>
                <w:sz w:val="20"/>
                <w:szCs w:val="20"/>
                <w:color w:val="auto"/>
              </w:rPr>
            </w:pPr>
            <w:r>
              <w:rPr>
                <w:rFonts w:ascii="Arial" w:cs="Arial" w:eastAsia="Arial" w:hAnsi="Arial"/>
                <w:sz w:val="14"/>
                <w:szCs w:val="14"/>
                <w:b w:val="1"/>
                <w:bCs w:val="1"/>
                <w:color w:val="auto"/>
                <w:strike w:val="1"/>
                <w:w w:val="92"/>
              </w:rPr>
              <w:t>Average Amount</w:t>
            </w:r>
          </w:p>
        </w:tc>
        <w:tc>
          <w:tcPr>
            <w:tcW w:w="1340" w:type="dxa"/>
            <w:vAlign w:val="bottom"/>
          </w:tcPr>
          <w:p>
            <w:pPr>
              <w:jc w:val="center"/>
              <w:ind w:left="604"/>
              <w:spacing w:after="0"/>
              <w:rPr>
                <w:sz w:val="20"/>
                <w:szCs w:val="20"/>
                <w:color w:val="auto"/>
              </w:rPr>
            </w:pPr>
            <w:r>
              <w:rPr>
                <w:rFonts w:ascii="Arial" w:cs="Arial" w:eastAsia="Arial" w:hAnsi="Arial"/>
                <w:sz w:val="14"/>
                <w:szCs w:val="14"/>
                <w:b w:val="1"/>
                <w:bCs w:val="1"/>
                <w:color w:val="auto"/>
                <w:strike w:val="1"/>
                <w:w w:val="98"/>
              </w:rPr>
              <w:t>Zero</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0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strike w:val="1"/>
                <w:w w:val="93"/>
              </w:rPr>
              <w:t>Depositary</w:t>
            </w:r>
          </w:p>
        </w:tc>
        <w:tc>
          <w:tcPr>
            <w:tcW w:w="23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strike w:val="1"/>
                <w:w w:val="96"/>
              </w:rPr>
              <w:t>for Prior Three</w:t>
            </w:r>
          </w:p>
        </w:tc>
        <w:tc>
          <w:tcPr>
            <w:tcW w:w="1340" w:type="dxa"/>
            <w:vAlign w:val="bottom"/>
          </w:tcPr>
          <w:p>
            <w:pPr>
              <w:jc w:val="center"/>
              <w:ind w:left="604"/>
              <w:spacing w:after="0" w:line="149" w:lineRule="exact"/>
              <w:rPr>
                <w:sz w:val="20"/>
                <w:szCs w:val="20"/>
                <w:color w:val="auto"/>
              </w:rPr>
            </w:pPr>
            <w:r>
              <w:rPr>
                <w:rFonts w:ascii="Arial" w:cs="Arial" w:eastAsia="Arial" w:hAnsi="Arial"/>
                <w:sz w:val="14"/>
                <w:szCs w:val="14"/>
                <w:b w:val="1"/>
                <w:bCs w:val="1"/>
                <w:color w:val="auto"/>
                <w:strike w:val="1"/>
                <w:w w:val="92"/>
              </w:rPr>
              <w:t>Balance or</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23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strike w:val="1"/>
                <w:w w:val="93"/>
              </w:rPr>
              <w:t>Months Ended</w:t>
            </w:r>
          </w:p>
        </w:tc>
        <w:tc>
          <w:tcPr>
            <w:tcW w:w="1340" w:type="dxa"/>
            <w:vAlign w:val="bottom"/>
          </w:tcPr>
          <w:p>
            <w:pPr>
              <w:jc w:val="center"/>
              <w:ind w:left="624"/>
              <w:spacing w:after="0" w:line="149" w:lineRule="exact"/>
              <w:rPr>
                <w:sz w:val="20"/>
                <w:szCs w:val="20"/>
                <w:color w:val="auto"/>
              </w:rPr>
            </w:pPr>
            <w:r>
              <w:rPr>
                <w:rFonts w:ascii="Arial" w:cs="Arial" w:eastAsia="Arial" w:hAnsi="Arial"/>
                <w:sz w:val="14"/>
                <w:szCs w:val="14"/>
                <w:b w:val="1"/>
                <w:bCs w:val="1"/>
                <w:color w:val="auto"/>
                <w:strike w:val="1"/>
                <w:w w:val="94"/>
              </w:rPr>
              <w:t>Payroll</w:t>
            </w:r>
          </w:p>
        </w:tc>
        <w:tc>
          <w:tcPr>
            <w:tcW w:w="0" w:type="dxa"/>
            <w:vAlign w:val="bottom"/>
          </w:tcPr>
          <w:p>
            <w:pPr>
              <w:spacing w:after="0"/>
              <w:rPr>
                <w:sz w:val="1"/>
                <w:szCs w:val="1"/>
                <w:color w:val="auto"/>
              </w:rPr>
            </w:pPr>
          </w:p>
        </w:tc>
      </w:tr>
      <w:tr>
        <w:trPr>
          <w:trHeight w:val="170"/>
        </w:trPr>
        <w:tc>
          <w:tcPr>
            <w:tcW w:w="2620" w:type="dxa"/>
            <w:vAlign w:val="bottom"/>
          </w:tcPr>
          <w:p>
            <w:pPr>
              <w:jc w:val="center"/>
              <w:ind w:right="399"/>
              <w:spacing w:after="0"/>
              <w:rPr>
                <w:sz w:val="20"/>
                <w:szCs w:val="20"/>
                <w:color w:val="auto"/>
              </w:rPr>
            </w:pPr>
            <w:r>
              <w:rPr>
                <w:rFonts w:ascii="Arial" w:cs="Arial" w:eastAsia="Arial" w:hAnsi="Arial"/>
                <w:sz w:val="14"/>
                <w:szCs w:val="14"/>
                <w:b w:val="1"/>
                <w:bCs w:val="1"/>
                <w:u w:val="single" w:color="auto"/>
                <w:color w:val="auto"/>
                <w:strike w:val="1"/>
                <w:w w:val="91"/>
              </w:rPr>
              <w:t>Account Description</w:t>
            </w:r>
          </w:p>
        </w:tc>
        <w:tc>
          <w:tcPr>
            <w:tcW w:w="2020" w:type="dxa"/>
            <w:vAlign w:val="bottom"/>
          </w:tcPr>
          <w:p>
            <w:pPr>
              <w:jc w:val="center"/>
              <w:ind w:right="102"/>
              <w:spacing w:after="0"/>
              <w:rPr>
                <w:sz w:val="20"/>
                <w:szCs w:val="20"/>
                <w:color w:val="auto"/>
              </w:rPr>
            </w:pPr>
            <w:r>
              <w:rPr>
                <w:rFonts w:ascii="Arial" w:cs="Arial" w:eastAsia="Arial" w:hAnsi="Arial"/>
                <w:sz w:val="14"/>
                <w:szCs w:val="14"/>
                <w:b w:val="1"/>
                <w:bCs w:val="1"/>
                <w:color w:val="auto"/>
                <w:strike w:val="1"/>
                <w:w w:val="94"/>
              </w:rPr>
              <w:t>Institution</w:t>
            </w:r>
          </w:p>
        </w:tc>
        <w:tc>
          <w:tcPr>
            <w:tcW w:w="2340" w:type="dxa"/>
            <w:vAlign w:val="bottom"/>
          </w:tcPr>
          <w:p>
            <w:pPr>
              <w:ind w:left="660"/>
              <w:spacing w:after="0"/>
              <w:rPr>
                <w:sz w:val="20"/>
                <w:szCs w:val="20"/>
                <w:color w:val="auto"/>
              </w:rPr>
            </w:pPr>
            <w:r>
              <w:rPr>
                <w:rFonts w:ascii="Arial" w:cs="Arial" w:eastAsia="Arial" w:hAnsi="Arial"/>
                <w:sz w:val="14"/>
                <w:szCs w:val="14"/>
                <w:b w:val="1"/>
                <w:bCs w:val="1"/>
                <w:color w:val="auto"/>
                <w:strike w:val="1"/>
              </w:rPr>
              <w:t>Account Number</w:t>
            </w:r>
          </w:p>
        </w:tc>
        <w:tc>
          <w:tcPr>
            <w:tcW w:w="2320" w:type="dxa"/>
            <w:vAlign w:val="bottom"/>
          </w:tcPr>
          <w:p>
            <w:pPr>
              <w:jc w:val="right"/>
              <w:ind w:right="904"/>
              <w:spacing w:after="0"/>
              <w:rPr>
                <w:sz w:val="20"/>
                <w:szCs w:val="20"/>
                <w:color w:val="auto"/>
              </w:rPr>
            </w:pPr>
            <w:r>
              <w:rPr>
                <w:rFonts w:ascii="Arial" w:cs="Arial" w:eastAsia="Arial" w:hAnsi="Arial"/>
                <w:sz w:val="14"/>
                <w:szCs w:val="14"/>
                <w:b w:val="1"/>
                <w:bCs w:val="1"/>
                <w:color w:val="auto"/>
                <w:strike w:val="1"/>
              </w:rPr>
              <w:t>4/25/14</w:t>
            </w:r>
          </w:p>
        </w:tc>
        <w:tc>
          <w:tcPr>
            <w:tcW w:w="1340" w:type="dxa"/>
            <w:vAlign w:val="bottom"/>
          </w:tcPr>
          <w:p>
            <w:pPr>
              <w:jc w:val="center"/>
              <w:ind w:left="624"/>
              <w:spacing w:after="0"/>
              <w:rPr>
                <w:sz w:val="20"/>
                <w:szCs w:val="20"/>
                <w:color w:val="auto"/>
              </w:rPr>
            </w:pPr>
            <w:r>
              <w:rPr>
                <w:rFonts w:ascii="Arial" w:cs="Arial" w:eastAsia="Arial" w:hAnsi="Arial"/>
                <w:sz w:val="14"/>
                <w:szCs w:val="14"/>
                <w:b w:val="1"/>
                <w:bCs w:val="1"/>
                <w:color w:val="auto"/>
                <w:strike w:val="1"/>
                <w:w w:val="92"/>
              </w:rPr>
              <w:t>Account</w:t>
            </w:r>
          </w:p>
        </w:tc>
        <w:tc>
          <w:tcPr>
            <w:tcW w:w="0" w:type="dxa"/>
            <w:vAlign w:val="bottom"/>
          </w:tcPr>
          <w:p>
            <w:pPr>
              <w:spacing w:after="0"/>
              <w:rPr>
                <w:sz w:val="1"/>
                <w:szCs w:val="1"/>
                <w:color w:val="auto"/>
              </w:rPr>
            </w:pPr>
          </w:p>
        </w:tc>
      </w:tr>
      <w:tr>
        <w:trPr>
          <w:trHeight w:val="244"/>
        </w:trPr>
        <w:tc>
          <w:tcPr>
            <w:tcW w:w="2620" w:type="dxa"/>
            <w:vAlign w:val="bottom"/>
          </w:tcPr>
          <w:p>
            <w:pPr>
              <w:jc w:val="center"/>
              <w:ind w:right="399"/>
              <w:spacing w:after="0"/>
              <w:rPr>
                <w:sz w:val="20"/>
                <w:szCs w:val="20"/>
                <w:color w:val="auto"/>
              </w:rPr>
            </w:pPr>
            <w:r>
              <w:rPr>
                <w:rFonts w:ascii="Arial" w:cs="Arial" w:eastAsia="Arial" w:hAnsi="Arial"/>
                <w:sz w:val="18"/>
                <w:szCs w:val="18"/>
                <w:color w:val="auto"/>
                <w:strike w:val="1"/>
                <w:w w:val="92"/>
              </w:rPr>
              <w:t>Scotia Bank Deposit Account</w:t>
            </w:r>
          </w:p>
        </w:tc>
        <w:tc>
          <w:tcPr>
            <w:tcW w:w="2020" w:type="dxa"/>
            <w:vAlign w:val="bottom"/>
          </w:tcPr>
          <w:p>
            <w:pPr>
              <w:jc w:val="center"/>
              <w:ind w:right="102"/>
              <w:spacing w:after="0"/>
              <w:rPr>
                <w:sz w:val="20"/>
                <w:szCs w:val="20"/>
                <w:color w:val="auto"/>
              </w:rPr>
            </w:pPr>
            <w:r>
              <w:rPr>
                <w:rFonts w:ascii="Arial" w:cs="Arial" w:eastAsia="Arial" w:hAnsi="Arial"/>
                <w:sz w:val="18"/>
                <w:szCs w:val="18"/>
                <w:color w:val="auto"/>
                <w:strike w:val="1"/>
                <w:w w:val="91"/>
              </w:rPr>
              <w:t>Scotia Bank</w:t>
            </w:r>
          </w:p>
        </w:tc>
        <w:tc>
          <w:tcPr>
            <w:tcW w:w="2340" w:type="dxa"/>
            <w:vAlign w:val="bottom"/>
          </w:tcPr>
          <w:p>
            <w:pPr>
              <w:ind w:left="660"/>
              <w:spacing w:after="0"/>
              <w:rPr>
                <w:sz w:val="20"/>
                <w:szCs w:val="20"/>
                <w:color w:val="auto"/>
              </w:rPr>
            </w:pPr>
            <w:r>
              <w:rPr>
                <w:rFonts w:ascii="Arial" w:cs="Arial" w:eastAsia="Arial" w:hAnsi="Arial"/>
                <w:sz w:val="18"/>
                <w:szCs w:val="18"/>
                <w:color w:val="auto"/>
                <w:strike w:val="1"/>
              </w:rPr>
              <w:t>476960080012</w:t>
            </w:r>
          </w:p>
        </w:tc>
        <w:tc>
          <w:tcPr>
            <w:tcW w:w="2320" w:type="dxa"/>
            <w:vAlign w:val="bottom"/>
          </w:tcPr>
          <w:p>
            <w:pPr>
              <w:jc w:val="right"/>
              <w:ind w:right="704"/>
              <w:spacing w:after="0"/>
              <w:rPr>
                <w:sz w:val="20"/>
                <w:szCs w:val="20"/>
                <w:color w:val="auto"/>
              </w:rPr>
            </w:pPr>
            <w:r>
              <w:rPr>
                <w:rFonts w:ascii="Arial" w:cs="Arial" w:eastAsia="Arial" w:hAnsi="Arial"/>
                <w:sz w:val="18"/>
                <w:szCs w:val="18"/>
                <w:color w:val="auto"/>
                <w:strike w:val="1"/>
              </w:rPr>
              <w:t>$1,358,946</w:t>
            </w:r>
          </w:p>
        </w:tc>
        <w:tc>
          <w:tcPr>
            <w:tcW w:w="1340" w:type="dxa"/>
            <w:vAlign w:val="bottom"/>
          </w:tcPr>
          <w:p>
            <w:pPr>
              <w:jc w:val="center"/>
              <w:ind w:left="604"/>
              <w:spacing w:after="0"/>
              <w:rPr>
                <w:sz w:val="20"/>
                <w:szCs w:val="20"/>
                <w:color w:val="auto"/>
              </w:rPr>
            </w:pPr>
            <w:r>
              <w:rPr>
                <w:rFonts w:ascii="Arial" w:cs="Arial" w:eastAsia="Arial" w:hAnsi="Arial"/>
                <w:sz w:val="18"/>
                <w:szCs w:val="18"/>
                <w:color w:val="auto"/>
                <w:strike w:val="1"/>
                <w:w w:val="95"/>
              </w:rPr>
              <w:t>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-145415</wp:posOffset>
            </wp:positionV>
            <wp:extent cx="55740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0640"/>
          </w:cols>
          <w:pgMar w:left="380" w:top="270" w:right="879" w:bottom="1440" w:gutter="0" w:footer="0" w:header="0"/>
        </w:sectPr>
      </w:pPr>
    </w:p>
    <w:bookmarkStart w:id="158" w:name="page159"/>
    <w:bookmarkEnd w:id="158"/>
    <w:p>
      <w:pPr>
        <w:ind w:left="5172"/>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7.01</w:t>
      </w:r>
    </w:p>
    <w:p>
      <w:pPr>
        <w:spacing w:after="0" w:line="117" w:lineRule="exact"/>
        <w:rPr>
          <w:sz w:val="20"/>
          <w:szCs w:val="20"/>
          <w:color w:val="auto"/>
        </w:rPr>
      </w:pPr>
    </w:p>
    <w:p>
      <w:pPr>
        <w:ind w:left="5152"/>
        <w:spacing w:after="0"/>
        <w:rPr>
          <w:sz w:val="20"/>
          <w:szCs w:val="20"/>
          <w:color w:val="auto"/>
        </w:rPr>
      </w:pPr>
      <w:r>
        <w:rPr>
          <w:rFonts w:ascii="Arial" w:cs="Arial" w:eastAsia="Arial" w:hAnsi="Arial"/>
          <w:sz w:val="18"/>
          <w:szCs w:val="18"/>
          <w:b w:val="1"/>
          <w:bCs w:val="1"/>
          <w:u w:val="single" w:color="auto"/>
          <w:color w:val="auto"/>
          <w:strike w:val="1"/>
        </w:rPr>
        <w:t>Existing Liens</w:t>
      </w:r>
    </w:p>
    <w:p>
      <w:pPr>
        <w:spacing w:after="0" w:line="229" w:lineRule="exact"/>
        <w:rPr>
          <w:sz w:val="20"/>
          <w:szCs w:val="20"/>
          <w:color w:val="auto"/>
        </w:rPr>
      </w:pPr>
    </w:p>
    <w:p>
      <w:pPr>
        <w:ind w:left="-8" w:right="100" w:firstLine="8"/>
        <w:spacing w:after="0" w:line="277" w:lineRule="auto"/>
        <w:tabs>
          <w:tab w:leader="none" w:pos="172" w:val="left"/>
        </w:tabs>
        <w:numPr>
          <w:ilvl w:val="0"/>
          <w:numId w:val="189"/>
        </w:numPr>
        <w:rPr>
          <w:rFonts w:ascii="Arial" w:cs="Arial" w:eastAsia="Arial" w:hAnsi="Arial"/>
          <w:sz w:val="18"/>
          <w:szCs w:val="18"/>
          <w:color w:val="auto"/>
          <w:strike w:val="1"/>
        </w:rPr>
      </w:pPr>
      <w:r>
        <w:rPr>
          <w:rFonts w:ascii="Arial" w:cs="Arial" w:eastAsia="Arial" w:hAnsi="Arial"/>
          <w:sz w:val="18"/>
          <w:szCs w:val="18"/>
          <w:color w:val="auto"/>
          <w:strike w:val="1"/>
        </w:rPr>
        <w:t>Liens granted pursuant to that Overdraft Facility Agreement, dated July 26, 2002, between TMB Bank Public Company Limited and Fabrinet Company Limited, as amended by the First Amendment to Overdraft Facility Agreement dated April 2, 2012.</w:t>
      </w:r>
    </w:p>
    <w:p>
      <w:pPr>
        <w:spacing w:after="0" w:line="170" w:lineRule="exact"/>
        <w:rPr>
          <w:rFonts w:ascii="Arial" w:cs="Arial" w:eastAsia="Arial" w:hAnsi="Arial"/>
          <w:sz w:val="18"/>
          <w:szCs w:val="18"/>
          <w:color w:val="auto"/>
          <w:strike w:val="1"/>
        </w:rPr>
      </w:pPr>
    </w:p>
    <w:p>
      <w:pPr>
        <w:ind w:left="-8" w:firstLine="8"/>
        <w:spacing w:after="0" w:line="277" w:lineRule="auto"/>
        <w:tabs>
          <w:tab w:leader="none" w:pos="172" w:val="left"/>
        </w:tabs>
        <w:numPr>
          <w:ilvl w:val="0"/>
          <w:numId w:val="189"/>
        </w:numPr>
        <w:rPr>
          <w:rFonts w:ascii="Arial" w:cs="Arial" w:eastAsia="Arial" w:hAnsi="Arial"/>
          <w:sz w:val="18"/>
          <w:szCs w:val="18"/>
          <w:color w:val="auto"/>
          <w:strike w:val="1"/>
        </w:rPr>
      </w:pPr>
      <w:r>
        <w:rPr>
          <w:rFonts w:ascii="Arial" w:cs="Arial" w:eastAsia="Arial" w:hAnsi="Arial"/>
          <w:sz w:val="18"/>
          <w:szCs w:val="18"/>
          <w:color w:val="auto"/>
          <w:strike w:val="1"/>
        </w:rPr>
        <w:t>Liens granted pursuant to that Letter of Guarantee/Acceptance/Acceptance of Aval Agreement, dated June 6, 2005, between TMB Bank Public Company Limited and Fabrinet Company Limited.</w:t>
      </w:r>
    </w:p>
    <w:p>
      <w:pPr>
        <w:spacing w:after="0" w:line="170" w:lineRule="exact"/>
        <w:rPr>
          <w:rFonts w:ascii="Arial" w:cs="Arial" w:eastAsia="Arial" w:hAnsi="Arial"/>
          <w:sz w:val="18"/>
          <w:szCs w:val="18"/>
          <w:color w:val="auto"/>
          <w:strike w:val="1"/>
        </w:rPr>
      </w:pPr>
    </w:p>
    <w:p>
      <w:pPr>
        <w:ind w:left="-8" w:right="500" w:firstLine="8"/>
        <w:spacing w:after="0" w:line="308" w:lineRule="auto"/>
        <w:tabs>
          <w:tab w:leader="none" w:pos="172" w:val="left"/>
        </w:tabs>
        <w:numPr>
          <w:ilvl w:val="0"/>
          <w:numId w:val="189"/>
        </w:numPr>
        <w:rPr>
          <w:rFonts w:ascii="Arial" w:cs="Arial" w:eastAsia="Arial" w:hAnsi="Arial"/>
          <w:sz w:val="17"/>
          <w:szCs w:val="17"/>
          <w:color w:val="auto"/>
          <w:strike w:val="1"/>
        </w:rPr>
      </w:pPr>
      <w:r>
        <w:rPr>
          <w:rFonts w:ascii="Arial" w:cs="Arial" w:eastAsia="Arial" w:hAnsi="Arial"/>
          <w:sz w:val="17"/>
          <w:szCs w:val="17"/>
          <w:color w:val="auto"/>
          <w:strike w:val="1"/>
        </w:rPr>
        <w:t>Liens granted pursuant to that Foreign Credit Facility Agreement, dated April 4, 2007, between TMB Bank Public Company Limited and Fabrinet Company Limited, as amended by the First Amendment to the Foreign Credit Facility Agreement dated September 29, 2010.</w:t>
      </w:r>
    </w:p>
    <w:p>
      <w:pPr>
        <w:sectPr>
          <w:pgSz w:w="11900" w:h="16838" w:orient="portrait"/>
          <w:cols w:equalWidth="0" w:num="1">
            <w:col w:w="11232"/>
          </w:cols>
          <w:pgMar w:left="248" w:top="270" w:right="419" w:bottom="1440" w:gutter="0" w:footer="0" w:header="0"/>
        </w:sectPr>
      </w:pPr>
    </w:p>
    <w:bookmarkStart w:id="159" w:name="page160"/>
    <w:bookmarkEnd w:id="159"/>
    <w:p>
      <w:pPr>
        <w:jc w:val="center"/>
        <w:ind w:right="-71"/>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7.02</w:t>
      </w:r>
    </w:p>
    <w:p>
      <w:pPr>
        <w:spacing w:after="0" w:line="11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u w:val="single" w:color="auto"/>
          <w:color w:val="auto"/>
          <w:strike w:val="1"/>
        </w:rPr>
        <w:t>Existing Indebtedness</w:t>
      </w:r>
    </w:p>
    <w:p>
      <w:pPr>
        <w:spacing w:after="0" w:line="229" w:lineRule="exact"/>
        <w:rPr>
          <w:sz w:val="20"/>
          <w:szCs w:val="20"/>
          <w:color w:val="auto"/>
        </w:rPr>
      </w:pPr>
    </w:p>
    <w:p>
      <w:pPr>
        <w:ind w:left="-8" w:firstLine="8"/>
        <w:spacing w:after="0" w:line="277" w:lineRule="auto"/>
        <w:tabs>
          <w:tab w:leader="none" w:pos="172" w:val="left"/>
        </w:tabs>
        <w:numPr>
          <w:ilvl w:val="0"/>
          <w:numId w:val="190"/>
        </w:numPr>
        <w:rPr>
          <w:rFonts w:ascii="Arial" w:cs="Arial" w:eastAsia="Arial" w:hAnsi="Arial"/>
          <w:sz w:val="18"/>
          <w:szCs w:val="18"/>
          <w:color w:val="auto"/>
          <w:strike w:val="1"/>
        </w:rPr>
      </w:pPr>
      <w:r>
        <w:rPr>
          <w:rFonts w:ascii="Arial" w:cs="Arial" w:eastAsia="Arial" w:hAnsi="Arial"/>
          <w:sz w:val="18"/>
          <w:szCs w:val="18"/>
          <w:color w:val="auto"/>
          <w:strike w:val="1"/>
        </w:rPr>
        <w:t>Overdraft Facility Agreement, dated July 26, 2002, between TMB Bank Public Company Limited and Fabrinet Company Limited, as amended by the First Amendment to Overdraft Facility Agreement dated April 2, 2012 in an aggregate amount not to exceed THB 30,000,000.</w:t>
      </w:r>
    </w:p>
    <w:p>
      <w:pPr>
        <w:spacing w:after="0" w:line="170" w:lineRule="exact"/>
        <w:rPr>
          <w:rFonts w:ascii="Arial" w:cs="Arial" w:eastAsia="Arial" w:hAnsi="Arial"/>
          <w:sz w:val="18"/>
          <w:szCs w:val="18"/>
          <w:color w:val="auto"/>
          <w:strike w:val="1"/>
        </w:rPr>
      </w:pPr>
    </w:p>
    <w:p>
      <w:pPr>
        <w:ind w:left="-8" w:right="20" w:firstLine="8"/>
        <w:spacing w:after="0" w:line="277" w:lineRule="auto"/>
        <w:tabs>
          <w:tab w:leader="none" w:pos="172" w:val="left"/>
        </w:tabs>
        <w:numPr>
          <w:ilvl w:val="0"/>
          <w:numId w:val="190"/>
        </w:numPr>
        <w:rPr>
          <w:rFonts w:ascii="Arial" w:cs="Arial" w:eastAsia="Arial" w:hAnsi="Arial"/>
          <w:sz w:val="18"/>
          <w:szCs w:val="18"/>
          <w:color w:val="auto"/>
          <w:strike w:val="1"/>
        </w:rPr>
      </w:pPr>
      <w:r>
        <w:rPr>
          <w:rFonts w:ascii="Arial" w:cs="Arial" w:eastAsia="Arial" w:hAnsi="Arial"/>
          <w:sz w:val="18"/>
          <w:szCs w:val="18"/>
          <w:color w:val="auto"/>
          <w:strike w:val="1"/>
        </w:rPr>
        <w:t>Letter of Guarantee/Acceptance/Acceptance of Aval Agreement, dated June 6, 2005, between TMB Bank Public Company Limited and Fabrinet Company Limited in an aggregate amount not to exceed THB 15,000,000.</w:t>
      </w:r>
    </w:p>
    <w:p>
      <w:pPr>
        <w:spacing w:after="0" w:line="170" w:lineRule="exact"/>
        <w:rPr>
          <w:rFonts w:ascii="Arial" w:cs="Arial" w:eastAsia="Arial" w:hAnsi="Arial"/>
          <w:sz w:val="18"/>
          <w:szCs w:val="18"/>
          <w:color w:val="auto"/>
          <w:strike w:val="1"/>
        </w:rPr>
      </w:pPr>
    </w:p>
    <w:p>
      <w:pPr>
        <w:ind w:left="-8" w:right="40" w:firstLine="8"/>
        <w:spacing w:after="0" w:line="277" w:lineRule="auto"/>
        <w:tabs>
          <w:tab w:leader="none" w:pos="172" w:val="left"/>
        </w:tabs>
        <w:numPr>
          <w:ilvl w:val="0"/>
          <w:numId w:val="190"/>
        </w:numPr>
        <w:rPr>
          <w:rFonts w:ascii="Arial" w:cs="Arial" w:eastAsia="Arial" w:hAnsi="Arial"/>
          <w:sz w:val="18"/>
          <w:szCs w:val="18"/>
          <w:color w:val="auto"/>
          <w:strike w:val="1"/>
        </w:rPr>
      </w:pPr>
      <w:r>
        <w:rPr>
          <w:rFonts w:ascii="Arial" w:cs="Arial" w:eastAsia="Arial" w:hAnsi="Arial"/>
          <w:sz w:val="18"/>
          <w:szCs w:val="18"/>
          <w:color w:val="auto"/>
          <w:strike w:val="1"/>
        </w:rPr>
        <w:t>Foreign Credit Facility Agreement, dated April 4, 2007, between TMB Bank Public Company Limited and Fabrinet Company Limited, as amended by the First Amendment to Foreign Credit Facility Agreement dated September 29, 2010.</w:t>
      </w:r>
    </w:p>
    <w:p>
      <w:pPr>
        <w:spacing w:after="0" w:line="170" w:lineRule="exact"/>
        <w:rPr>
          <w:rFonts w:ascii="Arial" w:cs="Arial" w:eastAsia="Arial" w:hAnsi="Arial"/>
          <w:sz w:val="18"/>
          <w:szCs w:val="18"/>
          <w:color w:val="auto"/>
          <w:strike w:val="1"/>
        </w:rPr>
      </w:pPr>
    </w:p>
    <w:p>
      <w:pPr>
        <w:ind w:left="-8" w:right="740" w:firstLine="8"/>
        <w:spacing w:after="0" w:line="277" w:lineRule="auto"/>
        <w:tabs>
          <w:tab w:leader="none" w:pos="172" w:val="left"/>
        </w:tabs>
        <w:numPr>
          <w:ilvl w:val="0"/>
          <w:numId w:val="190"/>
        </w:numPr>
        <w:rPr>
          <w:rFonts w:ascii="Arial" w:cs="Arial" w:eastAsia="Arial" w:hAnsi="Arial"/>
          <w:sz w:val="18"/>
          <w:szCs w:val="18"/>
          <w:color w:val="auto"/>
          <w:strike w:val="1"/>
        </w:rPr>
      </w:pPr>
      <w:r>
        <w:rPr>
          <w:rFonts w:ascii="Arial" w:cs="Arial" w:eastAsia="Arial" w:hAnsi="Arial"/>
          <w:sz w:val="18"/>
          <w:szCs w:val="18"/>
          <w:color w:val="auto"/>
          <w:strike w:val="1"/>
        </w:rPr>
        <w:t>Facilities Agreement, dated April 16, 2008, between Bankthai Public Co., Ltd. and Fabrinet Co., Ltd. in an aggregate amount not to exceed THB 63,000,000 and related Letter of Awareness, dated April 24, 2008, from Fabrinet to Bankthai Public Co., Ltd.</w:t>
      </w:r>
    </w:p>
    <w:p>
      <w:pPr>
        <w:spacing w:after="0" w:line="170" w:lineRule="exact"/>
        <w:rPr>
          <w:rFonts w:ascii="Arial" w:cs="Arial" w:eastAsia="Arial" w:hAnsi="Arial"/>
          <w:sz w:val="18"/>
          <w:szCs w:val="18"/>
          <w:color w:val="auto"/>
          <w:strike w:val="1"/>
        </w:rPr>
      </w:pPr>
    </w:p>
    <w:p>
      <w:pPr>
        <w:ind w:left="-8" w:right="100" w:firstLine="8"/>
        <w:spacing w:after="0" w:line="264" w:lineRule="auto"/>
        <w:tabs>
          <w:tab w:leader="none" w:pos="172" w:val="left"/>
        </w:tabs>
        <w:numPr>
          <w:ilvl w:val="0"/>
          <w:numId w:val="190"/>
        </w:numPr>
        <w:rPr>
          <w:rFonts w:ascii="Arial" w:cs="Arial" w:eastAsia="Arial" w:hAnsi="Arial"/>
          <w:sz w:val="18"/>
          <w:szCs w:val="18"/>
          <w:color w:val="auto"/>
          <w:strike w:val="1"/>
        </w:rPr>
      </w:pPr>
      <w:r>
        <w:rPr>
          <w:rFonts w:ascii="Arial" w:cs="Arial" w:eastAsia="Arial" w:hAnsi="Arial"/>
          <w:sz w:val="18"/>
          <w:szCs w:val="18"/>
          <w:color w:val="auto"/>
          <w:strike w:val="1"/>
        </w:rPr>
        <w:t>Facilities Agreement, dated July 5, 2010, between Siam Commercial Bank Public Company Limited and Fabrinet Co., Ltd. in an aggregate amount not to exceed THB 165,000,000 and related corporate guarantee obligations made by Fabrinet in favor of Siam Commercial Bank Public Company Limited in an aggregate amount not to exceed THB 140,000,000.</w:t>
      </w:r>
    </w:p>
    <w:p>
      <w:pPr>
        <w:sectPr>
          <w:pgSz w:w="11900" w:h="16838" w:orient="portrait"/>
          <w:cols w:equalWidth="0" w:num="1">
            <w:col w:w="11352"/>
          </w:cols>
          <w:pgMar w:left="248" w:top="270" w:right="299" w:bottom="1440" w:gutter="0" w:footer="0" w:header="0"/>
        </w:sectPr>
      </w:pPr>
    </w:p>
    <w:bookmarkStart w:id="160" w:name="page161"/>
    <w:bookmarkEnd w:id="160"/>
    <w:p>
      <w:pPr>
        <w:jc w:val="center"/>
        <w:ind w:right="-699"/>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7.03</w:t>
      </w:r>
    </w:p>
    <w:p>
      <w:pPr>
        <w:spacing w:after="0" w:line="11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u w:val="single" w:color="auto"/>
          <w:color w:val="auto"/>
          <w:strike w:val="1"/>
        </w:rPr>
        <w:t>Existing Investments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jc w:val="center"/>
              <w:ind w:right="51"/>
              <w:spacing w:after="0"/>
              <w:rPr>
                <w:sz w:val="20"/>
                <w:szCs w:val="20"/>
                <w:color w:val="auto"/>
              </w:rPr>
            </w:pPr>
            <w:r>
              <w:rPr>
                <w:rFonts w:ascii="Arial" w:cs="Arial" w:eastAsia="Arial" w:hAnsi="Arial"/>
                <w:sz w:val="14"/>
                <w:szCs w:val="14"/>
                <w:b w:val="1"/>
                <w:bCs w:val="1"/>
                <w:u w:val="single" w:color="auto"/>
                <w:color w:val="auto"/>
                <w:strike w:val="1"/>
                <w:w w:val="92"/>
              </w:rPr>
              <w:t>Investment Description</w:t>
            </w:r>
          </w:p>
        </w:tc>
        <w:tc>
          <w:tcPr>
            <w:tcW w:w="3240" w:type="dxa"/>
            <w:vAlign w:val="bottom"/>
          </w:tcPr>
          <w:p>
            <w:pPr>
              <w:jc w:val="center"/>
              <w:ind w:right="351"/>
              <w:spacing w:after="0"/>
              <w:rPr>
                <w:sz w:val="20"/>
                <w:szCs w:val="20"/>
                <w:color w:val="auto"/>
              </w:rPr>
            </w:pPr>
            <w:r>
              <w:rPr>
                <w:rFonts w:ascii="Arial" w:cs="Arial" w:eastAsia="Arial" w:hAnsi="Arial"/>
                <w:sz w:val="14"/>
                <w:szCs w:val="14"/>
                <w:b w:val="1"/>
                <w:bCs w:val="1"/>
                <w:u w:val="single" w:color="auto"/>
                <w:color w:val="auto"/>
                <w:strike w:val="1"/>
                <w:w w:val="94"/>
              </w:rPr>
              <w:t>Depositary Institution</w:t>
            </w:r>
          </w:p>
        </w:tc>
        <w:tc>
          <w:tcPr>
            <w:tcW w:w="2380" w:type="dxa"/>
            <w:vAlign w:val="bottom"/>
          </w:tcPr>
          <w:p>
            <w:pPr>
              <w:jc w:val="center"/>
              <w:ind w:right="232"/>
              <w:spacing w:after="0"/>
              <w:rPr>
                <w:sz w:val="20"/>
                <w:szCs w:val="20"/>
                <w:color w:val="auto"/>
              </w:rPr>
            </w:pPr>
            <w:r>
              <w:rPr>
                <w:rFonts w:ascii="Arial" w:cs="Arial" w:eastAsia="Arial" w:hAnsi="Arial"/>
                <w:sz w:val="14"/>
                <w:szCs w:val="14"/>
                <w:b w:val="1"/>
                <w:bCs w:val="1"/>
                <w:u w:val="single" w:color="auto"/>
                <w:color w:val="auto"/>
                <w:strike w:val="1"/>
                <w:w w:val="92"/>
              </w:rPr>
              <w:t>Location</w:t>
            </w:r>
          </w:p>
        </w:tc>
        <w:tc>
          <w:tcPr>
            <w:tcW w:w="1960" w:type="dxa"/>
            <w:vAlign w:val="bottom"/>
          </w:tcPr>
          <w:p>
            <w:pPr>
              <w:ind w:left="900"/>
              <w:spacing w:after="0"/>
              <w:rPr>
                <w:sz w:val="20"/>
                <w:szCs w:val="20"/>
                <w:color w:val="auto"/>
              </w:rPr>
            </w:pPr>
            <w:r>
              <w:rPr>
                <w:rFonts w:ascii="Arial" w:cs="Arial" w:eastAsia="Arial" w:hAnsi="Arial"/>
                <w:sz w:val="14"/>
                <w:szCs w:val="14"/>
                <w:b w:val="1"/>
                <w:bCs w:val="1"/>
                <w:u w:val="single" w:color="auto"/>
                <w:color w:val="auto"/>
                <w:strike w:val="1"/>
                <w:w w:val="92"/>
              </w:rPr>
              <w:t>Account Number</w:t>
            </w:r>
          </w:p>
        </w:tc>
      </w:tr>
      <w:tr>
        <w:trPr>
          <w:trHeight w:val="295"/>
        </w:trPr>
        <w:tc>
          <w:tcPr>
            <w:tcW w:w="3100" w:type="dxa"/>
            <w:vAlign w:val="bottom"/>
          </w:tcPr>
          <w:p>
            <w:pPr>
              <w:jc w:val="center"/>
              <w:ind w:right="71"/>
              <w:spacing w:after="0"/>
              <w:rPr>
                <w:sz w:val="20"/>
                <w:szCs w:val="20"/>
                <w:color w:val="auto"/>
              </w:rPr>
            </w:pPr>
            <w:r>
              <w:rPr>
                <w:rFonts w:ascii="Arial" w:cs="Arial" w:eastAsia="Arial" w:hAnsi="Arial"/>
                <w:sz w:val="18"/>
                <w:szCs w:val="18"/>
                <w:color w:val="auto"/>
                <w:strike w:val="1"/>
                <w:w w:val="90"/>
              </w:rPr>
              <w:t>BoA USD 35 Days Evergreen Repo</w:t>
            </w:r>
          </w:p>
        </w:tc>
        <w:tc>
          <w:tcPr>
            <w:tcW w:w="3240" w:type="dxa"/>
            <w:vAlign w:val="bottom"/>
          </w:tcPr>
          <w:p>
            <w:pPr>
              <w:jc w:val="center"/>
              <w:ind w:right="351"/>
              <w:spacing w:after="0"/>
              <w:rPr>
                <w:sz w:val="20"/>
                <w:szCs w:val="20"/>
                <w:color w:val="auto"/>
              </w:rPr>
            </w:pPr>
            <w:r>
              <w:rPr>
                <w:rFonts w:ascii="Arial" w:cs="Arial" w:eastAsia="Arial" w:hAnsi="Arial"/>
                <w:sz w:val="18"/>
                <w:szCs w:val="18"/>
                <w:color w:val="auto"/>
                <w:strike w:val="1"/>
                <w:w w:val="93"/>
              </w:rPr>
              <w:t>BNY Mellon as Custodian;</w:t>
            </w:r>
          </w:p>
        </w:tc>
        <w:tc>
          <w:tcPr>
            <w:tcW w:w="2380" w:type="dxa"/>
            <w:vAlign w:val="bottom"/>
          </w:tcPr>
          <w:p>
            <w:pPr>
              <w:jc w:val="center"/>
              <w:ind w:right="232"/>
              <w:spacing w:after="0"/>
              <w:rPr>
                <w:sz w:val="20"/>
                <w:szCs w:val="20"/>
                <w:color w:val="auto"/>
              </w:rPr>
            </w:pPr>
            <w:r>
              <w:rPr>
                <w:rFonts w:ascii="Arial" w:cs="Arial" w:eastAsia="Arial" w:hAnsi="Arial"/>
                <w:sz w:val="18"/>
                <w:szCs w:val="18"/>
                <w:color w:val="auto"/>
                <w:strike w:val="1"/>
                <w:w w:val="93"/>
              </w:rPr>
              <w:t>Luxembourg</w:t>
            </w:r>
          </w:p>
        </w:tc>
        <w:tc>
          <w:tcPr>
            <w:tcW w:w="1960" w:type="dxa"/>
            <w:vAlign w:val="bottom"/>
          </w:tcPr>
          <w:p>
            <w:pPr>
              <w:jc w:val="center"/>
              <w:ind w:left="832"/>
              <w:spacing w:after="0"/>
              <w:rPr>
                <w:sz w:val="20"/>
                <w:szCs w:val="20"/>
                <w:color w:val="auto"/>
              </w:rPr>
            </w:pPr>
            <w:r>
              <w:rPr>
                <w:rFonts w:ascii="Arial" w:cs="Arial" w:eastAsia="Arial" w:hAnsi="Arial"/>
                <w:sz w:val="18"/>
                <w:szCs w:val="18"/>
                <w:color w:val="auto"/>
                <w:strike w:val="1"/>
                <w:w w:val="89"/>
              </w:rPr>
              <w:t>00245602</w:t>
            </w:r>
          </w:p>
        </w:tc>
      </w:tr>
      <w:tr>
        <w:trPr>
          <w:trHeight w:val="216"/>
        </w:trPr>
        <w:tc>
          <w:tcPr>
            <w:tcW w:w="3100" w:type="dxa"/>
            <w:vAlign w:val="bottom"/>
          </w:tcPr>
          <w:p>
            <w:pPr>
              <w:jc w:val="center"/>
              <w:ind w:right="51"/>
              <w:spacing w:after="0"/>
              <w:rPr>
                <w:sz w:val="20"/>
                <w:szCs w:val="20"/>
                <w:color w:val="auto"/>
              </w:rPr>
            </w:pPr>
            <w:r>
              <w:rPr>
                <w:rFonts w:ascii="Arial" w:cs="Arial" w:eastAsia="Arial" w:hAnsi="Arial"/>
                <w:sz w:val="18"/>
                <w:szCs w:val="18"/>
                <w:color w:val="auto"/>
                <w:strike w:val="1"/>
                <w:w w:val="89"/>
              </w:rPr>
              <w:t>Fund #22</w:t>
            </w: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2"/>
              </w:rPr>
              <w:t>Guaranteed by Merrill Lynch</w:t>
            </w:r>
          </w:p>
        </w:tc>
        <w:tc>
          <w:tcPr>
            <w:tcW w:w="23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1"/>
              </w:rPr>
              <w:t>International; Coordinated through</w:t>
            </w:r>
          </w:p>
        </w:tc>
        <w:tc>
          <w:tcPr>
            <w:tcW w:w="23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3240" w:type="dxa"/>
            <w:vAlign w:val="bottom"/>
          </w:tcPr>
          <w:p>
            <w:pPr>
              <w:jc w:val="center"/>
              <w:ind w:right="351"/>
              <w:spacing w:after="0"/>
              <w:rPr>
                <w:sz w:val="20"/>
                <w:szCs w:val="20"/>
                <w:color w:val="auto"/>
              </w:rPr>
            </w:pPr>
            <w:r>
              <w:rPr>
                <w:rFonts w:ascii="Arial" w:cs="Arial" w:eastAsia="Arial" w:hAnsi="Arial"/>
                <w:sz w:val="18"/>
                <w:szCs w:val="18"/>
                <w:color w:val="auto"/>
                <w:strike w:val="1"/>
                <w:w w:val="93"/>
              </w:rPr>
              <w:t>Bank of America</w:t>
            </w:r>
          </w:p>
        </w:tc>
        <w:tc>
          <w:tcPr>
            <w:tcW w:w="23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10"/>
        </w:trPr>
        <w:tc>
          <w:tcPr>
            <w:tcW w:w="3100" w:type="dxa"/>
            <w:vAlign w:val="bottom"/>
          </w:tcPr>
          <w:p>
            <w:pPr>
              <w:jc w:val="center"/>
              <w:ind w:right="71"/>
              <w:spacing w:after="0"/>
              <w:rPr>
                <w:sz w:val="20"/>
                <w:szCs w:val="20"/>
                <w:color w:val="auto"/>
              </w:rPr>
            </w:pPr>
            <w:r>
              <w:rPr>
                <w:rFonts w:ascii="Arial" w:cs="Arial" w:eastAsia="Arial" w:hAnsi="Arial"/>
                <w:sz w:val="18"/>
                <w:szCs w:val="18"/>
                <w:color w:val="auto"/>
                <w:strike w:val="1"/>
                <w:w w:val="90"/>
              </w:rPr>
              <w:t>BoA USD 35 Days Evergreen Repo</w:t>
            </w:r>
          </w:p>
        </w:tc>
        <w:tc>
          <w:tcPr>
            <w:tcW w:w="3240" w:type="dxa"/>
            <w:vAlign w:val="bottom"/>
          </w:tcPr>
          <w:p>
            <w:pPr>
              <w:jc w:val="center"/>
              <w:ind w:right="351"/>
              <w:spacing w:after="0"/>
              <w:rPr>
                <w:sz w:val="20"/>
                <w:szCs w:val="20"/>
                <w:color w:val="auto"/>
              </w:rPr>
            </w:pPr>
            <w:r>
              <w:rPr>
                <w:rFonts w:ascii="Arial" w:cs="Arial" w:eastAsia="Arial" w:hAnsi="Arial"/>
                <w:sz w:val="18"/>
                <w:szCs w:val="18"/>
                <w:color w:val="auto"/>
                <w:strike w:val="1"/>
                <w:w w:val="93"/>
              </w:rPr>
              <w:t>BNY Mellon as Custodian;</w:t>
            </w:r>
          </w:p>
        </w:tc>
        <w:tc>
          <w:tcPr>
            <w:tcW w:w="2380" w:type="dxa"/>
            <w:vAlign w:val="bottom"/>
          </w:tcPr>
          <w:p>
            <w:pPr>
              <w:jc w:val="center"/>
              <w:ind w:right="232"/>
              <w:spacing w:after="0"/>
              <w:rPr>
                <w:sz w:val="20"/>
                <w:szCs w:val="20"/>
                <w:color w:val="auto"/>
              </w:rPr>
            </w:pPr>
            <w:r>
              <w:rPr>
                <w:rFonts w:ascii="Arial" w:cs="Arial" w:eastAsia="Arial" w:hAnsi="Arial"/>
                <w:sz w:val="18"/>
                <w:szCs w:val="18"/>
                <w:color w:val="auto"/>
                <w:strike w:val="1"/>
                <w:w w:val="93"/>
              </w:rPr>
              <w:t>Luxembourg</w:t>
            </w:r>
          </w:p>
        </w:tc>
        <w:tc>
          <w:tcPr>
            <w:tcW w:w="1960" w:type="dxa"/>
            <w:vAlign w:val="bottom"/>
          </w:tcPr>
          <w:p>
            <w:pPr>
              <w:jc w:val="center"/>
              <w:ind w:left="832"/>
              <w:spacing w:after="0"/>
              <w:rPr>
                <w:sz w:val="20"/>
                <w:szCs w:val="20"/>
                <w:color w:val="auto"/>
              </w:rPr>
            </w:pPr>
            <w:r>
              <w:rPr>
                <w:rFonts w:ascii="Arial" w:cs="Arial" w:eastAsia="Arial" w:hAnsi="Arial"/>
                <w:sz w:val="18"/>
                <w:szCs w:val="18"/>
                <w:color w:val="auto"/>
                <w:strike w:val="1"/>
                <w:w w:val="89"/>
              </w:rPr>
              <w:t>00245602</w:t>
            </w:r>
          </w:p>
        </w:tc>
      </w:tr>
      <w:tr>
        <w:trPr>
          <w:trHeight w:val="216"/>
        </w:trPr>
        <w:tc>
          <w:tcPr>
            <w:tcW w:w="3100" w:type="dxa"/>
            <w:vAlign w:val="bottom"/>
          </w:tcPr>
          <w:p>
            <w:pPr>
              <w:jc w:val="center"/>
              <w:ind w:right="51"/>
              <w:spacing w:after="0"/>
              <w:rPr>
                <w:sz w:val="20"/>
                <w:szCs w:val="20"/>
                <w:color w:val="auto"/>
              </w:rPr>
            </w:pPr>
            <w:r>
              <w:rPr>
                <w:rFonts w:ascii="Arial" w:cs="Arial" w:eastAsia="Arial" w:hAnsi="Arial"/>
                <w:sz w:val="18"/>
                <w:szCs w:val="18"/>
                <w:color w:val="auto"/>
                <w:strike w:val="1"/>
                <w:w w:val="89"/>
              </w:rPr>
              <w:t>Fund #21</w:t>
            </w: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2"/>
              </w:rPr>
              <w:t>Guaranteed by Merrill Lynch</w:t>
            </w:r>
          </w:p>
        </w:tc>
        <w:tc>
          <w:tcPr>
            <w:tcW w:w="23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1"/>
              </w:rPr>
              <w:t>International; Coordinated through</w:t>
            </w:r>
          </w:p>
        </w:tc>
        <w:tc>
          <w:tcPr>
            <w:tcW w:w="23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3240" w:type="dxa"/>
            <w:vAlign w:val="bottom"/>
          </w:tcPr>
          <w:p>
            <w:pPr>
              <w:jc w:val="center"/>
              <w:ind w:right="351"/>
              <w:spacing w:after="0"/>
              <w:rPr>
                <w:sz w:val="20"/>
                <w:szCs w:val="20"/>
                <w:color w:val="auto"/>
              </w:rPr>
            </w:pPr>
            <w:r>
              <w:rPr>
                <w:rFonts w:ascii="Arial" w:cs="Arial" w:eastAsia="Arial" w:hAnsi="Arial"/>
                <w:sz w:val="18"/>
                <w:szCs w:val="18"/>
                <w:color w:val="auto"/>
                <w:strike w:val="1"/>
                <w:w w:val="93"/>
              </w:rPr>
              <w:t>Bank of America</w:t>
            </w:r>
          </w:p>
        </w:tc>
        <w:tc>
          <w:tcPr>
            <w:tcW w:w="23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10"/>
        </w:trPr>
        <w:tc>
          <w:tcPr>
            <w:tcW w:w="3100" w:type="dxa"/>
            <w:vAlign w:val="bottom"/>
          </w:tcPr>
          <w:p>
            <w:pPr>
              <w:jc w:val="center"/>
              <w:ind w:right="71"/>
              <w:spacing w:after="0"/>
              <w:rPr>
                <w:sz w:val="20"/>
                <w:szCs w:val="20"/>
                <w:color w:val="auto"/>
              </w:rPr>
            </w:pPr>
            <w:r>
              <w:rPr>
                <w:rFonts w:ascii="Arial" w:cs="Arial" w:eastAsia="Arial" w:hAnsi="Arial"/>
                <w:sz w:val="18"/>
                <w:szCs w:val="18"/>
                <w:color w:val="auto"/>
                <w:strike w:val="1"/>
                <w:w w:val="90"/>
              </w:rPr>
              <w:t>BoA USD 35 Days Evergreen Repo</w:t>
            </w:r>
          </w:p>
        </w:tc>
        <w:tc>
          <w:tcPr>
            <w:tcW w:w="3240" w:type="dxa"/>
            <w:vAlign w:val="bottom"/>
          </w:tcPr>
          <w:p>
            <w:pPr>
              <w:jc w:val="center"/>
              <w:ind w:right="351"/>
              <w:spacing w:after="0"/>
              <w:rPr>
                <w:sz w:val="20"/>
                <w:szCs w:val="20"/>
                <w:color w:val="auto"/>
              </w:rPr>
            </w:pPr>
            <w:r>
              <w:rPr>
                <w:rFonts w:ascii="Arial" w:cs="Arial" w:eastAsia="Arial" w:hAnsi="Arial"/>
                <w:sz w:val="18"/>
                <w:szCs w:val="18"/>
                <w:color w:val="auto"/>
                <w:strike w:val="1"/>
                <w:w w:val="93"/>
              </w:rPr>
              <w:t>BNY Mellon as Custodian;</w:t>
            </w:r>
          </w:p>
        </w:tc>
        <w:tc>
          <w:tcPr>
            <w:tcW w:w="2380" w:type="dxa"/>
            <w:vAlign w:val="bottom"/>
          </w:tcPr>
          <w:p>
            <w:pPr>
              <w:jc w:val="center"/>
              <w:ind w:right="232"/>
              <w:spacing w:after="0"/>
              <w:rPr>
                <w:sz w:val="20"/>
                <w:szCs w:val="20"/>
                <w:color w:val="auto"/>
              </w:rPr>
            </w:pPr>
            <w:r>
              <w:rPr>
                <w:rFonts w:ascii="Arial" w:cs="Arial" w:eastAsia="Arial" w:hAnsi="Arial"/>
                <w:sz w:val="18"/>
                <w:szCs w:val="18"/>
                <w:color w:val="auto"/>
                <w:strike w:val="1"/>
                <w:w w:val="93"/>
              </w:rPr>
              <w:t>Luxembourg</w:t>
            </w:r>
          </w:p>
        </w:tc>
        <w:tc>
          <w:tcPr>
            <w:tcW w:w="1960" w:type="dxa"/>
            <w:vAlign w:val="bottom"/>
          </w:tcPr>
          <w:p>
            <w:pPr>
              <w:jc w:val="center"/>
              <w:ind w:left="832"/>
              <w:spacing w:after="0"/>
              <w:rPr>
                <w:sz w:val="20"/>
                <w:szCs w:val="20"/>
                <w:color w:val="auto"/>
              </w:rPr>
            </w:pPr>
            <w:r>
              <w:rPr>
                <w:rFonts w:ascii="Arial" w:cs="Arial" w:eastAsia="Arial" w:hAnsi="Arial"/>
                <w:sz w:val="18"/>
                <w:szCs w:val="18"/>
                <w:color w:val="auto"/>
                <w:strike w:val="1"/>
                <w:w w:val="89"/>
              </w:rPr>
              <w:t>00245602</w:t>
            </w:r>
          </w:p>
        </w:tc>
      </w:tr>
      <w:tr>
        <w:trPr>
          <w:trHeight w:val="216"/>
        </w:trPr>
        <w:tc>
          <w:tcPr>
            <w:tcW w:w="3100" w:type="dxa"/>
            <w:vAlign w:val="bottom"/>
          </w:tcPr>
          <w:p>
            <w:pPr>
              <w:jc w:val="center"/>
              <w:ind w:right="51"/>
              <w:spacing w:after="0"/>
              <w:rPr>
                <w:sz w:val="20"/>
                <w:szCs w:val="20"/>
                <w:color w:val="auto"/>
              </w:rPr>
            </w:pPr>
            <w:r>
              <w:rPr>
                <w:rFonts w:ascii="Arial" w:cs="Arial" w:eastAsia="Arial" w:hAnsi="Arial"/>
                <w:sz w:val="18"/>
                <w:szCs w:val="18"/>
                <w:color w:val="auto"/>
                <w:strike w:val="1"/>
                <w:w w:val="89"/>
              </w:rPr>
              <w:t>Fund #20</w:t>
            </w: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2"/>
              </w:rPr>
              <w:t>Guaranteed by Merrill Lynch</w:t>
            </w:r>
          </w:p>
        </w:tc>
        <w:tc>
          <w:tcPr>
            <w:tcW w:w="23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1"/>
              </w:rPr>
              <w:t>International; Coordinated through</w:t>
            </w:r>
          </w:p>
        </w:tc>
        <w:tc>
          <w:tcPr>
            <w:tcW w:w="23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3240" w:type="dxa"/>
            <w:vAlign w:val="bottom"/>
          </w:tcPr>
          <w:p>
            <w:pPr>
              <w:jc w:val="center"/>
              <w:ind w:right="351"/>
              <w:spacing w:after="0"/>
              <w:rPr>
                <w:sz w:val="20"/>
                <w:szCs w:val="20"/>
                <w:color w:val="auto"/>
              </w:rPr>
            </w:pPr>
            <w:r>
              <w:rPr>
                <w:rFonts w:ascii="Arial" w:cs="Arial" w:eastAsia="Arial" w:hAnsi="Arial"/>
                <w:sz w:val="18"/>
                <w:szCs w:val="18"/>
                <w:color w:val="auto"/>
                <w:strike w:val="1"/>
                <w:w w:val="93"/>
              </w:rPr>
              <w:t>Bank of America</w:t>
            </w:r>
          </w:p>
        </w:tc>
        <w:tc>
          <w:tcPr>
            <w:tcW w:w="23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10"/>
        </w:trPr>
        <w:tc>
          <w:tcPr>
            <w:tcW w:w="3100" w:type="dxa"/>
            <w:vAlign w:val="bottom"/>
          </w:tcPr>
          <w:p>
            <w:pPr>
              <w:jc w:val="center"/>
              <w:ind w:right="71"/>
              <w:spacing w:after="0"/>
              <w:rPr>
                <w:sz w:val="20"/>
                <w:szCs w:val="20"/>
                <w:color w:val="auto"/>
              </w:rPr>
            </w:pPr>
            <w:r>
              <w:rPr>
                <w:rFonts w:ascii="Arial" w:cs="Arial" w:eastAsia="Arial" w:hAnsi="Arial"/>
                <w:sz w:val="18"/>
                <w:szCs w:val="18"/>
                <w:color w:val="auto"/>
                <w:strike w:val="1"/>
                <w:w w:val="90"/>
              </w:rPr>
              <w:t>BoA USD 35 Days Evergreen Repo</w:t>
            </w:r>
          </w:p>
        </w:tc>
        <w:tc>
          <w:tcPr>
            <w:tcW w:w="3240" w:type="dxa"/>
            <w:vAlign w:val="bottom"/>
          </w:tcPr>
          <w:p>
            <w:pPr>
              <w:jc w:val="center"/>
              <w:ind w:right="351"/>
              <w:spacing w:after="0"/>
              <w:rPr>
                <w:sz w:val="20"/>
                <w:szCs w:val="20"/>
                <w:color w:val="auto"/>
              </w:rPr>
            </w:pPr>
            <w:r>
              <w:rPr>
                <w:rFonts w:ascii="Arial" w:cs="Arial" w:eastAsia="Arial" w:hAnsi="Arial"/>
                <w:sz w:val="18"/>
                <w:szCs w:val="18"/>
                <w:color w:val="auto"/>
                <w:strike w:val="1"/>
                <w:w w:val="93"/>
              </w:rPr>
              <w:t>BNY Mellon as Custodian;</w:t>
            </w:r>
          </w:p>
        </w:tc>
        <w:tc>
          <w:tcPr>
            <w:tcW w:w="2380" w:type="dxa"/>
            <w:vAlign w:val="bottom"/>
          </w:tcPr>
          <w:p>
            <w:pPr>
              <w:jc w:val="center"/>
              <w:ind w:right="232"/>
              <w:spacing w:after="0"/>
              <w:rPr>
                <w:sz w:val="20"/>
                <w:szCs w:val="20"/>
                <w:color w:val="auto"/>
              </w:rPr>
            </w:pPr>
            <w:r>
              <w:rPr>
                <w:rFonts w:ascii="Arial" w:cs="Arial" w:eastAsia="Arial" w:hAnsi="Arial"/>
                <w:sz w:val="18"/>
                <w:szCs w:val="18"/>
                <w:color w:val="auto"/>
                <w:strike w:val="1"/>
                <w:w w:val="93"/>
              </w:rPr>
              <w:t>Luxembourg</w:t>
            </w:r>
          </w:p>
        </w:tc>
        <w:tc>
          <w:tcPr>
            <w:tcW w:w="1960" w:type="dxa"/>
            <w:vAlign w:val="bottom"/>
          </w:tcPr>
          <w:p>
            <w:pPr>
              <w:jc w:val="center"/>
              <w:ind w:left="832"/>
              <w:spacing w:after="0"/>
              <w:rPr>
                <w:sz w:val="20"/>
                <w:szCs w:val="20"/>
                <w:color w:val="auto"/>
              </w:rPr>
            </w:pPr>
            <w:r>
              <w:rPr>
                <w:rFonts w:ascii="Arial" w:cs="Arial" w:eastAsia="Arial" w:hAnsi="Arial"/>
                <w:sz w:val="18"/>
                <w:szCs w:val="18"/>
                <w:color w:val="auto"/>
                <w:strike w:val="1"/>
                <w:w w:val="89"/>
              </w:rPr>
              <w:t>00245602</w:t>
            </w:r>
          </w:p>
        </w:tc>
      </w:tr>
      <w:tr>
        <w:trPr>
          <w:trHeight w:val="216"/>
        </w:trPr>
        <w:tc>
          <w:tcPr>
            <w:tcW w:w="3100" w:type="dxa"/>
            <w:vAlign w:val="bottom"/>
          </w:tcPr>
          <w:p>
            <w:pPr>
              <w:jc w:val="center"/>
              <w:ind w:right="51"/>
              <w:spacing w:after="0"/>
              <w:rPr>
                <w:sz w:val="20"/>
                <w:szCs w:val="20"/>
                <w:color w:val="auto"/>
              </w:rPr>
            </w:pPr>
            <w:r>
              <w:rPr>
                <w:rFonts w:ascii="Arial" w:cs="Arial" w:eastAsia="Arial" w:hAnsi="Arial"/>
                <w:sz w:val="18"/>
                <w:szCs w:val="18"/>
                <w:color w:val="auto"/>
                <w:strike w:val="1"/>
                <w:w w:val="89"/>
              </w:rPr>
              <w:t>Fund #23</w:t>
            </w: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2"/>
              </w:rPr>
              <w:t>Guaranteed by Merrill Lynch</w:t>
            </w:r>
          </w:p>
        </w:tc>
        <w:tc>
          <w:tcPr>
            <w:tcW w:w="23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1"/>
              </w:rPr>
              <w:t>International; Coordinated through</w:t>
            </w:r>
          </w:p>
        </w:tc>
        <w:tc>
          <w:tcPr>
            <w:tcW w:w="23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3240" w:type="dxa"/>
            <w:vAlign w:val="bottom"/>
          </w:tcPr>
          <w:p>
            <w:pPr>
              <w:jc w:val="center"/>
              <w:ind w:right="351"/>
              <w:spacing w:after="0"/>
              <w:rPr>
                <w:sz w:val="20"/>
                <w:szCs w:val="20"/>
                <w:color w:val="auto"/>
              </w:rPr>
            </w:pPr>
            <w:r>
              <w:rPr>
                <w:rFonts w:ascii="Arial" w:cs="Arial" w:eastAsia="Arial" w:hAnsi="Arial"/>
                <w:sz w:val="18"/>
                <w:szCs w:val="18"/>
                <w:color w:val="auto"/>
                <w:strike w:val="1"/>
                <w:w w:val="93"/>
              </w:rPr>
              <w:t>Bank of America</w:t>
            </w:r>
          </w:p>
        </w:tc>
        <w:tc>
          <w:tcPr>
            <w:tcW w:w="23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10"/>
        </w:trPr>
        <w:tc>
          <w:tcPr>
            <w:tcW w:w="3100" w:type="dxa"/>
            <w:vAlign w:val="bottom"/>
          </w:tcPr>
          <w:p>
            <w:pPr>
              <w:jc w:val="center"/>
              <w:ind w:right="71"/>
              <w:spacing w:after="0"/>
              <w:rPr>
                <w:sz w:val="20"/>
                <w:szCs w:val="20"/>
                <w:color w:val="auto"/>
              </w:rPr>
            </w:pPr>
            <w:r>
              <w:rPr>
                <w:rFonts w:ascii="Arial" w:cs="Arial" w:eastAsia="Arial" w:hAnsi="Arial"/>
                <w:sz w:val="18"/>
                <w:szCs w:val="18"/>
                <w:color w:val="auto"/>
                <w:strike w:val="1"/>
                <w:w w:val="90"/>
              </w:rPr>
              <w:t>BoA USD 35 Days Evergreen Repo</w:t>
            </w:r>
          </w:p>
        </w:tc>
        <w:tc>
          <w:tcPr>
            <w:tcW w:w="3240" w:type="dxa"/>
            <w:vAlign w:val="bottom"/>
          </w:tcPr>
          <w:p>
            <w:pPr>
              <w:jc w:val="center"/>
              <w:ind w:right="351"/>
              <w:spacing w:after="0"/>
              <w:rPr>
                <w:sz w:val="20"/>
                <w:szCs w:val="20"/>
                <w:color w:val="auto"/>
              </w:rPr>
            </w:pPr>
            <w:r>
              <w:rPr>
                <w:rFonts w:ascii="Arial" w:cs="Arial" w:eastAsia="Arial" w:hAnsi="Arial"/>
                <w:sz w:val="18"/>
                <w:szCs w:val="18"/>
                <w:color w:val="auto"/>
                <w:strike w:val="1"/>
                <w:w w:val="93"/>
              </w:rPr>
              <w:t>BNY Mellon as Custodian;</w:t>
            </w:r>
          </w:p>
        </w:tc>
        <w:tc>
          <w:tcPr>
            <w:tcW w:w="2380" w:type="dxa"/>
            <w:vAlign w:val="bottom"/>
          </w:tcPr>
          <w:p>
            <w:pPr>
              <w:jc w:val="center"/>
              <w:ind w:right="232"/>
              <w:spacing w:after="0"/>
              <w:rPr>
                <w:sz w:val="20"/>
                <w:szCs w:val="20"/>
                <w:color w:val="auto"/>
              </w:rPr>
            </w:pPr>
            <w:r>
              <w:rPr>
                <w:rFonts w:ascii="Arial" w:cs="Arial" w:eastAsia="Arial" w:hAnsi="Arial"/>
                <w:sz w:val="18"/>
                <w:szCs w:val="18"/>
                <w:color w:val="auto"/>
                <w:strike w:val="1"/>
                <w:w w:val="93"/>
              </w:rPr>
              <w:t>Luxembourg</w:t>
            </w:r>
          </w:p>
        </w:tc>
        <w:tc>
          <w:tcPr>
            <w:tcW w:w="1960" w:type="dxa"/>
            <w:vAlign w:val="bottom"/>
          </w:tcPr>
          <w:p>
            <w:pPr>
              <w:jc w:val="center"/>
              <w:ind w:left="832"/>
              <w:spacing w:after="0"/>
              <w:rPr>
                <w:sz w:val="20"/>
                <w:szCs w:val="20"/>
                <w:color w:val="auto"/>
              </w:rPr>
            </w:pPr>
            <w:r>
              <w:rPr>
                <w:rFonts w:ascii="Arial" w:cs="Arial" w:eastAsia="Arial" w:hAnsi="Arial"/>
                <w:sz w:val="18"/>
                <w:szCs w:val="18"/>
                <w:color w:val="auto"/>
                <w:strike w:val="1"/>
                <w:w w:val="89"/>
              </w:rPr>
              <w:t>00245602</w:t>
            </w:r>
          </w:p>
        </w:tc>
      </w:tr>
      <w:tr>
        <w:trPr>
          <w:trHeight w:val="216"/>
        </w:trPr>
        <w:tc>
          <w:tcPr>
            <w:tcW w:w="3100" w:type="dxa"/>
            <w:vAlign w:val="bottom"/>
          </w:tcPr>
          <w:p>
            <w:pPr>
              <w:jc w:val="center"/>
              <w:ind w:right="51"/>
              <w:spacing w:after="0"/>
              <w:rPr>
                <w:sz w:val="20"/>
                <w:szCs w:val="20"/>
                <w:color w:val="auto"/>
              </w:rPr>
            </w:pPr>
            <w:r>
              <w:rPr>
                <w:rFonts w:ascii="Arial" w:cs="Arial" w:eastAsia="Arial" w:hAnsi="Arial"/>
                <w:sz w:val="18"/>
                <w:szCs w:val="18"/>
                <w:color w:val="auto"/>
                <w:strike w:val="1"/>
                <w:w w:val="89"/>
              </w:rPr>
              <w:t>Fund #24</w:t>
            </w: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2"/>
              </w:rPr>
              <w:t>Guaranteed by Merrill Lynch</w:t>
            </w:r>
          </w:p>
        </w:tc>
        <w:tc>
          <w:tcPr>
            <w:tcW w:w="23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1"/>
              </w:rPr>
              <w:t>International; Coordinated through</w:t>
            </w:r>
          </w:p>
        </w:tc>
        <w:tc>
          <w:tcPr>
            <w:tcW w:w="23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3240" w:type="dxa"/>
            <w:vAlign w:val="bottom"/>
          </w:tcPr>
          <w:p>
            <w:pPr>
              <w:jc w:val="center"/>
              <w:ind w:right="351"/>
              <w:spacing w:after="0"/>
              <w:rPr>
                <w:sz w:val="20"/>
                <w:szCs w:val="20"/>
                <w:color w:val="auto"/>
              </w:rPr>
            </w:pPr>
            <w:r>
              <w:rPr>
                <w:rFonts w:ascii="Arial" w:cs="Arial" w:eastAsia="Arial" w:hAnsi="Arial"/>
                <w:sz w:val="18"/>
                <w:szCs w:val="18"/>
                <w:color w:val="auto"/>
                <w:strike w:val="1"/>
                <w:w w:val="93"/>
              </w:rPr>
              <w:t>Bank of America</w:t>
            </w:r>
          </w:p>
        </w:tc>
        <w:tc>
          <w:tcPr>
            <w:tcW w:w="23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10"/>
        </w:trPr>
        <w:tc>
          <w:tcPr>
            <w:tcW w:w="3100" w:type="dxa"/>
            <w:vAlign w:val="bottom"/>
          </w:tcPr>
          <w:p>
            <w:pPr>
              <w:jc w:val="center"/>
              <w:ind w:right="51"/>
              <w:spacing w:after="0"/>
              <w:rPr>
                <w:sz w:val="20"/>
                <w:szCs w:val="20"/>
                <w:color w:val="auto"/>
              </w:rPr>
            </w:pPr>
            <w:r>
              <w:rPr>
                <w:rFonts w:ascii="Arial" w:cs="Arial" w:eastAsia="Arial" w:hAnsi="Arial"/>
                <w:sz w:val="18"/>
                <w:szCs w:val="18"/>
                <w:color w:val="auto"/>
                <w:strike w:val="1"/>
                <w:w w:val="92"/>
              </w:rPr>
              <w:t>Credit Linkage on China Construct Bank</w:t>
            </w: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5"/>
              </w:rPr>
              <w:t>Citibank</w:t>
            </w:r>
          </w:p>
        </w:tc>
        <w:tc>
          <w:tcPr>
            <w:tcW w:w="2380" w:type="dxa"/>
            <w:vAlign w:val="bottom"/>
          </w:tcPr>
          <w:p>
            <w:pPr>
              <w:jc w:val="center"/>
              <w:ind w:right="232"/>
              <w:spacing w:after="0"/>
              <w:rPr>
                <w:sz w:val="20"/>
                <w:szCs w:val="20"/>
                <w:color w:val="auto"/>
              </w:rPr>
            </w:pPr>
            <w:r>
              <w:rPr>
                <w:rFonts w:ascii="Arial" w:cs="Arial" w:eastAsia="Arial" w:hAnsi="Arial"/>
                <w:sz w:val="18"/>
                <w:szCs w:val="18"/>
                <w:color w:val="auto"/>
                <w:strike w:val="1"/>
              </w:rPr>
              <w:t>UK</w:t>
            </w:r>
          </w:p>
        </w:tc>
        <w:tc>
          <w:tcPr>
            <w:tcW w:w="1960" w:type="dxa"/>
            <w:vAlign w:val="bottom"/>
          </w:tcPr>
          <w:p>
            <w:pPr>
              <w:jc w:val="center"/>
              <w:ind w:left="812"/>
              <w:spacing w:after="0"/>
              <w:rPr>
                <w:sz w:val="20"/>
                <w:szCs w:val="20"/>
                <w:color w:val="auto"/>
              </w:rPr>
            </w:pPr>
            <w:r>
              <w:rPr>
                <w:rFonts w:ascii="Arial" w:cs="Arial" w:eastAsia="Arial" w:hAnsi="Arial"/>
                <w:sz w:val="18"/>
                <w:szCs w:val="18"/>
                <w:color w:val="auto"/>
                <w:strike w:val="1"/>
                <w:w w:val="97"/>
              </w:rPr>
              <w:t>LDDB7725</w:t>
            </w:r>
          </w:p>
        </w:tc>
      </w:tr>
      <w:tr>
        <w:trPr>
          <w:trHeight w:val="230"/>
        </w:trPr>
        <w:tc>
          <w:tcPr>
            <w:tcW w:w="3100" w:type="dxa"/>
            <w:vAlign w:val="bottom"/>
          </w:tcPr>
          <w:p>
            <w:pPr>
              <w:jc w:val="center"/>
              <w:ind w:right="71"/>
              <w:spacing w:after="0"/>
              <w:rPr>
                <w:sz w:val="20"/>
                <w:szCs w:val="20"/>
                <w:color w:val="auto"/>
              </w:rPr>
            </w:pPr>
            <w:r>
              <w:rPr>
                <w:rFonts w:ascii="Arial" w:cs="Arial" w:eastAsia="Arial" w:hAnsi="Arial"/>
                <w:sz w:val="18"/>
                <w:szCs w:val="18"/>
                <w:color w:val="auto"/>
                <w:strike w:val="1"/>
                <w:w w:val="86"/>
              </w:rPr>
              <w:t>#33</w:t>
            </w:r>
          </w:p>
        </w:tc>
        <w:tc>
          <w:tcPr>
            <w:tcW w:w="3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10"/>
        </w:trPr>
        <w:tc>
          <w:tcPr>
            <w:tcW w:w="3100" w:type="dxa"/>
            <w:vAlign w:val="bottom"/>
          </w:tcPr>
          <w:p>
            <w:pPr>
              <w:jc w:val="center"/>
              <w:ind w:right="51"/>
              <w:spacing w:after="0"/>
              <w:rPr>
                <w:sz w:val="20"/>
                <w:szCs w:val="20"/>
                <w:color w:val="auto"/>
              </w:rPr>
            </w:pPr>
            <w:r>
              <w:rPr>
                <w:rFonts w:ascii="Arial" w:cs="Arial" w:eastAsia="Arial" w:hAnsi="Arial"/>
                <w:sz w:val="18"/>
                <w:szCs w:val="18"/>
                <w:color w:val="auto"/>
                <w:strike w:val="1"/>
                <w:w w:val="94"/>
              </w:rPr>
              <w:t>Credit Linkage on Agricultural</w:t>
            </w:r>
          </w:p>
        </w:tc>
        <w:tc>
          <w:tcPr>
            <w:tcW w:w="3240" w:type="dxa"/>
            <w:vAlign w:val="bottom"/>
          </w:tcPr>
          <w:p>
            <w:pPr>
              <w:jc w:val="center"/>
              <w:ind w:right="331"/>
              <w:spacing w:after="0"/>
              <w:rPr>
                <w:sz w:val="20"/>
                <w:szCs w:val="20"/>
                <w:color w:val="auto"/>
              </w:rPr>
            </w:pPr>
            <w:r>
              <w:rPr>
                <w:rFonts w:ascii="Arial" w:cs="Arial" w:eastAsia="Arial" w:hAnsi="Arial"/>
                <w:sz w:val="18"/>
                <w:szCs w:val="18"/>
                <w:color w:val="auto"/>
                <w:strike w:val="1"/>
                <w:w w:val="95"/>
              </w:rPr>
              <w:t>Citibank</w:t>
            </w:r>
          </w:p>
        </w:tc>
        <w:tc>
          <w:tcPr>
            <w:tcW w:w="2380" w:type="dxa"/>
            <w:vAlign w:val="bottom"/>
          </w:tcPr>
          <w:p>
            <w:pPr>
              <w:jc w:val="center"/>
              <w:ind w:right="232"/>
              <w:spacing w:after="0"/>
              <w:rPr>
                <w:sz w:val="20"/>
                <w:szCs w:val="20"/>
                <w:color w:val="auto"/>
              </w:rPr>
            </w:pPr>
            <w:r>
              <w:rPr>
                <w:rFonts w:ascii="Arial" w:cs="Arial" w:eastAsia="Arial" w:hAnsi="Arial"/>
                <w:sz w:val="18"/>
                <w:szCs w:val="18"/>
                <w:color w:val="auto"/>
                <w:strike w:val="1"/>
              </w:rPr>
              <w:t>UK</w:t>
            </w:r>
          </w:p>
        </w:tc>
        <w:tc>
          <w:tcPr>
            <w:tcW w:w="1960" w:type="dxa"/>
            <w:vAlign w:val="bottom"/>
          </w:tcPr>
          <w:p>
            <w:pPr>
              <w:jc w:val="center"/>
              <w:ind w:left="812"/>
              <w:spacing w:after="0"/>
              <w:rPr>
                <w:sz w:val="20"/>
                <w:szCs w:val="20"/>
                <w:color w:val="auto"/>
              </w:rPr>
            </w:pPr>
            <w:r>
              <w:rPr>
                <w:rFonts w:ascii="Arial" w:cs="Arial" w:eastAsia="Arial" w:hAnsi="Arial"/>
                <w:sz w:val="18"/>
                <w:szCs w:val="18"/>
                <w:color w:val="auto"/>
                <w:strike w:val="1"/>
                <w:w w:val="97"/>
              </w:rPr>
              <w:t>LDDB7725</w:t>
            </w:r>
          </w:p>
        </w:tc>
      </w:tr>
      <w:tr>
        <w:trPr>
          <w:trHeight w:val="230"/>
        </w:trPr>
        <w:tc>
          <w:tcPr>
            <w:tcW w:w="3100" w:type="dxa"/>
            <w:vAlign w:val="bottom"/>
          </w:tcPr>
          <w:p>
            <w:pPr>
              <w:jc w:val="center"/>
              <w:ind w:right="71"/>
              <w:spacing w:after="0"/>
              <w:rPr>
                <w:sz w:val="20"/>
                <w:szCs w:val="20"/>
                <w:color w:val="auto"/>
              </w:rPr>
            </w:pPr>
            <w:r>
              <w:rPr>
                <w:rFonts w:ascii="Arial" w:cs="Arial" w:eastAsia="Arial" w:hAnsi="Arial"/>
                <w:sz w:val="18"/>
                <w:szCs w:val="18"/>
                <w:color w:val="auto"/>
                <w:strike w:val="1"/>
                <w:w w:val="91"/>
              </w:rPr>
              <w:t>Development Bank of China #32</w:t>
            </w:r>
          </w:p>
        </w:tc>
        <w:tc>
          <w:tcPr>
            <w:tcW w:w="3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ectPr>
          <w:pgSz w:w="11900" w:h="16838" w:orient="portrait"/>
          <w:cols w:equalWidth="0" w:num="1">
            <w:col w:w="10680"/>
          </w:cols>
          <w:pgMar w:left="260" w:top="270" w:right="959" w:bottom="1440" w:gutter="0" w:footer="0" w:header="0"/>
        </w:sectPr>
      </w:pPr>
    </w:p>
    <w:bookmarkStart w:id="161" w:name="page162"/>
    <w:bookmarkEnd w:id="161"/>
    <w:p>
      <w:pPr>
        <w:jc w:val="center"/>
        <w:ind w:right="-1192"/>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7.08</w:t>
      </w:r>
    </w:p>
    <w:p>
      <w:pPr>
        <w:spacing w:after="0" w:line="117"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u w:val="single" w:color="auto"/>
          <w:color w:val="auto"/>
          <w:strike w:val="1"/>
        </w:rPr>
        <w:t>Transactions with Affiliates</w:t>
      </w:r>
    </w:p>
    <w:p>
      <w:pPr>
        <w:spacing w:after="0" w:line="229" w:lineRule="exact"/>
        <w:rPr>
          <w:sz w:val="20"/>
          <w:szCs w:val="20"/>
          <w:color w:val="auto"/>
        </w:rPr>
      </w:pPr>
    </w:p>
    <w:p>
      <w:pPr>
        <w:ind w:left="172" w:hanging="172"/>
        <w:spacing w:after="0"/>
        <w:tabs>
          <w:tab w:leader="none" w:pos="172" w:val="left"/>
        </w:tabs>
        <w:numPr>
          <w:ilvl w:val="0"/>
          <w:numId w:val="191"/>
        </w:numPr>
        <w:rPr>
          <w:rFonts w:ascii="Arial" w:cs="Arial" w:eastAsia="Arial" w:hAnsi="Arial"/>
          <w:sz w:val="16"/>
          <w:szCs w:val="16"/>
          <w:color w:val="auto"/>
          <w:strike w:val="1"/>
        </w:rPr>
      </w:pPr>
      <w:r>
        <w:rPr>
          <w:rFonts w:ascii="Arial" w:cs="Arial" w:eastAsia="Arial" w:hAnsi="Arial"/>
          <w:sz w:val="16"/>
          <w:szCs w:val="16"/>
          <w:color w:val="auto"/>
          <w:strike w:val="1"/>
        </w:rPr>
        <w:t>Administrative Services Agreement, dated January 2, 2000, by and between Fabrinet and Fabrinet USA, Inc.</w:t>
      </w:r>
    </w:p>
    <w:p>
      <w:pPr>
        <w:spacing w:after="0" w:line="140" w:lineRule="exact"/>
        <w:rPr>
          <w:rFonts w:ascii="Arial" w:cs="Arial" w:eastAsia="Arial" w:hAnsi="Arial"/>
          <w:sz w:val="16"/>
          <w:szCs w:val="16"/>
          <w:color w:val="auto"/>
          <w:strike w:val="1"/>
        </w:rPr>
      </w:pPr>
    </w:p>
    <w:p>
      <w:pPr>
        <w:ind w:left="172" w:hanging="172"/>
        <w:spacing w:after="0"/>
        <w:tabs>
          <w:tab w:leader="none" w:pos="172" w:val="left"/>
        </w:tabs>
        <w:numPr>
          <w:ilvl w:val="0"/>
          <w:numId w:val="191"/>
        </w:numPr>
        <w:rPr>
          <w:rFonts w:ascii="Arial" w:cs="Arial" w:eastAsia="Arial" w:hAnsi="Arial"/>
          <w:sz w:val="16"/>
          <w:szCs w:val="16"/>
          <w:color w:val="auto"/>
          <w:strike w:val="1"/>
        </w:rPr>
      </w:pPr>
      <w:r>
        <w:rPr>
          <w:rFonts w:ascii="Arial" w:cs="Arial" w:eastAsia="Arial" w:hAnsi="Arial"/>
          <w:sz w:val="16"/>
          <w:szCs w:val="16"/>
          <w:color w:val="auto"/>
          <w:strike w:val="1"/>
        </w:rPr>
        <w:t>Administrative Services Agreement, dated January 3, 2008, by and between Fabrinet and Fabrinet Pte. Ltd.</w:t>
      </w:r>
    </w:p>
    <w:p>
      <w:pPr>
        <w:spacing w:after="0" w:line="140" w:lineRule="exact"/>
        <w:rPr>
          <w:rFonts w:ascii="Arial" w:cs="Arial" w:eastAsia="Arial" w:hAnsi="Arial"/>
          <w:sz w:val="16"/>
          <w:szCs w:val="16"/>
          <w:color w:val="auto"/>
          <w:strike w:val="1"/>
        </w:rPr>
      </w:pPr>
    </w:p>
    <w:p>
      <w:pPr>
        <w:ind w:left="172" w:hanging="172"/>
        <w:spacing w:after="0"/>
        <w:tabs>
          <w:tab w:leader="none" w:pos="172" w:val="left"/>
        </w:tabs>
        <w:numPr>
          <w:ilvl w:val="0"/>
          <w:numId w:val="191"/>
        </w:numPr>
        <w:rPr>
          <w:rFonts w:ascii="Arial" w:cs="Arial" w:eastAsia="Arial" w:hAnsi="Arial"/>
          <w:sz w:val="16"/>
          <w:szCs w:val="16"/>
          <w:color w:val="auto"/>
          <w:strike w:val="1"/>
        </w:rPr>
      </w:pPr>
      <w:r>
        <w:rPr>
          <w:rFonts w:ascii="Arial" w:cs="Arial" w:eastAsia="Arial" w:hAnsi="Arial"/>
          <w:sz w:val="16"/>
          <w:szCs w:val="16"/>
          <w:color w:val="auto"/>
          <w:strike w:val="1"/>
        </w:rPr>
        <w:t>Business Development Service Agreement, dated January 2, 2011, by and between Fabrinet and Fabrinet AB.</w:t>
      </w:r>
    </w:p>
    <w:p>
      <w:pPr>
        <w:sectPr>
          <w:pgSz w:w="11900" w:h="16838" w:orient="portrait"/>
          <w:cols w:equalWidth="0" w:num="1">
            <w:col w:w="10211"/>
          </w:cols>
          <w:pgMar w:left="248" w:top="270" w:right="1440" w:bottom="1440" w:gutter="0" w:footer="0" w:header="0"/>
        </w:sectPr>
      </w:pPr>
    </w:p>
    <w:bookmarkStart w:id="162" w:name="page163"/>
    <w:bookmarkEnd w:id="162"/>
    <w:p>
      <w:pPr>
        <w:jc w:val="center"/>
        <w:ind w:right="-371"/>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7.09</w:t>
      </w:r>
    </w:p>
    <w:p>
      <w:pPr>
        <w:spacing w:after="0" w:line="117" w:lineRule="exact"/>
        <w:rPr>
          <w:sz w:val="20"/>
          <w:szCs w:val="20"/>
          <w:color w:val="auto"/>
        </w:rPr>
      </w:pPr>
    </w:p>
    <w:p>
      <w:pPr>
        <w:jc w:val="center"/>
        <w:ind w:right="-371"/>
        <w:spacing w:after="0"/>
        <w:rPr>
          <w:sz w:val="20"/>
          <w:szCs w:val="20"/>
          <w:color w:val="auto"/>
        </w:rPr>
      </w:pPr>
      <w:r>
        <w:rPr>
          <w:rFonts w:ascii="Arial" w:cs="Arial" w:eastAsia="Arial" w:hAnsi="Arial"/>
          <w:sz w:val="18"/>
          <w:szCs w:val="18"/>
          <w:b w:val="1"/>
          <w:bCs w:val="1"/>
          <w:u w:val="single" w:color="auto"/>
          <w:color w:val="auto"/>
          <w:strike w:val="1"/>
        </w:rPr>
        <w:t>Burdensome Agreements</w:t>
      </w:r>
    </w:p>
    <w:p>
      <w:pPr>
        <w:spacing w:after="0" w:line="229" w:lineRule="exact"/>
        <w:rPr>
          <w:sz w:val="20"/>
          <w:szCs w:val="20"/>
          <w:color w:val="auto"/>
        </w:rPr>
      </w:pPr>
    </w:p>
    <w:p>
      <w:pPr>
        <w:ind w:left="-8" w:firstLine="8"/>
        <w:spacing w:after="0" w:line="277" w:lineRule="auto"/>
        <w:tabs>
          <w:tab w:leader="none" w:pos="172" w:val="left"/>
        </w:tabs>
        <w:numPr>
          <w:ilvl w:val="0"/>
          <w:numId w:val="192"/>
        </w:numPr>
        <w:rPr>
          <w:rFonts w:ascii="Arial" w:cs="Arial" w:eastAsia="Arial" w:hAnsi="Arial"/>
          <w:sz w:val="18"/>
          <w:szCs w:val="18"/>
          <w:color w:val="auto"/>
          <w:strike w:val="1"/>
        </w:rPr>
      </w:pPr>
      <w:r>
        <w:rPr>
          <w:rFonts w:ascii="Arial" w:cs="Arial" w:eastAsia="Arial" w:hAnsi="Arial"/>
          <w:sz w:val="18"/>
          <w:szCs w:val="18"/>
          <w:color w:val="auto"/>
          <w:strike w:val="1"/>
        </w:rPr>
        <w:t>Contractual restrictions contained in that Facility Agreement, dated May 12, 2011, by and among Fabrinet Company Limited, Fabrinet and TMB Bank Public Company Limited, as amended by the Amendment to the Term Loan Facility Agreement dated April 25, 2014.</w:t>
      </w:r>
    </w:p>
    <w:p>
      <w:pPr>
        <w:sectPr>
          <w:pgSz w:w="11900" w:h="16838" w:orient="portrait"/>
          <w:cols w:equalWidth="0" w:num="1">
            <w:col w:w="11032"/>
          </w:cols>
          <w:pgMar w:left="248" w:top="270" w:right="619" w:bottom="1440" w:gutter="0" w:footer="0" w:header="0"/>
        </w:sectPr>
      </w:pPr>
    </w:p>
    <w:bookmarkStart w:id="163" w:name="page164"/>
    <w:bookmarkEnd w:id="163"/>
    <w:p>
      <w:pPr>
        <w:ind w:left="40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Administrative Questionnaire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On file with Administrative Agent.</w:t>
      </w:r>
    </w:p>
    <w:p>
      <w:pPr>
        <w:sectPr>
          <w:pgSz w:w="11900" w:h="16838" w:orient="portrait"/>
          <w:cols w:equalWidth="0" w:num="1">
            <w:col w:w="9019"/>
          </w:cols>
          <w:pgMar w:left="1440" w:top="270" w:right="1440" w:bottom="1440" w:gutter="0" w:footer="0" w:header="0"/>
        </w:sectPr>
      </w:pPr>
    </w:p>
    <w:bookmarkStart w:id="164" w:name="page165"/>
    <w:bookmarkEnd w:id="164"/>
    <w:p>
      <w:pPr>
        <w:ind w:left="5240"/>
        <w:spacing w:after="0"/>
        <w:rPr>
          <w:sz w:val="20"/>
          <w:szCs w:val="20"/>
          <w:color w:val="auto"/>
        </w:rPr>
      </w:pPr>
      <w:r>
        <w:rPr>
          <w:rFonts w:ascii="Arial" w:cs="Arial" w:eastAsia="Arial" w:hAnsi="Arial"/>
          <w:sz w:val="18"/>
          <w:szCs w:val="18"/>
          <w:b w:val="1"/>
          <w:bCs w:val="1"/>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1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strike w:val="1"/>
        </w:rPr>
        <w:t>Form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strike w:val="1"/>
        </w:rPr>
        <w:t>Assignment and Assumption</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strike w:val="1"/>
        </w:rPr>
        <w:t>This Assignment and Assumption (this “</w:t>
      </w:r>
      <w:r>
        <w:rPr>
          <w:rFonts w:ascii="Arial" w:cs="Arial" w:eastAsia="Arial" w:hAnsi="Arial"/>
          <w:sz w:val="17"/>
          <w:szCs w:val="17"/>
          <w:u w:val="single" w:color="auto"/>
          <w:color w:val="auto"/>
          <w:strike w:val="1"/>
        </w:rPr>
        <w:t>Assignment and Assumption</w:t>
      </w:r>
      <w:r>
        <w:rPr>
          <w:rFonts w:ascii="Arial" w:cs="Arial" w:eastAsia="Arial" w:hAnsi="Arial"/>
          <w:sz w:val="17"/>
          <w:szCs w:val="17"/>
          <w:color w:val="auto"/>
          <w:strike w:val="1"/>
        </w:rPr>
        <w:t>”) is dated as of the Effective Date set forth below and is entered into by and between [the][each]</w:t>
      </w:r>
      <w:r>
        <w:rPr>
          <w:rFonts w:ascii="Arial" w:cs="Arial" w:eastAsia="Arial" w:hAnsi="Arial"/>
          <w:sz w:val="14"/>
          <w:szCs w:val="14"/>
          <w:color w:val="auto"/>
          <w:strike w:val="1"/>
        </w:rPr>
        <w:t>5</w:t>
      </w:r>
      <w:r>
        <w:rPr>
          <w:rFonts w:ascii="Arial" w:cs="Arial" w:eastAsia="Arial" w:hAnsi="Arial"/>
          <w:sz w:val="17"/>
          <w:szCs w:val="17"/>
          <w:color w:val="auto"/>
          <w:strike w:val="1"/>
        </w:rPr>
        <w:t xml:space="preserve"> Assignor identified in item 1 below ([the][each, an] “</w:t>
      </w:r>
      <w:r>
        <w:rPr>
          <w:rFonts w:ascii="Arial" w:cs="Arial" w:eastAsia="Arial" w:hAnsi="Arial"/>
          <w:sz w:val="17"/>
          <w:szCs w:val="17"/>
          <w:u w:val="single" w:color="auto"/>
          <w:color w:val="auto"/>
          <w:strike w:val="1"/>
        </w:rPr>
        <w:t>Assignor</w:t>
      </w:r>
      <w:r>
        <w:rPr>
          <w:rFonts w:ascii="Arial" w:cs="Arial" w:eastAsia="Arial" w:hAnsi="Arial"/>
          <w:sz w:val="17"/>
          <w:szCs w:val="17"/>
          <w:color w:val="auto"/>
          <w:strike w:val="1"/>
        </w:rPr>
        <w:t>”) and [the][each]</w:t>
      </w:r>
      <w:r>
        <w:rPr>
          <w:rFonts w:ascii="Arial" w:cs="Arial" w:eastAsia="Arial" w:hAnsi="Arial"/>
          <w:sz w:val="14"/>
          <w:szCs w:val="14"/>
          <w:color w:val="auto"/>
          <w:strike w:val="1"/>
        </w:rPr>
        <w:t>6</w:t>
      </w:r>
      <w:r>
        <w:rPr>
          <w:rFonts w:ascii="Arial" w:cs="Arial" w:eastAsia="Arial" w:hAnsi="Arial"/>
          <w:sz w:val="17"/>
          <w:szCs w:val="17"/>
          <w:color w:val="auto"/>
          <w:strike w:val="1"/>
        </w:rPr>
        <w:t xml:space="preserve"> Assignee identified in item 2 below ([the][each, an] “</w:t>
      </w:r>
      <w:r>
        <w:rPr>
          <w:rFonts w:ascii="Arial" w:cs="Arial" w:eastAsia="Arial" w:hAnsi="Arial"/>
          <w:sz w:val="17"/>
          <w:szCs w:val="17"/>
          <w:u w:val="single" w:color="auto"/>
          <w:color w:val="auto"/>
          <w:strike w:val="1"/>
        </w:rPr>
        <w:t>Assignee</w:t>
      </w:r>
      <w:r>
        <w:rPr>
          <w:rFonts w:ascii="Arial" w:cs="Arial" w:eastAsia="Arial" w:hAnsi="Arial"/>
          <w:sz w:val="17"/>
          <w:szCs w:val="17"/>
          <w:color w:val="auto"/>
          <w:strike w:val="1"/>
        </w:rPr>
        <w:t>”). [It is understood and agreed that the rights and obligations of [the Assignors][the Assignees]</w:t>
      </w:r>
      <w:r>
        <w:rPr>
          <w:rFonts w:ascii="Arial" w:cs="Arial" w:eastAsia="Arial" w:hAnsi="Arial"/>
          <w:sz w:val="14"/>
          <w:szCs w:val="14"/>
          <w:color w:val="auto"/>
          <w:strike w:val="1"/>
        </w:rPr>
        <w:t>7</w:t>
      </w:r>
      <w:r>
        <w:rPr>
          <w:rFonts w:ascii="Arial" w:cs="Arial" w:eastAsia="Arial" w:hAnsi="Arial"/>
          <w:sz w:val="17"/>
          <w:szCs w:val="17"/>
          <w:color w:val="auto"/>
          <w:strike w:val="1"/>
        </w:rPr>
        <w:t xml:space="preserve"> hereunder are several and not joint.]</w:t>
      </w:r>
      <w:r>
        <w:rPr>
          <w:rFonts w:ascii="Arial" w:cs="Arial" w:eastAsia="Arial" w:hAnsi="Arial"/>
          <w:sz w:val="14"/>
          <w:szCs w:val="14"/>
          <w:color w:val="auto"/>
          <w:strike w:val="1"/>
        </w:rPr>
        <w:t>8</w:t>
      </w:r>
      <w:r>
        <w:rPr>
          <w:rFonts w:ascii="Arial" w:cs="Arial" w:eastAsia="Arial" w:hAnsi="Arial"/>
          <w:sz w:val="17"/>
          <w:szCs w:val="17"/>
          <w:color w:val="auto"/>
          <w:strike w:val="1"/>
        </w:rPr>
        <w:t xml:space="preserve"> Capitalized terms used but not defined herein shall have the meanings given to them in the Credit Agreement identified below (the “</w:t>
      </w:r>
      <w:r>
        <w:rPr>
          <w:rFonts w:ascii="Arial" w:cs="Arial" w:eastAsia="Arial" w:hAnsi="Arial"/>
          <w:sz w:val="17"/>
          <w:szCs w:val="17"/>
          <w:u w:val="single" w:color="auto"/>
          <w:color w:val="auto"/>
          <w:strike w:val="1"/>
        </w:rPr>
        <w:t>Credit Agreement</w:t>
      </w:r>
      <w:r>
        <w:rPr>
          <w:rFonts w:ascii="Arial" w:cs="Arial" w:eastAsia="Arial" w:hAnsi="Arial"/>
          <w:sz w:val="17"/>
          <w:szCs w:val="17"/>
          <w:color w:val="auto"/>
          <w:strike w:val="1"/>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78"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strike w:val="1"/>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(a) all of [the Assignor’s][the respective Assignors’] rights and obligations in [its capacity as a Lender][their respective capacities as Lenders] under the Credit Agreement and any other Loan Documents in the amount[s] and equal to the percentage interest[s] identified below of all the outstanding rights and obligations under the respective facilities identified below and (b)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Loan Documents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(a) above (the rights and obligations sold and assigned by [the][any] Assignor to [the][any] Assignee pursuant to clauses (a) and (b) above being referred to herein collectively as [the][an] “</w:t>
      </w:r>
      <w:r>
        <w:rPr>
          <w:rFonts w:ascii="Arial" w:cs="Arial" w:eastAsia="Arial" w:hAnsi="Arial"/>
          <w:sz w:val="17"/>
          <w:szCs w:val="17"/>
          <w:u w:val="single" w:color="auto"/>
          <w:color w:val="auto"/>
          <w:strike w:val="1"/>
        </w:rPr>
        <w:t>Assigned Interest</w:t>
      </w:r>
      <w:r>
        <w:rPr>
          <w:rFonts w:ascii="Arial" w:cs="Arial" w:eastAsia="Arial" w:hAnsi="Arial"/>
          <w:sz w:val="17"/>
          <w:szCs w:val="17"/>
          <w:color w:val="auto"/>
          <w:strike w:val="1"/>
        </w:rPr>
        <w:t>”). Each such sale and assignment is without recourse to [the][any]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-1037590</wp:posOffset>
            </wp:positionV>
            <wp:extent cx="54864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168" w:lineRule="exact"/>
        <w:rPr>
          <w:sz w:val="20"/>
          <w:szCs w:val="20"/>
          <w:color w:val="auto"/>
        </w:rPr>
      </w:pPr>
    </w:p>
    <w:p>
      <w:pPr>
        <w:ind w:left="180" w:hanging="172"/>
        <w:spacing w:after="0"/>
        <w:tabs>
          <w:tab w:leader="none" w:pos="180" w:val="left"/>
        </w:tabs>
        <w:numPr>
          <w:ilvl w:val="0"/>
          <w:numId w:val="193"/>
        </w:numPr>
        <w:rPr>
          <w:rFonts w:ascii="Arial" w:cs="Arial" w:eastAsia="Arial" w:hAnsi="Arial"/>
          <w:sz w:val="18"/>
          <w:szCs w:val="18"/>
          <w:color w:val="auto"/>
          <w:strike w:val="1"/>
        </w:rPr>
      </w:pPr>
      <w:r>
        <w:rPr>
          <w:rFonts w:ascii="Arial" w:cs="Arial" w:eastAsia="Arial" w:hAnsi="Arial"/>
          <w:sz w:val="18"/>
          <w:szCs w:val="18"/>
          <w:color w:val="auto"/>
          <w:strike w:val="1"/>
        </w:rPr>
        <w:t>Assignor[s]:</w:t>
      </w:r>
    </w:p>
    <w:p>
      <w:pPr>
        <w:spacing w:after="0" w:line="200" w:lineRule="exact"/>
        <w:rPr>
          <w:rFonts w:ascii="Arial" w:cs="Arial" w:eastAsia="Arial" w:hAnsi="Arial"/>
          <w:sz w:val="18"/>
          <w:szCs w:val="18"/>
          <w:color w:val="auto"/>
          <w:strike w:val="1"/>
        </w:rPr>
      </w:pPr>
    </w:p>
    <w:p>
      <w:pPr>
        <w:spacing w:after="0" w:line="241" w:lineRule="exact"/>
        <w:rPr>
          <w:rFonts w:ascii="Arial" w:cs="Arial" w:eastAsia="Arial" w:hAnsi="Arial"/>
          <w:sz w:val="18"/>
          <w:szCs w:val="18"/>
          <w:color w:val="auto"/>
          <w:strike w:val="1"/>
        </w:rPr>
      </w:pPr>
    </w:p>
    <w:p>
      <w:pPr>
        <w:ind w:left="180" w:hanging="172"/>
        <w:spacing w:after="0"/>
        <w:tabs>
          <w:tab w:leader="none" w:pos="180" w:val="left"/>
        </w:tabs>
        <w:numPr>
          <w:ilvl w:val="0"/>
          <w:numId w:val="193"/>
        </w:numPr>
        <w:rPr>
          <w:rFonts w:ascii="Arial" w:cs="Arial" w:eastAsia="Arial" w:hAnsi="Arial"/>
          <w:sz w:val="18"/>
          <w:szCs w:val="18"/>
          <w:color w:val="auto"/>
          <w:strike w:val="1"/>
        </w:rPr>
      </w:pPr>
      <w:r>
        <w:rPr>
          <w:rFonts w:ascii="Arial" w:cs="Arial" w:eastAsia="Arial" w:hAnsi="Arial"/>
          <w:sz w:val="18"/>
          <w:szCs w:val="18"/>
          <w:color w:val="auto"/>
          <w:strike w:val="1"/>
        </w:rPr>
        <w:t>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-421640</wp:posOffset>
            </wp:positionV>
            <wp:extent cx="11715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-284480</wp:posOffset>
            </wp:positionV>
            <wp:extent cx="14001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00175" cy="889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-10160</wp:posOffset>
            </wp:positionV>
            <wp:extent cx="11715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126365</wp:posOffset>
            </wp:positionV>
            <wp:extent cx="14001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[for each Assignee, indicate [Affiliate][Approved Fund] of [identify Lender]]</w:t>
      </w:r>
    </w:p>
    <w:p>
      <w:pPr>
        <w:spacing w:after="0" w:line="225" w:lineRule="exact"/>
        <w:rPr>
          <w:sz w:val="20"/>
          <w:szCs w:val="20"/>
          <w:color w:val="auto"/>
        </w:rPr>
      </w:pPr>
    </w:p>
    <w:p>
      <w:pPr>
        <w:ind w:left="180" w:hanging="172"/>
        <w:spacing w:after="0"/>
        <w:tabs>
          <w:tab w:leader="none" w:pos="180" w:val="left"/>
        </w:tabs>
        <w:numPr>
          <w:ilvl w:val="0"/>
          <w:numId w:val="194"/>
        </w:numPr>
        <w:rPr>
          <w:rFonts w:ascii="Arial" w:cs="Arial" w:eastAsia="Arial" w:hAnsi="Arial"/>
          <w:sz w:val="18"/>
          <w:szCs w:val="18"/>
          <w:color w:val="auto"/>
          <w:strike w:val="1"/>
        </w:rPr>
      </w:pPr>
      <w:r>
        <w:rPr>
          <w:rFonts w:ascii="Arial" w:cs="Arial" w:eastAsia="Arial" w:hAnsi="Arial"/>
          <w:sz w:val="18"/>
          <w:szCs w:val="18"/>
          <w:color w:val="auto"/>
          <w:strike w:val="1"/>
        </w:rPr>
        <w:t>Borrower: Fabrinet, an exempted company incorporated with limited liability in the Cayman Islands</w:t>
      </w:r>
    </w:p>
    <w:p>
      <w:pPr>
        <w:spacing w:after="0" w:line="225" w:lineRule="exact"/>
        <w:rPr>
          <w:rFonts w:ascii="Arial" w:cs="Arial" w:eastAsia="Arial" w:hAnsi="Arial"/>
          <w:sz w:val="18"/>
          <w:szCs w:val="18"/>
          <w:color w:val="auto"/>
          <w:strike w:val="1"/>
        </w:rPr>
      </w:pPr>
    </w:p>
    <w:p>
      <w:pPr>
        <w:ind w:left="180" w:hanging="172"/>
        <w:spacing w:after="0"/>
        <w:tabs>
          <w:tab w:leader="none" w:pos="180" w:val="left"/>
        </w:tabs>
        <w:numPr>
          <w:ilvl w:val="0"/>
          <w:numId w:val="194"/>
        </w:numPr>
        <w:rPr>
          <w:rFonts w:ascii="Arial" w:cs="Arial" w:eastAsia="Arial" w:hAnsi="Arial"/>
          <w:sz w:val="18"/>
          <w:szCs w:val="18"/>
          <w:color w:val="auto"/>
          <w:strike w:val="1"/>
        </w:rPr>
      </w:pPr>
      <w:r>
        <w:rPr>
          <w:rFonts w:ascii="Arial" w:cs="Arial" w:eastAsia="Arial" w:hAnsi="Arial"/>
          <w:sz w:val="18"/>
          <w:szCs w:val="18"/>
          <w:color w:val="auto"/>
          <w:strike w:val="1"/>
        </w:rPr>
        <w:t>Administrative Agent: Bank of America, N.A., as the administrative agent under the Credit Agreement</w:t>
      </w:r>
    </w:p>
    <w:p>
      <w:pPr>
        <w:spacing w:after="0" w:line="225" w:lineRule="exact"/>
        <w:rPr>
          <w:rFonts w:ascii="Arial" w:cs="Arial" w:eastAsia="Arial" w:hAnsi="Arial"/>
          <w:sz w:val="18"/>
          <w:szCs w:val="18"/>
          <w:color w:val="auto"/>
          <w:strike w:val="1"/>
        </w:rPr>
      </w:pPr>
    </w:p>
    <w:p>
      <w:pPr>
        <w:ind w:right="720" w:firstLine="8"/>
        <w:spacing w:after="0" w:line="277" w:lineRule="auto"/>
        <w:tabs>
          <w:tab w:leader="none" w:pos="180" w:val="left"/>
        </w:tabs>
        <w:numPr>
          <w:ilvl w:val="0"/>
          <w:numId w:val="194"/>
        </w:numPr>
        <w:rPr>
          <w:rFonts w:ascii="Arial" w:cs="Arial" w:eastAsia="Arial" w:hAnsi="Arial"/>
          <w:sz w:val="18"/>
          <w:szCs w:val="18"/>
          <w:color w:val="auto"/>
          <w:strike w:val="1"/>
        </w:rPr>
      </w:pPr>
      <w:r>
        <w:rPr>
          <w:rFonts w:ascii="Arial" w:cs="Arial" w:eastAsia="Arial" w:hAnsi="Arial"/>
          <w:sz w:val="18"/>
          <w:szCs w:val="18"/>
          <w:color w:val="auto"/>
          <w:strike w:val="1"/>
        </w:rPr>
        <w:t>Credit Agreement: Credit Agreement, dated as of May 22, 2014 among the Borrower, the Guarantors, the Lenders and Bank of America, N.A., as Administrative Agent</w:t>
      </w:r>
    </w:p>
    <w:p>
      <w:pPr>
        <w:spacing w:after="0" w:line="170" w:lineRule="exact"/>
        <w:rPr>
          <w:rFonts w:ascii="Arial" w:cs="Arial" w:eastAsia="Arial" w:hAnsi="Arial"/>
          <w:sz w:val="18"/>
          <w:szCs w:val="18"/>
          <w:color w:val="auto"/>
          <w:strike w:val="1"/>
        </w:rPr>
      </w:pPr>
    </w:p>
    <w:p>
      <w:pPr>
        <w:ind w:left="180" w:hanging="172"/>
        <w:spacing w:after="0"/>
        <w:tabs>
          <w:tab w:leader="none" w:pos="180" w:val="left"/>
        </w:tabs>
        <w:numPr>
          <w:ilvl w:val="0"/>
          <w:numId w:val="194"/>
        </w:numPr>
        <w:rPr>
          <w:rFonts w:ascii="Arial" w:cs="Arial" w:eastAsia="Arial" w:hAnsi="Arial"/>
          <w:sz w:val="18"/>
          <w:szCs w:val="18"/>
          <w:color w:val="auto"/>
          <w:strike w:val="1"/>
        </w:rPr>
      </w:pPr>
      <w:r>
        <w:rPr>
          <w:rFonts w:ascii="Arial" w:cs="Arial" w:eastAsia="Arial" w:hAnsi="Arial"/>
          <w:sz w:val="18"/>
          <w:szCs w:val="18"/>
          <w:color w:val="auto"/>
          <w:strike w:val="1"/>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9"/>
          <w:szCs w:val="9"/>
          <w:color w:val="auto"/>
          <w:strike w:val="1"/>
        </w:rPr>
        <w:t>5</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strike w:val="1"/>
        </w:rPr>
        <w:t>6</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strike w:val="1"/>
        </w:rPr>
        <w:t>7</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strike w:val="1"/>
        </w:rPr>
        <w:t>8</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660"/>
        <w:spacing w:after="0" w:line="258" w:lineRule="auto"/>
        <w:rPr>
          <w:sz w:val="20"/>
          <w:szCs w:val="20"/>
          <w:color w:val="auto"/>
        </w:rPr>
      </w:pPr>
      <w:r>
        <w:rPr>
          <w:rFonts w:ascii="Arial" w:cs="Arial" w:eastAsia="Arial" w:hAnsi="Arial"/>
          <w:sz w:val="18"/>
          <w:szCs w:val="18"/>
          <w:color w:val="auto"/>
          <w:strike w:val="1"/>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strike w:val="1"/>
        </w:rPr>
        <w:t>For bracketed language here and elsewhere in this form relating to the Assignee(s), if the assignment is to a single Assignee, choose the first bracketed language. If the assignment is to multiple Assignees, choose the second bracketed language. Select as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strike w:val="1"/>
        </w:rPr>
        <w:t>Include bracketed language if there are either multiple Assignors or multiple Assignees.</w:t>
      </w:r>
    </w:p>
    <w:p>
      <w:pPr>
        <w:sectPr>
          <w:pgSz w:w="11900" w:h="16838" w:orient="portrait"/>
          <w:cols w:equalWidth="0" w:num="2">
            <w:col w:w="60" w:space="400"/>
            <w:col w:w="10940"/>
          </w:cols>
          <w:pgMar w:left="240" w:top="270" w:right="25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Assigned Interest:</w:t>
      </w: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strike w:val="1"/>
        </w:rPr>
        <w:t>Assignor[s]</w:t>
      </w:r>
      <w:r>
        <w:rPr>
          <w:rFonts w:ascii="Arial" w:cs="Arial" w:eastAsia="Arial" w:hAnsi="Arial"/>
          <w:sz w:val="11"/>
          <w:szCs w:val="11"/>
          <w:u w:val="single" w:color="auto"/>
          <w:color w:val="auto"/>
          <w:strike w:val="1"/>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strike w:val="1"/>
        </w:rPr>
        <w:t>Assignee[s]</w:t>
      </w:r>
      <w:r>
        <w:rPr>
          <w:rFonts w:ascii="Arial" w:cs="Arial" w:eastAsia="Arial" w:hAnsi="Arial"/>
          <w:sz w:val="11"/>
          <w:szCs w:val="11"/>
          <w:u w:val="single" w:color="auto"/>
          <w:color w:val="auto"/>
          <w:strike w:val="1"/>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strike w:val="1"/>
        </w:rPr>
        <w:t>Facility</w:t>
      </w:r>
    </w:p>
    <w:p>
      <w:pPr>
        <w:jc w:val="center"/>
        <w:ind w:right="60"/>
        <w:spacing w:after="0"/>
        <w:rPr>
          <w:sz w:val="20"/>
          <w:szCs w:val="20"/>
          <w:color w:val="auto"/>
        </w:rPr>
      </w:pPr>
      <w:r>
        <w:rPr>
          <w:rFonts w:ascii="Arial" w:cs="Arial" w:eastAsia="Arial" w:hAnsi="Arial"/>
          <w:sz w:val="13"/>
          <w:szCs w:val="13"/>
          <w:u w:val="single" w:color="auto"/>
          <w:color w:val="auto"/>
          <w:strike w:val="1"/>
        </w:rPr>
        <w:t>Assigned</w:t>
      </w:r>
      <w:r>
        <w:rPr>
          <w:rFonts w:ascii="Arial" w:cs="Arial" w:eastAsia="Arial" w:hAnsi="Arial"/>
          <w:sz w:val="11"/>
          <w:szCs w:val="11"/>
          <w:u w:val="single" w:color="auto"/>
          <w:color w:val="auto"/>
          <w:strike w:val="1"/>
        </w:rPr>
        <w:t>11</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strike w:val="1"/>
        </w:rPr>
        <w:t>Aggregate</w:t>
      </w:r>
    </w:p>
    <w:p>
      <w:pPr>
        <w:jc w:val="center"/>
        <w:spacing w:after="0" w:line="221" w:lineRule="auto"/>
        <w:rPr>
          <w:sz w:val="20"/>
          <w:szCs w:val="20"/>
          <w:color w:val="auto"/>
        </w:rPr>
      </w:pPr>
      <w:r>
        <w:rPr>
          <w:rFonts w:ascii="Arial" w:cs="Arial" w:eastAsia="Arial" w:hAnsi="Arial"/>
          <w:sz w:val="14"/>
          <w:szCs w:val="14"/>
          <w:color w:val="auto"/>
          <w:strike w:val="1"/>
        </w:rPr>
        <w:t>Amount of</w:t>
      </w:r>
    </w:p>
    <w:p>
      <w:pPr>
        <w:jc w:val="center"/>
        <w:spacing w:after="0" w:line="221" w:lineRule="auto"/>
        <w:rPr>
          <w:sz w:val="20"/>
          <w:szCs w:val="20"/>
          <w:color w:val="auto"/>
        </w:rPr>
      </w:pPr>
      <w:r>
        <w:rPr>
          <w:rFonts w:ascii="Arial" w:cs="Arial" w:eastAsia="Arial" w:hAnsi="Arial"/>
          <w:sz w:val="14"/>
          <w:szCs w:val="14"/>
          <w:color w:val="auto"/>
          <w:strike w:val="1"/>
        </w:rPr>
        <w:t>Commitment/</w:t>
      </w:r>
    </w:p>
    <w:p>
      <w:pPr>
        <w:jc w:val="center"/>
        <w:spacing w:after="0" w:line="222" w:lineRule="auto"/>
        <w:rPr>
          <w:sz w:val="20"/>
          <w:szCs w:val="20"/>
          <w:color w:val="auto"/>
        </w:rPr>
      </w:pPr>
      <w:r>
        <w:rPr>
          <w:rFonts w:ascii="Arial" w:cs="Arial" w:eastAsia="Arial" w:hAnsi="Arial"/>
          <w:sz w:val="14"/>
          <w:szCs w:val="14"/>
          <w:color w:val="auto"/>
          <w:strike w:val="1"/>
        </w:rPr>
        <w:t>Loans</w:t>
      </w:r>
    </w:p>
    <w:p>
      <w:pPr>
        <w:jc w:val="center"/>
        <w:spacing w:after="0"/>
        <w:rPr>
          <w:sz w:val="20"/>
          <w:szCs w:val="20"/>
          <w:color w:val="auto"/>
        </w:rPr>
      </w:pPr>
      <w:r>
        <w:rPr>
          <w:rFonts w:ascii="Arial" w:cs="Arial" w:eastAsia="Arial" w:hAnsi="Arial"/>
          <w:sz w:val="13"/>
          <w:szCs w:val="13"/>
          <w:u w:val="single" w:color="auto"/>
          <w:color w:val="auto"/>
          <w:strike w:val="1"/>
        </w:rPr>
        <w:t>for all Lenders</w:t>
      </w:r>
      <w:r>
        <w:rPr>
          <w:rFonts w:ascii="Arial" w:cs="Arial" w:eastAsia="Arial" w:hAnsi="Arial"/>
          <w:sz w:val="11"/>
          <w:szCs w:val="11"/>
          <w:u w:val="single" w:color="auto"/>
          <w:color w:val="auto"/>
          <w:strike w:val="1"/>
        </w:rPr>
        <w:t>12</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strike w:val="1"/>
        </w:rPr>
        <w:t>Amount of</w:t>
      </w:r>
    </w:p>
    <w:p>
      <w:pPr>
        <w:jc w:val="center"/>
        <w:ind w:right="60"/>
        <w:spacing w:after="0"/>
        <w:rPr>
          <w:sz w:val="20"/>
          <w:szCs w:val="20"/>
          <w:color w:val="auto"/>
        </w:rPr>
      </w:pPr>
      <w:r>
        <w:rPr>
          <w:rFonts w:ascii="Arial" w:cs="Arial" w:eastAsia="Arial" w:hAnsi="Arial"/>
          <w:sz w:val="13"/>
          <w:szCs w:val="13"/>
          <w:color w:val="auto"/>
          <w:strike w:val="1"/>
        </w:rPr>
        <w:t>Commitment/</w:t>
      </w:r>
    </w:p>
    <w:p>
      <w:pPr>
        <w:jc w:val="center"/>
        <w:ind w:right="60"/>
        <w:spacing w:after="0" w:line="221" w:lineRule="auto"/>
        <w:rPr>
          <w:sz w:val="20"/>
          <w:szCs w:val="20"/>
          <w:color w:val="auto"/>
        </w:rPr>
      </w:pPr>
      <w:r>
        <w:rPr>
          <w:rFonts w:ascii="Arial" w:cs="Arial" w:eastAsia="Arial" w:hAnsi="Arial"/>
          <w:sz w:val="14"/>
          <w:szCs w:val="14"/>
          <w:color w:val="auto"/>
          <w:strike w:val="1"/>
        </w:rPr>
        <w:t>Loans</w:t>
      </w:r>
    </w:p>
    <w:p>
      <w:pPr>
        <w:jc w:val="center"/>
        <w:ind w:right="60"/>
        <w:spacing w:after="0"/>
        <w:rPr>
          <w:sz w:val="20"/>
          <w:szCs w:val="20"/>
          <w:color w:val="auto"/>
        </w:rPr>
      </w:pPr>
      <w:r>
        <w:rPr>
          <w:rFonts w:ascii="Arial" w:cs="Arial" w:eastAsia="Arial" w:hAnsi="Arial"/>
          <w:sz w:val="14"/>
          <w:szCs w:val="14"/>
          <w:u w:val="single" w:color="auto"/>
          <w:color w:val="auto"/>
          <w:strike w:val="1"/>
        </w:rPr>
        <w:t>Assigned</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strike w:val="1"/>
        </w:rPr>
        <w:t>Percentage</w:t>
      </w:r>
    </w:p>
    <w:p>
      <w:pPr>
        <w:jc w:val="center"/>
        <w:ind w:right="160"/>
        <w:spacing w:after="0" w:line="221" w:lineRule="auto"/>
        <w:rPr>
          <w:sz w:val="20"/>
          <w:szCs w:val="20"/>
          <w:color w:val="auto"/>
        </w:rPr>
      </w:pPr>
      <w:r>
        <w:rPr>
          <w:rFonts w:ascii="Arial" w:cs="Arial" w:eastAsia="Arial" w:hAnsi="Arial"/>
          <w:sz w:val="14"/>
          <w:szCs w:val="14"/>
          <w:color w:val="auto"/>
          <w:strike w:val="1"/>
        </w:rPr>
        <w:t>Assigned of</w:t>
      </w:r>
    </w:p>
    <w:p>
      <w:pPr>
        <w:jc w:val="center"/>
        <w:ind w:right="160"/>
        <w:spacing w:after="0"/>
        <w:rPr>
          <w:sz w:val="20"/>
          <w:szCs w:val="20"/>
          <w:color w:val="auto"/>
        </w:rPr>
      </w:pPr>
      <w:r>
        <w:rPr>
          <w:rFonts w:ascii="Arial" w:cs="Arial" w:eastAsia="Arial" w:hAnsi="Arial"/>
          <w:sz w:val="13"/>
          <w:szCs w:val="13"/>
          <w:color w:val="auto"/>
          <w:strike w:val="1"/>
        </w:rPr>
        <w:t>Commitment/</w:t>
      </w:r>
    </w:p>
    <w:p>
      <w:pPr>
        <w:jc w:val="center"/>
        <w:ind w:right="160"/>
        <w:spacing w:after="0"/>
        <w:rPr>
          <w:sz w:val="20"/>
          <w:szCs w:val="20"/>
          <w:color w:val="auto"/>
        </w:rPr>
      </w:pPr>
      <w:r>
        <w:rPr>
          <w:rFonts w:ascii="Arial" w:cs="Arial" w:eastAsia="Arial" w:hAnsi="Arial"/>
          <w:sz w:val="14"/>
          <w:szCs w:val="14"/>
          <w:u w:val="single" w:color="auto"/>
          <w:color w:val="auto"/>
          <w:strike w:val="1"/>
        </w:rPr>
        <w:t>Loans</w:t>
      </w:r>
      <w:r>
        <w:rPr>
          <w:rFonts w:ascii="Arial" w:cs="Arial" w:eastAsia="Arial" w:hAnsi="Arial"/>
          <w:sz w:val="12"/>
          <w:szCs w:val="12"/>
          <w:u w:val="single" w:color="auto"/>
          <w:color w:val="auto"/>
          <w:strike w:val="1"/>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4"/>
          <w:szCs w:val="14"/>
          <w:color w:val="auto"/>
          <w:strike w:val="1"/>
        </w:rPr>
        <w:t>CUSIP</w:t>
      </w:r>
    </w:p>
    <w:p>
      <w:pPr>
        <w:spacing w:after="0"/>
        <w:rPr>
          <w:sz w:val="20"/>
          <w:szCs w:val="20"/>
          <w:color w:val="auto"/>
        </w:rPr>
      </w:pPr>
      <w:r>
        <w:rPr>
          <w:rFonts w:ascii="Arial" w:cs="Arial" w:eastAsia="Arial" w:hAnsi="Arial"/>
          <w:sz w:val="13"/>
          <w:szCs w:val="13"/>
          <w:u w:val="single" w:color="auto"/>
          <w:color w:val="auto"/>
          <w:strike w:val="1"/>
        </w:rPr>
        <w:t>Number</w:t>
      </w:r>
    </w:p>
    <w:p>
      <w:pPr>
        <w:spacing w:after="0" w:line="20" w:lineRule="exact"/>
        <w:rPr>
          <w:sz w:val="20"/>
          <w:szCs w:val="20"/>
          <w:color w:val="auto"/>
        </w:rPr>
      </w:pPr>
    </w:p>
    <w:p>
      <w:pPr>
        <w:sectPr>
          <w:pgSz w:w="11900" w:h="16838" w:orient="portrait"/>
          <w:cols w:equalWidth="0" w:num="7">
            <w:col w:w="1700" w:space="720"/>
            <w:col w:w="960" w:space="720"/>
            <w:col w:w="720" w:space="720"/>
            <w:col w:w="980" w:space="720"/>
            <w:col w:w="860" w:space="720"/>
            <w:col w:w="960" w:space="720"/>
            <w:col w:w="900"/>
          </w:cols>
          <w:pgMar w:left="240" w:top="274" w:right="259" w:bottom="1440" w:gutter="0" w:footer="0" w:header="0"/>
          <w:type w:val="continuous"/>
        </w:sectPr>
      </w:pPr>
    </w:p>
    <w:p>
      <w:pPr>
        <w:ind w:left="5280"/>
        <w:spacing w:after="0"/>
        <w:rPr>
          <w:sz w:val="20"/>
          <w:szCs w:val="20"/>
          <w:color w:val="auto"/>
        </w:rPr>
      </w:pPr>
      <w:r>
        <w:rPr>
          <w:rFonts w:ascii="Arial" w:cs="Arial" w:eastAsia="Arial" w:hAnsi="Arial"/>
          <w:sz w:val="17"/>
          <w:szCs w:val="17"/>
          <w:color w:val="auto"/>
          <w:strike w:val="1"/>
        </w:rPr>
        <w:t>$</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7"/>
          <w:szCs w:val="17"/>
          <w:color w:val="auto"/>
          <w:strike w:val="1"/>
        </w:rPr>
        <w:t>$</w:t>
      </w:r>
    </w:p>
    <w:p>
      <w:pPr>
        <w:spacing w:after="0" w:line="34" w:lineRule="exact"/>
        <w:rPr>
          <w:sz w:val="20"/>
          <w:szCs w:val="20"/>
          <w:color w:val="auto"/>
        </w:rPr>
      </w:pPr>
    </w:p>
    <w:p>
      <w:pPr>
        <w:ind w:left="5280"/>
        <w:spacing w:after="0"/>
        <w:rPr>
          <w:sz w:val="20"/>
          <w:szCs w:val="20"/>
          <w:color w:val="auto"/>
        </w:rPr>
      </w:pPr>
      <w:r>
        <w:rPr>
          <w:rFonts w:ascii="Arial" w:cs="Arial" w:eastAsia="Arial" w:hAnsi="Arial"/>
          <w:sz w:val="17"/>
          <w:szCs w:val="17"/>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strike w:val="1"/>
        </w:rPr>
        <w:t>$</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strike w:val="1"/>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strike w:val="1"/>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strike w:val="1"/>
        </w:rPr>
        <w: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strike w:val="1"/>
        </w:rPr>
        <w: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5"/>
          <w:szCs w:val="15"/>
          <w:color w:val="auto"/>
          <w:strike w:val="1"/>
        </w:rPr>
        <w:t>%</w:t>
      </w:r>
    </w:p>
    <w:p>
      <w:pPr>
        <w:spacing w:after="0" w:line="221" w:lineRule="exact"/>
        <w:rPr>
          <w:sz w:val="20"/>
          <w:szCs w:val="20"/>
          <w:color w:val="auto"/>
        </w:rPr>
      </w:pPr>
    </w:p>
    <w:p>
      <w:pPr>
        <w:sectPr>
          <w:pgSz w:w="11900" w:h="16838" w:orient="portrait"/>
          <w:cols w:equalWidth="0" w:num="3">
            <w:col w:w="6180" w:space="720"/>
            <w:col w:w="2160" w:space="720"/>
            <w:col w:w="1620"/>
          </w:cols>
          <w:pgMar w:left="240" w:top="274" w:right="2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7.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3810</wp:posOffset>
            </wp:positionV>
            <wp:extent cx="11715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18624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62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strike w:val="1"/>
        </w:rPr>
        <w:t>14</w:t>
      </w:r>
    </w:p>
    <w:p>
      <w:pPr>
        <w:spacing w:after="0" w:line="117" w:lineRule="exact"/>
        <w:rPr>
          <w:sz w:val="20"/>
          <w:szCs w:val="20"/>
          <w:color w:val="auto"/>
        </w:rPr>
      </w:pPr>
    </w:p>
    <w:p>
      <w:pPr>
        <w:sectPr>
          <w:pgSz w:w="11900" w:h="16838" w:orient="portrait"/>
          <w:cols w:equalWidth="0" w:num="2">
            <w:col w:w="2220" w:space="720"/>
            <w:col w:w="8460"/>
          </w:cols>
          <w:pgMar w:left="240" w:top="274" w:right="259" w:bottom="1440" w:gutter="0" w:footer="0" w:header="0"/>
          <w:type w:val="continuous"/>
        </w:sectPr>
      </w:pPr>
    </w:p>
    <w:p>
      <w:pPr>
        <w:spacing w:after="0"/>
        <w:rPr>
          <w:sz w:val="20"/>
          <w:szCs w:val="20"/>
          <w:color w:val="auto"/>
        </w:rPr>
      </w:pPr>
      <w:r>
        <w:rPr>
          <w:rFonts w:ascii="Arial" w:cs="Arial" w:eastAsia="Arial" w:hAnsi="Arial"/>
          <w:sz w:val="17"/>
          <w:szCs w:val="17"/>
          <w:color w:val="auto"/>
          <w:strike w:val="1"/>
        </w:rPr>
        <w:t>Effective Date: __________________, 20__ [TO BE INSERTED BY ADMINISTRATIVE AGENT AND WHICH SHALL BE THE EFFECTIVE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strike w:val="1"/>
        </w:rPr>
        <w:t>RECORDATION OF TRANSFER IN THE REGISTER THEREFOR.]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strike w:val="1"/>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5"/>
          <w:szCs w:val="15"/>
          <w:color w:val="auto"/>
          <w:strike w:val="1"/>
        </w:rPr>
      </w:pPr>
      <w:r>
        <w:rPr>
          <w:rFonts w:ascii="Arial" w:cs="Arial" w:eastAsia="Arial" w:hAnsi="Arial"/>
          <w:sz w:val="18"/>
          <w:szCs w:val="18"/>
          <w:color w:val="auto"/>
          <w:strike w:val="1"/>
        </w:rPr>
        <w:t>List each Assignor, as appropriate.</w:t>
      </w:r>
    </w:p>
    <w:p>
      <w:pPr>
        <w:spacing w:after="0" w:line="23" w:lineRule="exact"/>
        <w:rPr>
          <w:rFonts w:ascii="Arial" w:cs="Arial" w:eastAsia="Arial" w:hAnsi="Arial"/>
          <w:sz w:val="15"/>
          <w:szCs w:val="15"/>
          <w:color w:val="auto"/>
          <w:strike w:val="1"/>
        </w:rPr>
      </w:pPr>
    </w:p>
    <w:p>
      <w:pPr>
        <w:spacing w:after="0"/>
        <w:rPr>
          <w:rFonts w:ascii="Arial" w:cs="Arial" w:eastAsia="Arial" w:hAnsi="Arial"/>
          <w:sz w:val="15"/>
          <w:szCs w:val="15"/>
          <w:color w:val="auto"/>
          <w:strike w:val="1"/>
        </w:rPr>
      </w:pPr>
      <w:r>
        <w:rPr>
          <w:rFonts w:ascii="Arial" w:cs="Arial" w:eastAsia="Arial" w:hAnsi="Arial"/>
          <w:sz w:val="15"/>
          <w:szCs w:val="15"/>
          <w:color w:val="auto"/>
          <w:strike w:val="1"/>
        </w:rPr>
        <w:t>10</w:t>
      </w:r>
      <w:r>
        <w:rPr>
          <w:rFonts w:ascii="Arial" w:cs="Arial" w:eastAsia="Arial" w:hAnsi="Arial"/>
          <w:sz w:val="16"/>
          <w:szCs w:val="16"/>
          <w:color w:val="auto"/>
          <w:strike w:val="1"/>
        </w:rPr>
        <w:t>List each Assignee, as appropriate.</w:t>
      </w:r>
    </w:p>
    <w:p>
      <w:pPr>
        <w:spacing w:after="0" w:line="32" w:lineRule="exact"/>
        <w:rPr>
          <w:rFonts w:ascii="Arial" w:cs="Arial" w:eastAsia="Arial" w:hAnsi="Arial"/>
          <w:sz w:val="15"/>
          <w:szCs w:val="15"/>
          <w:color w:val="auto"/>
          <w:strike w:val="1"/>
        </w:rPr>
      </w:pPr>
    </w:p>
    <w:p>
      <w:pPr>
        <w:ind w:left="460" w:hanging="446"/>
        <w:spacing w:after="0" w:line="250" w:lineRule="auto"/>
        <w:rPr>
          <w:rFonts w:ascii="Arial" w:cs="Arial" w:eastAsia="Arial" w:hAnsi="Arial"/>
          <w:sz w:val="15"/>
          <w:szCs w:val="15"/>
          <w:color w:val="auto"/>
          <w:strike w:val="1"/>
        </w:rPr>
      </w:pPr>
      <w:r>
        <w:rPr>
          <w:rFonts w:ascii="Arial" w:cs="Arial" w:eastAsia="Arial" w:hAnsi="Arial"/>
          <w:sz w:val="15"/>
          <w:szCs w:val="15"/>
          <w:color w:val="auto"/>
          <w:strike w:val="1"/>
        </w:rPr>
        <w:t>11</w:t>
      </w:r>
      <w:r>
        <w:rPr>
          <w:rFonts w:ascii="Arial" w:cs="Arial" w:eastAsia="Arial" w:hAnsi="Arial"/>
          <w:sz w:val="18"/>
          <w:szCs w:val="18"/>
          <w:color w:val="auto"/>
          <w:strike w:val="1"/>
        </w:rPr>
        <w:t>Fill in the appropriate terminology for the types of facilities under the Credit Agreement that are being assigned under this Assignment (e.g. “Revolving Commitment”, “Term Commitment”, etc.).</w:t>
      </w:r>
    </w:p>
    <w:p>
      <w:pPr>
        <w:ind w:left="460" w:right="800" w:hanging="446"/>
        <w:spacing w:after="0" w:line="250" w:lineRule="auto"/>
        <w:rPr>
          <w:rFonts w:ascii="Arial" w:cs="Arial" w:eastAsia="Arial" w:hAnsi="Arial"/>
          <w:sz w:val="15"/>
          <w:szCs w:val="15"/>
          <w:color w:val="auto"/>
          <w:strike w:val="1"/>
        </w:rPr>
      </w:pPr>
      <w:r>
        <w:rPr>
          <w:rFonts w:ascii="Arial" w:cs="Arial" w:eastAsia="Arial" w:hAnsi="Arial"/>
          <w:sz w:val="15"/>
          <w:szCs w:val="15"/>
          <w:color w:val="auto"/>
          <w:strike w:val="1"/>
        </w:rPr>
        <w:t>12</w:t>
      </w:r>
      <w:r>
        <w:rPr>
          <w:rFonts w:ascii="Arial" w:cs="Arial" w:eastAsia="Arial" w:hAnsi="Arial"/>
          <w:sz w:val="18"/>
          <w:szCs w:val="18"/>
          <w:color w:val="auto"/>
          <w:strike w:val="1"/>
        </w:rPr>
        <w:t>Amounts in this column and in the column immediately to the right to be adjusted by the counterparties to take into account any payments or prepayments made between the Trade Date and the Effective Date.</w:t>
      </w:r>
    </w:p>
    <w:p>
      <w:pPr>
        <w:spacing w:after="0"/>
        <w:rPr>
          <w:rFonts w:ascii="Arial" w:cs="Arial" w:eastAsia="Arial" w:hAnsi="Arial"/>
          <w:sz w:val="15"/>
          <w:szCs w:val="15"/>
          <w:color w:val="auto"/>
          <w:strike w:val="1"/>
        </w:rPr>
      </w:pPr>
      <w:r>
        <w:rPr>
          <w:rFonts w:ascii="Arial" w:cs="Arial" w:eastAsia="Arial" w:hAnsi="Arial"/>
          <w:sz w:val="15"/>
          <w:szCs w:val="15"/>
          <w:color w:val="auto"/>
          <w:strike w:val="1"/>
        </w:rPr>
        <w:t>13</w:t>
      </w:r>
      <w:r>
        <w:rPr>
          <w:rFonts w:ascii="Arial" w:cs="Arial" w:eastAsia="Arial" w:hAnsi="Arial"/>
          <w:sz w:val="16"/>
          <w:szCs w:val="16"/>
          <w:color w:val="auto"/>
          <w:strike w:val="1"/>
        </w:rPr>
        <w:t>Set forth, to at least 9 decimals, as a percentage of the Commitment/Loans of all Lenders thereunder.</w:t>
      </w:r>
    </w:p>
    <w:p>
      <w:pPr>
        <w:spacing w:after="0" w:line="32" w:lineRule="exact"/>
        <w:rPr>
          <w:rFonts w:ascii="Arial" w:cs="Arial" w:eastAsia="Arial" w:hAnsi="Arial"/>
          <w:sz w:val="15"/>
          <w:szCs w:val="15"/>
          <w:color w:val="auto"/>
          <w:strike w:val="1"/>
        </w:rPr>
      </w:pPr>
    </w:p>
    <w:p>
      <w:pPr>
        <w:spacing w:after="0"/>
        <w:rPr>
          <w:rFonts w:ascii="Arial" w:cs="Arial" w:eastAsia="Arial" w:hAnsi="Arial"/>
          <w:sz w:val="15"/>
          <w:szCs w:val="15"/>
          <w:color w:val="auto"/>
          <w:strike w:val="1"/>
        </w:rPr>
      </w:pPr>
      <w:r>
        <w:rPr>
          <w:rFonts w:ascii="Arial" w:cs="Arial" w:eastAsia="Arial" w:hAnsi="Arial"/>
          <w:sz w:val="15"/>
          <w:szCs w:val="15"/>
          <w:color w:val="auto"/>
          <w:strike w:val="1"/>
        </w:rPr>
        <w:t>14</w:t>
      </w:r>
      <w:r>
        <w:rPr>
          <w:rFonts w:ascii="Arial" w:cs="Arial" w:eastAsia="Arial" w:hAnsi="Arial"/>
          <w:sz w:val="16"/>
          <w:szCs w:val="16"/>
          <w:color w:val="auto"/>
          <w:strike w:val="1"/>
        </w:rPr>
        <w:t>To be completed if the Assignor and the Assignee intend that the minimum assignment amount is to be determined as of the Trade Date.</w:t>
      </w:r>
    </w:p>
    <w:p>
      <w:pPr>
        <w:sectPr>
          <w:pgSz w:w="11900" w:h="16838" w:orient="portrait"/>
          <w:cols w:equalWidth="0" w:num="1">
            <w:col w:w="11400"/>
          </w:cols>
          <w:pgMar w:left="240" w:top="274" w:right="259"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strike w:val="1"/>
                <w:w w:val="90"/>
              </w:rPr>
              <w:t>The terms set forth in this Assignment and Assumption are hereby agreed to:</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5880" w:type="dxa"/>
            <w:vAlign w:val="bottom"/>
          </w:tcPr>
          <w:p>
            <w:pPr>
              <w:ind w:left="2660"/>
              <w:spacing w:after="0"/>
              <w:rPr>
                <w:sz w:val="20"/>
                <w:szCs w:val="20"/>
                <w:color w:val="auto"/>
              </w:rPr>
            </w:pPr>
            <w:r>
              <w:rPr>
                <w:rFonts w:ascii="Arial" w:cs="Arial" w:eastAsia="Arial" w:hAnsi="Arial"/>
                <w:sz w:val="18"/>
                <w:szCs w:val="18"/>
                <w:u w:val="single" w:color="auto"/>
                <w:color w:val="auto"/>
                <w:strike w:val="1"/>
              </w:rPr>
              <w:t>ASSIGNOR</w:t>
            </w:r>
          </w:p>
        </w:tc>
        <w:tc>
          <w:tcPr>
            <w:tcW w:w="0" w:type="dxa"/>
            <w:vAlign w:val="bottom"/>
          </w:tcPr>
          <w:p>
            <w:pPr>
              <w:spacing w:after="0"/>
              <w:rPr>
                <w:sz w:val="1"/>
                <w:szCs w:val="1"/>
                <w:color w:val="auto"/>
              </w:rPr>
            </w:pPr>
          </w:p>
        </w:tc>
      </w:tr>
      <w:tr>
        <w:trPr>
          <w:trHeight w:val="459"/>
        </w:trPr>
        <w:tc>
          <w:tcPr>
            <w:tcW w:w="2600" w:type="dxa"/>
            <w:vAlign w:val="bottom"/>
          </w:tcPr>
          <w:p>
            <w:pPr>
              <w:spacing w:after="0"/>
              <w:rPr>
                <w:sz w:val="24"/>
                <w:szCs w:val="24"/>
                <w:color w:val="auto"/>
              </w:rPr>
            </w:pPr>
          </w:p>
        </w:tc>
        <w:tc>
          <w:tcPr>
            <w:tcW w:w="5880" w:type="dxa"/>
            <w:vAlign w:val="bottom"/>
          </w:tcPr>
          <w:p>
            <w:pPr>
              <w:ind w:left="3160"/>
              <w:spacing w:after="0"/>
              <w:rPr>
                <w:sz w:val="20"/>
                <w:szCs w:val="20"/>
                <w:color w:val="auto"/>
              </w:rPr>
            </w:pPr>
            <w:r>
              <w:rPr>
                <w:rFonts w:ascii="Arial" w:cs="Arial" w:eastAsia="Arial" w:hAnsi="Arial"/>
                <w:sz w:val="18"/>
                <w:szCs w:val="18"/>
                <w:color w:val="auto"/>
                <w:strike w:val="1"/>
              </w:rPr>
              <w:t>[NAME OF ASSIGNOR]</w:t>
            </w:r>
          </w:p>
        </w:tc>
        <w:tc>
          <w:tcPr>
            <w:tcW w:w="0" w:type="dxa"/>
            <w:vAlign w:val="bottom"/>
          </w:tcPr>
          <w:p>
            <w:pPr>
              <w:spacing w:after="0"/>
              <w:rPr>
                <w:sz w:val="1"/>
                <w:szCs w:val="1"/>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strike w:val="1"/>
              </w:rPr>
              <w:t>B</w:t>
            </w:r>
            <w:r>
              <w:rPr>
                <w:rFonts w:ascii="Arial" w:cs="Arial" w:eastAsia="Arial" w:hAnsi="Arial"/>
                <w:sz w:val="15"/>
                <w:szCs w:val="15"/>
                <w:color w:val="auto"/>
                <w:strike w:val="1"/>
              </w:rPr>
              <w:t>Y</w:t>
            </w:r>
            <w:r>
              <w:rPr>
                <w:rFonts w:ascii="Arial" w:cs="Arial" w:eastAsia="Arial" w:hAnsi="Arial"/>
                <w:sz w:val="18"/>
                <w:szCs w:val="18"/>
                <w:color w:val="auto"/>
                <w:strike w:val="1"/>
              </w:rPr>
              <w:t>:</w:t>
            </w:r>
          </w:p>
        </w:tc>
        <w:tc>
          <w:tcPr>
            <w:tcW w:w="5880" w:type="dxa"/>
            <w:vAlign w:val="bottom"/>
          </w:tcPr>
          <w:p>
            <w:pPr>
              <w:ind w:left="3160"/>
              <w:spacing w:after="0"/>
              <w:rPr>
                <w:sz w:val="20"/>
                <w:szCs w:val="20"/>
                <w:color w:val="auto"/>
              </w:rPr>
            </w:pPr>
            <w:r>
              <w:rPr>
                <w:rFonts w:ascii="Arial" w:cs="Arial" w:eastAsia="Arial" w:hAnsi="Arial"/>
                <w:sz w:val="18"/>
                <w:szCs w:val="18"/>
                <w:color w:val="auto"/>
                <w:strike w:val="1"/>
              </w:rPr>
              <w:t>Name:</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5880" w:type="dxa"/>
            <w:vAlign w:val="bottom"/>
          </w:tcPr>
          <w:p>
            <w:pPr>
              <w:ind w:left="3160"/>
              <w:spacing w:after="0"/>
              <w:rPr>
                <w:sz w:val="20"/>
                <w:szCs w:val="20"/>
                <w:color w:val="auto"/>
              </w:rPr>
            </w:pPr>
            <w:r>
              <w:rPr>
                <w:rFonts w:ascii="Arial" w:cs="Arial" w:eastAsia="Arial" w:hAnsi="Arial"/>
                <w:sz w:val="18"/>
                <w:szCs w:val="18"/>
                <w:color w:val="auto"/>
                <w:strike w:val="1"/>
              </w:rPr>
              <w:t>Title: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5880" w:type="dxa"/>
            <w:vAlign w:val="bottom"/>
          </w:tcPr>
          <w:p>
            <w:pPr>
              <w:ind w:left="3160"/>
              <w:spacing w:after="0"/>
              <w:rPr>
                <w:sz w:val="20"/>
                <w:szCs w:val="20"/>
                <w:color w:val="auto"/>
              </w:rPr>
            </w:pPr>
            <w:r>
              <w:rPr>
                <w:rFonts w:ascii="Arial" w:cs="Arial" w:eastAsia="Arial" w:hAnsi="Arial"/>
                <w:sz w:val="18"/>
                <w:szCs w:val="18"/>
                <w:color w:val="auto"/>
                <w:strike w:val="1"/>
              </w:rPr>
              <w:t>ASSIGNEE</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5880" w:type="dxa"/>
            <w:vAlign w:val="bottom"/>
          </w:tcPr>
          <w:p>
            <w:pPr>
              <w:ind w:left="3160"/>
              <w:spacing w:after="0"/>
              <w:rPr>
                <w:sz w:val="20"/>
                <w:szCs w:val="20"/>
                <w:color w:val="auto"/>
              </w:rPr>
            </w:pPr>
            <w:r>
              <w:rPr>
                <w:rFonts w:ascii="Arial" w:cs="Arial" w:eastAsia="Arial" w:hAnsi="Arial"/>
                <w:sz w:val="18"/>
                <w:szCs w:val="18"/>
                <w:color w:val="auto"/>
                <w:strike w:val="1"/>
              </w:rPr>
              <w:t>[NAME OF ASSIGNEE]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5880" w:type="dxa"/>
            <w:vAlign w:val="bottom"/>
          </w:tcPr>
          <w:p>
            <w:pPr>
              <w:ind w:left="3160"/>
              <w:spacing w:after="0"/>
              <w:rPr>
                <w:sz w:val="20"/>
                <w:szCs w:val="20"/>
                <w:color w:val="auto"/>
              </w:rPr>
            </w:pPr>
            <w:r>
              <w:rPr>
                <w:rFonts w:ascii="Arial" w:cs="Arial" w:eastAsia="Arial" w:hAnsi="Arial"/>
                <w:sz w:val="18"/>
                <w:szCs w:val="18"/>
                <w:color w:val="auto"/>
                <w:strike w:val="1"/>
              </w:rPr>
              <w:t>Name:</w:t>
            </w:r>
          </w:p>
        </w:tc>
        <w:tc>
          <w:tcPr>
            <w:tcW w:w="0" w:type="dxa"/>
            <w:vAlign w:val="bottom"/>
          </w:tcPr>
          <w:p>
            <w:pPr>
              <w:spacing w:after="0"/>
              <w:rPr>
                <w:sz w:val="1"/>
                <w:szCs w:val="1"/>
                <w:color w:val="auto"/>
              </w:rPr>
            </w:pPr>
          </w:p>
        </w:tc>
      </w:tr>
      <w:tr>
        <w:trPr>
          <w:trHeight w:val="230"/>
        </w:trPr>
        <w:tc>
          <w:tcPr>
            <w:tcW w:w="2600" w:type="dxa"/>
            <w:vAlign w:val="bottom"/>
            <w:vMerge w:val="restart"/>
          </w:tcPr>
          <w:p>
            <w:pPr>
              <w:spacing w:after="0"/>
              <w:rPr>
                <w:sz w:val="20"/>
                <w:szCs w:val="20"/>
                <w:color w:val="auto"/>
              </w:rPr>
            </w:pPr>
            <w:r>
              <w:rPr>
                <w:rFonts w:ascii="Arial" w:cs="Arial" w:eastAsia="Arial" w:hAnsi="Arial"/>
                <w:sz w:val="18"/>
                <w:szCs w:val="18"/>
                <w:color w:val="auto"/>
                <w:strike w:val="1"/>
              </w:rPr>
              <w:t>[Consented to and]</w:t>
            </w:r>
            <w:r>
              <w:rPr>
                <w:rFonts w:ascii="Arial" w:cs="Arial" w:eastAsia="Arial" w:hAnsi="Arial"/>
                <w:sz w:val="11"/>
                <w:szCs w:val="11"/>
                <w:color w:val="auto"/>
                <w:strike w:val="1"/>
              </w:rPr>
              <w:t>1</w:t>
            </w:r>
            <w:r>
              <w:rPr>
                <w:rFonts w:ascii="Arial" w:cs="Arial" w:eastAsia="Arial" w:hAnsi="Arial"/>
                <w:sz w:val="19"/>
                <w:szCs w:val="19"/>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color w:val="auto"/>
                <w:strike w:val="1"/>
              </w:rPr>
              <w:t>Accepted:</w:t>
            </w:r>
          </w:p>
        </w:tc>
        <w:tc>
          <w:tcPr>
            <w:tcW w:w="5880" w:type="dxa"/>
            <w:vAlign w:val="bottom"/>
          </w:tcPr>
          <w:p>
            <w:pPr>
              <w:ind w:left="3160"/>
              <w:spacing w:after="0"/>
              <w:rPr>
                <w:sz w:val="20"/>
                <w:szCs w:val="20"/>
                <w:color w:val="auto"/>
              </w:rPr>
            </w:pPr>
            <w:r>
              <w:rPr>
                <w:rFonts w:ascii="Arial" w:cs="Arial" w:eastAsia="Arial" w:hAnsi="Arial"/>
                <w:sz w:val="18"/>
                <w:szCs w:val="18"/>
                <w:color w:val="auto"/>
                <w:strike w:val="1"/>
              </w:rPr>
              <w:t>Title:</w:t>
            </w:r>
          </w:p>
        </w:tc>
        <w:tc>
          <w:tcPr>
            <w:tcW w:w="0" w:type="dxa"/>
            <w:vAlign w:val="bottom"/>
          </w:tcPr>
          <w:p>
            <w:pPr>
              <w:spacing w:after="0"/>
              <w:rPr>
                <w:sz w:val="1"/>
                <w:szCs w:val="1"/>
                <w:color w:val="auto"/>
              </w:rPr>
            </w:pPr>
          </w:p>
        </w:tc>
      </w:tr>
      <w:tr>
        <w:trPr>
          <w:trHeight w:val="215"/>
        </w:trPr>
        <w:tc>
          <w:tcPr>
            <w:tcW w:w="2600" w:type="dxa"/>
            <w:vAlign w:val="bottom"/>
            <w:vMerge w:val="continue"/>
          </w:tcPr>
          <w:p>
            <w:pPr>
              <w:spacing w:after="0"/>
              <w:rPr>
                <w:sz w:val="18"/>
                <w:szCs w:val="18"/>
                <w:color w:val="auto"/>
              </w:rPr>
            </w:pP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strike w:val="1"/>
              </w:rPr>
              <w:t>BANK OF AMERICA, N.A.,</w:t>
            </w:r>
          </w:p>
        </w:tc>
        <w:tc>
          <w:tcPr>
            <w:tcW w:w="5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strike w:val="1"/>
              </w:rPr>
              <w:t>as Administrative Agent</w:t>
            </w:r>
          </w:p>
        </w:tc>
        <w:tc>
          <w:tcPr>
            <w:tcW w:w="5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600" w:type="dxa"/>
            <w:vAlign w:val="bottom"/>
          </w:tcPr>
          <w:p>
            <w:pPr>
              <w:spacing w:after="0"/>
              <w:rPr>
                <w:sz w:val="20"/>
                <w:szCs w:val="20"/>
                <w:color w:val="auto"/>
              </w:rPr>
            </w:pPr>
            <w:r>
              <w:rPr>
                <w:rFonts w:ascii="Arial" w:cs="Arial" w:eastAsia="Arial" w:hAnsi="Arial"/>
                <w:sz w:val="18"/>
                <w:szCs w:val="18"/>
                <w:color w:val="auto"/>
                <w:strike w:val="1"/>
              </w:rPr>
              <w:t>By:</w:t>
            </w:r>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strike w:val="1"/>
              </w:rPr>
              <w:t>Name:</w:t>
            </w:r>
          </w:p>
        </w:tc>
        <w:tc>
          <w:tcPr>
            <w:tcW w:w="5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strike w:val="1"/>
              </w:rPr>
              <w:t>Title:</w:t>
            </w: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Arial" w:cs="Arial" w:eastAsia="Arial" w:hAnsi="Arial"/>
                <w:sz w:val="18"/>
                <w:szCs w:val="18"/>
                <w:color w:val="auto"/>
                <w:strike w:val="1"/>
              </w:rPr>
              <w:t>[Consented to:]</w:t>
            </w:r>
            <w:r>
              <w:rPr>
                <w:rFonts w:ascii="Arial" w:cs="Arial" w:eastAsia="Arial" w:hAnsi="Arial"/>
                <w:sz w:val="11"/>
                <w:szCs w:val="11"/>
                <w:color w:val="auto"/>
                <w:strike w:val="1"/>
              </w:rPr>
              <w:t>1</w:t>
            </w:r>
            <w:r>
              <w:rPr>
                <w:rFonts w:ascii="Arial" w:cs="Arial" w:eastAsia="Arial" w:hAnsi="Arial"/>
                <w:sz w:val="19"/>
                <w:szCs w:val="19"/>
                <w:color w:val="auto"/>
                <w:strike w:val="1"/>
                <w:vertAlign w:val="superscript"/>
              </w:rPr>
              <w:t>6</w:t>
            </w: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strike w:val="1"/>
              </w:rPr>
              <w:t>FABRINET,</w:t>
            </w: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strike w:val="1"/>
              </w:rPr>
              <w:t>as Borrower</w:t>
            </w:r>
          </w:p>
        </w:tc>
        <w:tc>
          <w:tcPr>
            <w:tcW w:w="5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00" w:type="dxa"/>
            <w:vAlign w:val="bottom"/>
          </w:tcPr>
          <w:p>
            <w:pPr>
              <w:spacing w:after="0"/>
              <w:rPr>
                <w:sz w:val="20"/>
                <w:szCs w:val="20"/>
                <w:color w:val="auto"/>
              </w:rPr>
            </w:pPr>
            <w:r>
              <w:rPr>
                <w:rFonts w:ascii="Arial" w:cs="Arial" w:eastAsia="Arial" w:hAnsi="Arial"/>
                <w:sz w:val="18"/>
                <w:szCs w:val="18"/>
                <w:color w:val="auto"/>
                <w:strike w:val="1"/>
              </w:rPr>
              <w:t>By:</w:t>
            </w:r>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strike w:val="1"/>
              </w:rPr>
              <w:t>Name:</w:t>
            </w:r>
          </w:p>
        </w:tc>
        <w:tc>
          <w:tcPr>
            <w:tcW w:w="5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strike w:val="1"/>
              </w:rPr>
              <w:t>Title:</w:t>
            </w:r>
          </w:p>
        </w:tc>
        <w:tc>
          <w:tcPr>
            <w:tcW w:w="5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0</wp:posOffset>
            </wp:positionV>
            <wp:extent cx="32759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7596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-145415</wp:posOffset>
            </wp:positionV>
            <wp:extent cx="32759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7596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-290830</wp:posOffset>
            </wp:positionV>
            <wp:extent cx="32759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7596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-985520</wp:posOffset>
            </wp:positionV>
            <wp:extent cx="32759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7596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-1131570</wp:posOffset>
            </wp:positionV>
            <wp:extent cx="32759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7596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-1276985</wp:posOffset>
            </wp:positionV>
            <wp:extent cx="327596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75965"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-1971675</wp:posOffset>
            </wp:positionV>
            <wp:extent cx="32848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-2117725</wp:posOffset>
            </wp:positionV>
            <wp:extent cx="32848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-2538095</wp:posOffset>
            </wp:positionV>
            <wp:extent cx="32848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-2683510</wp:posOffset>
            </wp:positionV>
            <wp:extent cx="69380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289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2739" w:hanging="452"/>
        <w:spacing w:after="0" w:line="227" w:lineRule="auto"/>
        <w:tabs>
          <w:tab w:leader="none" w:pos="449" w:val="left"/>
        </w:tabs>
        <w:numPr>
          <w:ilvl w:val="0"/>
          <w:numId w:val="196"/>
        </w:numPr>
        <w:rPr>
          <w:rFonts w:ascii="Arial" w:cs="Arial" w:eastAsia="Arial" w:hAnsi="Arial"/>
          <w:sz w:val="23"/>
          <w:szCs w:val="23"/>
          <w:color w:val="auto"/>
          <w:strike w:val="1"/>
          <w:vertAlign w:val="superscript"/>
        </w:rPr>
      </w:pPr>
      <w:r>
        <w:rPr>
          <w:rFonts w:ascii="Arial" w:cs="Arial" w:eastAsia="Arial" w:hAnsi="Arial"/>
          <w:sz w:val="18"/>
          <w:szCs w:val="18"/>
          <w:color w:val="auto"/>
          <w:strike w:val="1"/>
        </w:rPr>
        <w:t>To be added only if the consent of the Administrative Agent is required by the terms of the Credit Agreement.</w:t>
      </w:r>
    </w:p>
    <w:p>
      <w:pPr>
        <w:ind w:left="460" w:hanging="452"/>
        <w:spacing w:after="0" w:line="196" w:lineRule="auto"/>
        <w:tabs>
          <w:tab w:leader="none" w:pos="460" w:val="left"/>
        </w:tabs>
        <w:numPr>
          <w:ilvl w:val="0"/>
          <w:numId w:val="196"/>
        </w:numPr>
        <w:rPr>
          <w:rFonts w:ascii="Arial" w:cs="Arial" w:eastAsia="Arial" w:hAnsi="Arial"/>
          <w:sz w:val="23"/>
          <w:szCs w:val="23"/>
          <w:color w:val="auto"/>
          <w:strike w:val="1"/>
          <w:vertAlign w:val="superscript"/>
        </w:rPr>
      </w:pPr>
      <w:r>
        <w:rPr>
          <w:rFonts w:ascii="Arial" w:cs="Arial" w:eastAsia="Arial" w:hAnsi="Arial"/>
          <w:sz w:val="18"/>
          <w:szCs w:val="18"/>
          <w:color w:val="auto"/>
          <w:strike w:val="1"/>
        </w:rPr>
        <w:t>To be added only if the consent of the Borrower is required by the terms of the Credit Agreement.</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18"/>
          <w:szCs w:val="18"/>
          <w:color w:val="auto"/>
          <w:strike w:val="1"/>
        </w:rPr>
        <w:t>[SIGNATURE PAGE TO ASSIGNMENT AND ASSUMPTION]</w:t>
      </w:r>
    </w:p>
    <w:p>
      <w:pPr>
        <w:sectPr>
          <w:pgSz w:w="11900" w:h="16838" w:orient="portrait"/>
          <w:cols w:equalWidth="0" w:num="1">
            <w:col w:w="10219"/>
          </w:cols>
          <w:pgMar w:left="240" w:top="274" w:right="1440"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u w:val="single" w:color="auto"/>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ASSIGNMENT AND ASSUMPTION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strike w:val="1"/>
        </w:rPr>
        <w:t>Standard Terms and Conditions for Assignment and Assumption</w:t>
      </w:r>
    </w:p>
    <w:p>
      <w:pPr>
        <w:spacing w:after="0" w:line="229" w:lineRule="exact"/>
        <w:rPr>
          <w:sz w:val="20"/>
          <w:szCs w:val="20"/>
          <w:color w:val="auto"/>
        </w:rPr>
      </w:pPr>
    </w:p>
    <w:p>
      <w:pPr>
        <w:ind w:left="640" w:hanging="176"/>
        <w:spacing w:after="0"/>
        <w:tabs>
          <w:tab w:leader="none" w:pos="640" w:val="left"/>
        </w:tabs>
        <w:numPr>
          <w:ilvl w:val="0"/>
          <w:numId w:val="197"/>
        </w:numPr>
        <w:rPr>
          <w:rFonts w:ascii="Arial" w:cs="Arial" w:eastAsia="Arial" w:hAnsi="Arial"/>
          <w:sz w:val="18"/>
          <w:szCs w:val="18"/>
          <w:color w:val="auto"/>
          <w:strike w:val="1"/>
        </w:rPr>
      </w:pPr>
      <w:r>
        <w:rPr>
          <w:rFonts w:ascii="Arial" w:cs="Arial" w:eastAsia="Arial" w:hAnsi="Arial"/>
          <w:sz w:val="18"/>
          <w:szCs w:val="18"/>
          <w:u w:val="single" w:color="auto"/>
          <w:color w:val="auto"/>
          <w:strike w:val="1"/>
        </w:rPr>
        <w:t>Representations and Warranties</w:t>
      </w:r>
      <w:r>
        <w:rPr>
          <w:rFonts w:ascii="Arial" w:cs="Arial" w:eastAsia="Arial" w:hAnsi="Arial"/>
          <w:sz w:val="18"/>
          <w:szCs w:val="18"/>
          <w:color w:val="auto"/>
          <w:strike w:val="1"/>
        </w:rPr>
        <w:t>.</w:t>
      </w:r>
    </w:p>
    <w:p>
      <w:pPr>
        <w:spacing w:after="0" w:line="23"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strike w:val="1"/>
        </w:rPr>
        <w:t xml:space="preserve">1.1. </w:t>
      </w:r>
      <w:r>
        <w:rPr>
          <w:rFonts w:ascii="Arial" w:cs="Arial" w:eastAsia="Arial" w:hAnsi="Arial"/>
          <w:sz w:val="18"/>
          <w:szCs w:val="18"/>
          <w:u w:val="single" w:color="auto"/>
          <w:color w:val="auto"/>
          <w:strike w:val="1"/>
        </w:rPr>
        <w:t>Assignor</w:t>
      </w:r>
      <w:r>
        <w:rPr>
          <w:rFonts w:ascii="Arial" w:cs="Arial" w:eastAsia="Arial" w:hAnsi="Arial"/>
          <w:sz w:val="18"/>
          <w:szCs w:val="18"/>
          <w:color w:val="auto"/>
          <w:strike w:val="1"/>
        </w:rPr>
        <w:t>. [The][Each] Assignor (a) represents and warrants that (i) it is the legal and beneficial owner of [the][the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strike w:val="1"/>
        </w:rPr>
        <w:t xml:space="preserve">1.2. </w:t>
      </w:r>
      <w:r>
        <w:rPr>
          <w:rFonts w:ascii="Arial" w:cs="Arial" w:eastAsia="Arial" w:hAnsi="Arial"/>
          <w:sz w:val="16"/>
          <w:szCs w:val="16"/>
          <w:u w:val="single" w:color="auto"/>
          <w:color w:val="auto"/>
          <w:strike w:val="1"/>
        </w:rPr>
        <w:t>Assignee</w:t>
      </w:r>
      <w:r>
        <w:rPr>
          <w:rFonts w:ascii="Arial" w:cs="Arial" w:eastAsia="Arial" w:hAnsi="Arial"/>
          <w:sz w:val="16"/>
          <w:szCs w:val="16"/>
          <w:color w:val="auto"/>
          <w:strike w:val="1"/>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ind w:firstLine="8"/>
        <w:spacing w:after="0" w:line="285" w:lineRule="auto"/>
        <w:tabs>
          <w:tab w:leader="none" w:pos="265" w:val="left"/>
        </w:tabs>
        <w:numPr>
          <w:ilvl w:val="0"/>
          <w:numId w:val="198"/>
        </w:numPr>
        <w:rPr>
          <w:rFonts w:ascii="Arial" w:cs="Arial" w:eastAsia="Arial" w:hAnsi="Arial"/>
          <w:sz w:val="16"/>
          <w:szCs w:val="16"/>
          <w:color w:val="auto"/>
          <w:strike w:val="1"/>
        </w:rPr>
      </w:pPr>
      <w:r>
        <w:rPr>
          <w:rFonts w:ascii="Arial" w:cs="Arial" w:eastAsia="Arial" w:hAnsi="Arial"/>
          <w:sz w:val="16"/>
          <w:szCs w:val="16"/>
          <w:color w:val="auto"/>
          <w:strike w:val="1"/>
        </w:rPr>
        <w:t>it meets all the requirements to be an assignee under the terms of the Credit Agreement (subject to such consents, if any, as may be required under the terms of the Credit Agreement), (iii) from and after the Effective Date, it shall be bound by the provisions of the Credit Agreement and the other Loan Documents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the terms of the Credit Agreement,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68" w:lineRule="exact"/>
        <w:rPr>
          <w:rFonts w:ascii="Arial" w:cs="Arial" w:eastAsia="Arial" w:hAnsi="Arial"/>
          <w:sz w:val="16"/>
          <w:szCs w:val="16"/>
          <w:color w:val="auto"/>
          <w:strike w:val="1"/>
        </w:rPr>
      </w:pPr>
    </w:p>
    <w:p>
      <w:pPr>
        <w:ind w:right="20" w:firstLine="464"/>
        <w:spacing w:after="0" w:line="264" w:lineRule="auto"/>
        <w:tabs>
          <w:tab w:leader="none" w:pos="636" w:val="left"/>
        </w:tabs>
        <w:numPr>
          <w:ilvl w:val="1"/>
          <w:numId w:val="198"/>
        </w:numPr>
        <w:rPr>
          <w:rFonts w:ascii="Arial" w:cs="Arial" w:eastAsia="Arial" w:hAnsi="Arial"/>
          <w:sz w:val="18"/>
          <w:szCs w:val="18"/>
          <w:color w:val="auto"/>
          <w:strike w:val="1"/>
        </w:rPr>
      </w:pPr>
      <w:r>
        <w:rPr>
          <w:rFonts w:ascii="Arial" w:cs="Arial" w:eastAsia="Arial" w:hAnsi="Arial"/>
          <w:sz w:val="18"/>
          <w:szCs w:val="18"/>
          <w:color w:val="auto"/>
          <w:strike w:val="1"/>
        </w:rPr>
        <w:t>Payments.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81" w:lineRule="exact"/>
        <w:rPr>
          <w:rFonts w:ascii="Arial" w:cs="Arial" w:eastAsia="Arial" w:hAnsi="Arial"/>
          <w:sz w:val="18"/>
          <w:szCs w:val="18"/>
          <w:color w:val="auto"/>
          <w:strike w:val="1"/>
        </w:rPr>
      </w:pPr>
    </w:p>
    <w:p>
      <w:pPr>
        <w:ind w:right="180" w:firstLine="464"/>
        <w:spacing w:after="0" w:line="257" w:lineRule="auto"/>
        <w:tabs>
          <w:tab w:leader="none" w:pos="636" w:val="left"/>
        </w:tabs>
        <w:numPr>
          <w:ilvl w:val="1"/>
          <w:numId w:val="198"/>
        </w:numPr>
        <w:rPr>
          <w:rFonts w:ascii="Arial" w:cs="Arial" w:eastAsia="Arial" w:hAnsi="Arial"/>
          <w:sz w:val="18"/>
          <w:szCs w:val="18"/>
          <w:color w:val="auto"/>
          <w:strike w:val="1"/>
        </w:rPr>
      </w:pPr>
      <w:r>
        <w:rPr>
          <w:rFonts w:ascii="Arial" w:cs="Arial" w:eastAsia="Arial" w:hAnsi="Arial"/>
          <w:sz w:val="18"/>
          <w:szCs w:val="18"/>
          <w:u w:val="single" w:color="auto"/>
          <w:color w:val="auto"/>
          <w:strike w:val="1"/>
        </w:rPr>
        <w:t>General Provisions</w:t>
      </w:r>
      <w:r>
        <w:rPr>
          <w:rFonts w:ascii="Arial" w:cs="Arial" w:eastAsia="Arial" w:hAnsi="Arial"/>
          <w:sz w:val="18"/>
          <w:szCs w:val="18"/>
          <w:color w:val="auto"/>
          <w:strike w:val="1"/>
        </w:rPr>
        <w:t>. This Assignment and Assumption shall be binding upon, and inure to the benefit of, the parties hereto and their respective</w:t>
      </w:r>
      <w:r>
        <w:rPr>
          <w:rFonts w:ascii="Arial" w:cs="Arial" w:eastAsia="Arial" w:hAnsi="Arial"/>
          <w:sz w:val="18"/>
          <w:szCs w:val="18"/>
          <w:u w:val="single" w:color="auto"/>
          <w:color w:val="auto"/>
          <w:strike w:val="1"/>
        </w:rPr>
        <w:t xml:space="preserve"> </w:t>
      </w:r>
      <w:r>
        <w:rPr>
          <w:rFonts w:ascii="Arial" w:cs="Arial" w:eastAsia="Arial" w:hAnsi="Arial"/>
          <w:sz w:val="18"/>
          <w:szCs w:val="18"/>
          <w:color w:val="auto"/>
          <w:strike w:val="1"/>
        </w:rPr>
        <w:t>successors and assigns. This Assignment and Assumption may be executed in any number of counterparts, which together shall constitute one instrument. Delivery of an executed counterpart of a signature page of this Assignment and Assumption by fax transmission or other electronic mail transmission (e.g. “pdf” or “tif”)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-1131570</wp:posOffset>
            </wp:positionV>
            <wp:extent cx="285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Certificate</w:t>
      </w:r>
    </w:p>
    <w:p>
      <w:pPr>
        <w:spacing w:after="0" w:line="229"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Financial Statement Date: [________, ____]</w:t>
      </w:r>
    </w:p>
    <w:p>
      <w:pPr>
        <w:spacing w:after="0" w:line="2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Bank of America, N.A., as Administrative Agent</w:t>
      </w:r>
    </w:p>
    <w:p>
      <w:pPr>
        <w:spacing w:after="0" w:line="252" w:lineRule="exact"/>
        <w:rPr>
          <w:sz w:val="20"/>
          <w:szCs w:val="20"/>
          <w:color w:val="auto"/>
        </w:rPr>
      </w:pPr>
    </w:p>
    <w:p>
      <w:pPr>
        <w:ind w:left="460" w:right="40" w:hanging="459"/>
        <w:spacing w:after="0" w:line="259" w:lineRule="auto"/>
        <w:tabs>
          <w:tab w:leader="none" w:pos="440" w:val="left"/>
        </w:tabs>
        <w:rPr>
          <w:sz w:val="20"/>
          <w:szCs w:val="20"/>
          <w:color w:val="auto"/>
        </w:rPr>
      </w:pPr>
      <w:r>
        <w:rPr>
          <w:rFonts w:ascii="Arial" w:cs="Arial" w:eastAsia="Arial" w:hAnsi="Arial"/>
          <w:sz w:val="18"/>
          <w:szCs w:val="18"/>
          <w:color w:val="auto"/>
        </w:rPr>
        <w:t>RE:</w:t>
        <w:tab/>
        <w:t>Credit Agreement, dated as of May 22, 2014, by and among Fabrinet, an exempted company incorporated with limited liability in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the Guarantors, the Designated Borrowers, the Lenders and Bank of America, N.A., as Administrative Agent (as amended, modified, extended, restated, replaced, or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shall have the meanings set forth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126365</wp:posOffset>
            </wp:positionV>
            <wp:extent cx="56292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292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Responsible Officer hereby certifies as of the date hereof that [he/she] is the [_____________________] of the Company, and that, as</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such, [he/she] is authorized to execute and deliver this Certificate to the Administrative Agent on the behalf of the Company and the other Loan Parties, and that: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[Use following paragraph 1 for fiscal year-end financial statements]</w:t>
      </w:r>
    </w:p>
    <w:p>
      <w:pPr>
        <w:spacing w:after="0" w:line="225" w:lineRule="exact"/>
        <w:rPr>
          <w:sz w:val="20"/>
          <w:szCs w:val="20"/>
          <w:color w:val="auto"/>
        </w:rPr>
      </w:pPr>
    </w:p>
    <w:p>
      <w:pPr>
        <w:ind w:right="220" w:firstLine="464"/>
        <w:spacing w:after="0" w:line="291" w:lineRule="auto"/>
        <w:tabs>
          <w:tab w:leader="none" w:pos="636"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Company has delivered (i) the year-end audited financial statements required by Section 6.01(a) of the Credit Agreement for the fiscal year of the Company ended as of the above date, together with the report and opinion of an independent certified public accountant required by such section and</w:t>
      </w:r>
    </w:p>
    <w:p>
      <w:pPr>
        <w:ind w:right="60" w:firstLine="8"/>
        <w:spacing w:after="0" w:line="277" w:lineRule="auto"/>
        <w:tabs>
          <w:tab w:leader="none" w:pos="26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consolidating balance sheet of the Company and its Subsidiaries as at the end of such fiscal year and the related consolidating statements of income or operations, shareholders’ equity and cash flows for such fiscal year. Such consolidating statements fairly present in all material respects the financial condition, results of operations and cash flows of the Company and its Subsidiaries on an individual basis in accordance with GAAP.</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[Use following paragraph 1 for fiscal quarter-end financial statements]</w:t>
      </w:r>
    </w:p>
    <w:p>
      <w:pPr>
        <w:spacing w:after="0" w:line="225" w:lineRule="exact"/>
        <w:rPr>
          <w:sz w:val="20"/>
          <w:szCs w:val="20"/>
          <w:color w:val="auto"/>
        </w:rPr>
      </w:pPr>
    </w:p>
    <w:p>
      <w:pPr>
        <w:ind w:right="140" w:firstLine="464"/>
        <w:spacing w:after="0" w:line="302" w:lineRule="auto"/>
        <w:tabs>
          <w:tab w:leader="none" w:pos="63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Company has delivered the unaudited financial statements required by Section 6.01(b) of the Credit Agreement for the fiscal quarter of the Company ended as of the above date. Such Consolidated and consolidating financial statements fairly present in all material respects the financial condition, results of operations and cash flows of the Company and its Subsidiaries on a Consolidated (or in the case of consolidating statements, individual basis) in accordance with GAAP as at such date and for such period, subject only to normal year-end audit adjustments and the absence of footnotes.</w:t>
      </w:r>
    </w:p>
    <w:p>
      <w:pPr>
        <w:spacing w:after="0" w:line="154" w:lineRule="exact"/>
        <w:rPr>
          <w:rFonts w:ascii="Arial" w:cs="Arial" w:eastAsia="Arial" w:hAnsi="Arial"/>
          <w:sz w:val="16"/>
          <w:szCs w:val="16"/>
          <w:color w:val="auto"/>
        </w:rPr>
      </w:pPr>
    </w:p>
    <w:p>
      <w:pPr>
        <w:ind w:right="360" w:firstLine="464"/>
        <w:spacing w:after="0" w:line="264" w:lineRule="auto"/>
        <w:tabs>
          <w:tab w:leader="none" w:pos="63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[his/her] supervision, a detailed review of the transactions and condition (financial or otherwise) of the Company and its Subsidiaries during the accounting period covered by such financial statements.</w:t>
      </w:r>
    </w:p>
    <w:p>
      <w:pPr>
        <w:spacing w:after="0" w:line="181" w:lineRule="exact"/>
        <w:rPr>
          <w:rFonts w:ascii="Arial" w:cs="Arial" w:eastAsia="Arial" w:hAnsi="Arial"/>
          <w:sz w:val="18"/>
          <w:szCs w:val="18"/>
          <w:color w:val="auto"/>
        </w:rPr>
      </w:pPr>
    </w:p>
    <w:p>
      <w:pPr>
        <w:jc w:val="both"/>
        <w:ind w:right="20" w:firstLine="464"/>
        <w:spacing w:after="0" w:line="264" w:lineRule="auto"/>
        <w:tabs>
          <w:tab w:leader="none" w:pos="63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review of the activities of the Company and its Subsidiaries during such fiscal period has been made under the supervision of the undersigned with a view to determining whether during such fiscal period the Company and each of the other Loan Parties performed and observed all its obligations under the Loan Documents, and</w:t>
      </w:r>
    </w:p>
    <w:p>
      <w:pPr>
        <w:sectPr>
          <w:pgSz w:w="11900" w:h="16838" w:orient="portrait"/>
          <w:cols w:equalWidth="0" w:num="1">
            <w:col w:w="11420"/>
          </w:cols>
          <w:pgMar w:left="240" w:top="270" w:right="239" w:bottom="1440" w:gutter="0" w:footer="0" w:header="0"/>
        </w:sectPr>
      </w:pPr>
    </w:p>
    <w:bookmarkStart w:id="169" w:name="page170"/>
    <w:bookmarkEnd w:id="169"/>
    <w:p>
      <w:pPr>
        <w:jc w:val="center"/>
        <w:ind w:right="-39"/>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 one:]</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[to the knowledge of the undersigned, during such fiscal period each of the Loan Parties performed and observed each covenant and condition of the Loan Documents applicable to it, and no Default has occurred and is continuing.]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—or—</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[to the knowledge of the undersigned, the following covenants or conditions have not been performed or observed and the following is a list of each such Default and its nature and status:]</w:t>
      </w:r>
    </w:p>
    <w:p>
      <w:pPr>
        <w:spacing w:after="0" w:line="170" w:lineRule="exact"/>
        <w:rPr>
          <w:sz w:val="20"/>
          <w:szCs w:val="20"/>
          <w:color w:val="auto"/>
        </w:rPr>
      </w:pPr>
    </w:p>
    <w:p>
      <w:pPr>
        <w:ind w:firstLine="464"/>
        <w:spacing w:after="0" w:line="289" w:lineRule="auto"/>
        <w:tabs>
          <w:tab w:leader="none" w:pos="63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and each other Loan Party contained in Article V of the Credit Agreement or any other Loan Document are true and correct in the case of representations and warranties that contain a materiality qualification, or true and correct in all material respects in the case of representations and warranties that do not contain a materiality qualification on and as of the date hereof (except to the extent such representations and warranties relate to an earlier date, in which case such representations and warranties shall be true and correct, or true and correct in all material respects, as applicable, as of such earlier date), and except that for purposes of this Compliance Certificate, the representations and warranties contained in subsections (a) and (b) of Section 5.05 of the Credit Agreement shall be deemed to refer to the most recent statements furnished pursuant to clauses (a) and (b), respectively, of Section 6.01 of the Credit Agreement, including the statements in connection with which this Compliance Certificate is delivered. [The following updated Schedules to the Disclosure Letter are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each of which is required to make the representations and warranties related to such Schedule true and correct as of the date hereof: [</w:t>
      </w:r>
      <w:r>
        <w:rPr>
          <w:rFonts w:ascii="Arial" w:cs="Arial" w:eastAsia="Arial" w:hAnsi="Arial"/>
          <w:sz w:val="16"/>
          <w:szCs w:val="16"/>
          <w:u w:val="single" w:color="auto"/>
          <w:color w:val="auto"/>
        </w:rPr>
        <w:t>Schedules 1.01(c)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5.09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5.19(a)</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5.20(b)(i)</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5.20(c)</w:t>
      </w:r>
      <w:r>
        <w:rPr>
          <w:rFonts w:ascii="Arial" w:cs="Arial" w:eastAsia="Arial" w:hAnsi="Arial"/>
          <w:sz w:val="16"/>
          <w:szCs w:val="16"/>
          <w:color w:val="auto"/>
        </w:rPr>
        <w:t>.]]</w:t>
      </w:r>
      <w:r>
        <w:rPr>
          <w:rFonts w:ascii="Arial" w:cs="Arial" w:eastAsia="Arial" w:hAnsi="Arial"/>
          <w:sz w:val="13"/>
          <w:szCs w:val="13"/>
          <w:color w:val="auto"/>
        </w:rPr>
        <w:t>1</w:t>
      </w:r>
    </w:p>
    <w:p>
      <w:pPr>
        <w:spacing w:after="0" w:line="166" w:lineRule="exact"/>
        <w:rPr>
          <w:rFonts w:ascii="Arial" w:cs="Arial" w:eastAsia="Arial" w:hAnsi="Arial"/>
          <w:sz w:val="16"/>
          <w:szCs w:val="16"/>
          <w:color w:val="auto"/>
        </w:rPr>
      </w:pPr>
    </w:p>
    <w:p>
      <w:pPr>
        <w:ind w:right="780" w:firstLine="464"/>
        <w:spacing w:after="0" w:line="277" w:lineRule="auto"/>
        <w:tabs>
          <w:tab w:leader="none" w:pos="6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financial covenant analyses and information set forth on Schedule A attached hereto are true and accurate on and as of the date of this Certificate.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5.20(b)(i)</w:t>
      </w:r>
      <w:r>
        <w:rPr>
          <w:rFonts w:ascii="Arial" w:cs="Arial" w:eastAsia="Arial" w:hAnsi="Arial"/>
          <w:sz w:val="18"/>
          <w:szCs w:val="18"/>
          <w:color w:val="auto"/>
        </w:rPr>
        <w:t xml:space="preserve"> attached to the Disclosure Letter is true and correct as of the date hereof].</w:t>
      </w:r>
      <w:r>
        <w:rPr>
          <w:rFonts w:ascii="Arial" w:cs="Arial" w:eastAsia="Arial" w:hAnsi="Arial"/>
          <w:sz w:val="15"/>
          <w:szCs w:val="15"/>
          <w:color w:val="auto"/>
        </w:rPr>
        <w:t>2</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5"/>
          <w:szCs w:val="15"/>
          <w:color w:val="auto"/>
        </w:rPr>
      </w:pPr>
      <w:r>
        <w:rPr>
          <w:rFonts w:ascii="Arial" w:cs="Arial" w:eastAsia="Arial" w:hAnsi="Arial"/>
          <w:sz w:val="18"/>
          <w:szCs w:val="18"/>
          <w:color w:val="auto"/>
        </w:rPr>
        <w:t>Include to the extent applicable.</w:t>
      </w:r>
    </w:p>
    <w:p>
      <w:pPr>
        <w:spacing w:after="0" w:line="22"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5"/>
          <w:szCs w:val="15"/>
          <w:color w:val="auto"/>
        </w:rPr>
      </w:pPr>
      <w:r>
        <w:rPr>
          <w:rFonts w:ascii="Arial" w:cs="Arial" w:eastAsia="Arial" w:hAnsi="Arial"/>
          <w:sz w:val="18"/>
          <w:szCs w:val="18"/>
          <w:color w:val="auto"/>
        </w:rPr>
        <w:t>Include to the extent not included in item 4 above.</w:t>
      </w:r>
    </w:p>
    <w:p>
      <w:pPr>
        <w:sectPr>
          <w:pgSz w:w="11900" w:h="16838" w:orient="portrait"/>
          <w:cols w:equalWidth="0" w:num="1">
            <w:col w:w="11380"/>
          </w:cols>
          <w:pgMar w:left="240" w:top="274" w:right="27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undersigned has caused this Compliance Certificate to be duly executed as of the date first above written.</w:t>
      </w:r>
    </w:p>
    <w:p>
      <w:pPr>
        <w:spacing w:after="0" w:line="26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FABRINET</w:t>
      </w:r>
      <w:r>
        <w:rPr>
          <w:rFonts w:ascii="Arial" w:cs="Arial" w:eastAsia="Arial" w:hAnsi="Arial"/>
          <w:sz w:val="18"/>
          <w:szCs w:val="18"/>
          <w:color w:val="auto"/>
        </w:rPr>
        <w:t>,</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an exempted company incorporated with limited liability in the</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Cayman Islands</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-130810</wp:posOffset>
            </wp:positionV>
            <wp:extent cx="25812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5715</wp:posOffset>
            </wp:positionV>
            <wp:extent cx="25469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-130810</wp:posOffset>
            </wp:positionV>
            <wp:extent cx="25469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4"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COMPLIANCE CERTIFICATE]</w:t>
      </w:r>
    </w:p>
    <w:p>
      <w:pPr>
        <w:sectPr>
          <w:pgSz w:w="11900" w:h="16838" w:orient="portrait"/>
          <w:cols w:equalWidth="0" w:num="1">
            <w:col w:w="10480"/>
          </w:cols>
          <w:pgMar w:left="1160" w:top="270" w:right="25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87"/>
              </w:rPr>
              <w:t>Schedule A</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560" w:type="dxa"/>
            <w:vAlign w:val="bottom"/>
            <w:gridSpan w:val="6"/>
          </w:tcPr>
          <w:p>
            <w:pPr>
              <w:jc w:val="center"/>
              <w:ind w:left="2750"/>
              <w:spacing w:after="0"/>
              <w:rPr>
                <w:sz w:val="20"/>
                <w:szCs w:val="20"/>
                <w:color w:val="auto"/>
              </w:rPr>
            </w:pPr>
            <w:r>
              <w:rPr>
                <w:rFonts w:ascii="Arial" w:cs="Arial" w:eastAsia="Arial" w:hAnsi="Arial"/>
                <w:sz w:val="18"/>
                <w:szCs w:val="18"/>
                <w:color w:val="auto"/>
                <w:w w:val="91"/>
              </w:rPr>
              <w:t>Financial Statement Date: [________, ____] (“Statement Date”)</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CONSOLIDATED TANGIBLE NET WORTH EXHIBIT</w:t>
            </w:r>
          </w:p>
        </w:tc>
        <w:tc>
          <w:tcPr>
            <w:tcW w:w="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560" w:type="dxa"/>
            <w:vAlign w:val="bottom"/>
            <w:gridSpan w:val="6"/>
          </w:tcPr>
          <w:p>
            <w:pPr>
              <w:ind w:left="880"/>
              <w:spacing w:after="0"/>
              <w:rPr>
                <w:sz w:val="20"/>
                <w:szCs w:val="20"/>
                <w:color w:val="auto"/>
              </w:rPr>
            </w:pPr>
            <w:r>
              <w:rPr>
                <w:rFonts w:ascii="Arial" w:cs="Arial" w:eastAsia="Arial" w:hAnsi="Arial"/>
                <w:sz w:val="18"/>
                <w:szCs w:val="18"/>
                <w:color w:val="auto"/>
              </w:rPr>
              <w:t>This calculation covers the period from _________, 20__ through ________, 20__</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560" w:type="dxa"/>
            <w:vAlign w:val="bottom"/>
            <w:gridSpan w:val="6"/>
          </w:tcPr>
          <w:p>
            <w:pPr>
              <w:spacing w:after="0"/>
              <w:rPr>
                <w:sz w:val="20"/>
                <w:szCs w:val="20"/>
                <w:color w:val="auto"/>
              </w:rPr>
            </w:pPr>
            <w:r>
              <w:rPr>
                <w:rFonts w:ascii="Arial" w:cs="Arial" w:eastAsia="Arial" w:hAnsi="Arial"/>
                <w:sz w:val="18"/>
                <w:szCs w:val="18"/>
                <w:b w:val="1"/>
                <w:bCs w:val="1"/>
                <w:color w:val="auto"/>
              </w:rPr>
              <w:t>Tangible Net Worth (on a consolidated basis)</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 Tangible Net Worth:</w:t>
            </w: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6"/>
          </w:tcPr>
          <w:p>
            <w:pPr>
              <w:ind w:left="340"/>
              <w:spacing w:after="0"/>
              <w:rPr>
                <w:sz w:val="20"/>
                <w:szCs w:val="20"/>
                <w:color w:val="auto"/>
              </w:rPr>
            </w:pPr>
            <w:r>
              <w:rPr>
                <w:rFonts w:ascii="Arial" w:cs="Arial" w:eastAsia="Arial" w:hAnsi="Arial"/>
                <w:sz w:val="18"/>
                <w:szCs w:val="18"/>
                <w:color w:val="auto"/>
              </w:rPr>
              <w:t>Shareholders Equity of the Company and its Subsidiaries</w:t>
            </w:r>
          </w:p>
        </w:tc>
        <w:tc>
          <w:tcPr>
            <w:tcW w:w="2840" w:type="dxa"/>
            <w:vAlign w:val="bottom"/>
          </w:tcPr>
          <w:p>
            <w:pPr>
              <w:jc w:val="right"/>
              <w:ind w:right="2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-8255</wp:posOffset>
            </wp:positionV>
            <wp:extent cx="14662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ind w:right="3160" w:firstLine="8"/>
        <w:spacing w:after="0" w:line="290" w:lineRule="auto"/>
        <w:tabs>
          <w:tab w:leader="none" w:pos="10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Intangible Assets of the Company and its Subsidiaries (including customer lists, goodwill, computer software, copyrights, trade names, trademarks, patents, franchises, licenses, unamortized deferred charges, unamortized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411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180" w:type="dxa"/>
            <w:vAlign w:val="bottom"/>
            <w:gridSpan w:val="9"/>
          </w:tcPr>
          <w:p>
            <w:pPr>
              <w:spacing w:after="0"/>
              <w:rPr>
                <w:sz w:val="20"/>
                <w:szCs w:val="20"/>
                <w:color w:val="auto"/>
              </w:rPr>
            </w:pPr>
            <w:r>
              <w:rPr>
                <w:rFonts w:ascii="Arial" w:cs="Arial" w:eastAsia="Arial" w:hAnsi="Arial"/>
                <w:sz w:val="18"/>
                <w:szCs w:val="18"/>
                <w:color w:val="auto"/>
              </w:rPr>
              <w:t>discount and capitalized research and development costs)</w:t>
            </w:r>
          </w:p>
        </w:tc>
        <w:tc>
          <w:tcPr>
            <w:tcW w:w="94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r>
      <w:tr>
        <w:trPr>
          <w:trHeight w:val="223"/>
        </w:trPr>
        <w:tc>
          <w:tcPr>
            <w:tcW w:w="8180" w:type="dxa"/>
            <w:vAlign w:val="bottom"/>
            <w:gridSpan w:val="9"/>
          </w:tcPr>
          <w:p>
            <w:pPr>
              <w:spacing w:after="0"/>
              <w:rPr>
                <w:sz w:val="20"/>
                <w:szCs w:val="20"/>
                <w:color w:val="auto"/>
              </w:rPr>
            </w:pPr>
            <w:r>
              <w:rPr>
                <w:rFonts w:ascii="Arial" w:cs="Arial" w:eastAsia="Arial" w:hAnsi="Arial"/>
                <w:sz w:val="18"/>
                <w:szCs w:val="18"/>
                <w:color w:val="auto"/>
              </w:rPr>
              <w:t>Consolidated Tangible Net Worth</w:t>
            </w:r>
          </w:p>
        </w:tc>
        <w:tc>
          <w:tcPr>
            <w:tcW w:w="940" w:type="dxa"/>
            <w:vAlign w:val="bottom"/>
          </w:tcPr>
          <w:p>
            <w:pPr>
              <w:ind w:left="380"/>
              <w:spacing w:after="0"/>
              <w:rPr>
                <w:sz w:val="20"/>
                <w:szCs w:val="20"/>
                <w:color w:val="auto"/>
              </w:rPr>
            </w:pPr>
            <w:r>
              <w:rPr>
                <w:rFonts w:ascii="Arial" w:cs="Arial" w:eastAsia="Arial" w:hAnsi="Arial"/>
                <w:sz w:val="18"/>
                <w:szCs w:val="18"/>
                <w:b w:val="1"/>
                <w:bCs w:val="1"/>
                <w:color w:val="auto"/>
              </w:rPr>
              <w:t>1(A)</w:t>
            </w:r>
          </w:p>
        </w:tc>
        <w:tc>
          <w:tcPr>
            <w:tcW w:w="98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r>
      <w:tr>
        <w:trPr>
          <w:trHeight w:val="115"/>
        </w:trPr>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216"/>
        </w:trPr>
        <w:tc>
          <w:tcPr>
            <w:tcW w:w="2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2. $</w:t>
            </w: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strike w:val="1"/>
                <w:w w:val="87"/>
              </w:rPr>
              <w:t>200,000,000</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327,000,000</w:t>
            </w:r>
          </w:p>
        </w:tc>
        <w:tc>
          <w:tcPr>
            <w:tcW w:w="1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u w:val="single" w:color="auto"/>
                <w:color w:val="auto"/>
                <w:strike w:val="1"/>
                <w:w w:val="87"/>
              </w:rPr>
              <w:t>200,000,000</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327,000,000</w:t>
            </w:r>
          </w:p>
        </w:tc>
        <w:tc>
          <w:tcPr>
            <w:tcW w:w="420" w:type="dxa"/>
            <w:vAlign w:val="bottom"/>
            <w:tcBorders>
              <w:bottom w:val="single" w:sz="8" w:color="CCEEFF"/>
            </w:tcBorders>
            <w:shd w:val="clear" w:color="auto" w:fill="CCEEFF"/>
          </w:tcPr>
          <w:p>
            <w:pPr>
              <w:spacing w:after="0"/>
              <w:rPr>
                <w:sz w:val="18"/>
                <w:szCs w:val="18"/>
                <w:color w:val="auto"/>
              </w:rPr>
            </w:pPr>
          </w:p>
        </w:tc>
      </w:tr>
      <w:tr>
        <w:trPr>
          <w:trHeight w:val="183"/>
        </w:trPr>
        <w:tc>
          <w:tcPr>
            <w:tcW w:w="3380" w:type="dxa"/>
            <w:vAlign w:val="bottom"/>
            <w:gridSpan w:val="4"/>
          </w:tcPr>
          <w:p>
            <w:pPr>
              <w:spacing w:after="0" w:line="182" w:lineRule="exact"/>
              <w:rPr>
                <w:sz w:val="20"/>
                <w:szCs w:val="20"/>
                <w:color w:val="auto"/>
              </w:rPr>
            </w:pPr>
            <w:r>
              <w:rPr>
                <w:rFonts w:ascii="Arial" w:cs="Arial" w:eastAsia="Arial" w:hAnsi="Arial"/>
                <w:sz w:val="18"/>
                <w:szCs w:val="18"/>
                <w:color w:val="auto"/>
                <w:w w:val="91"/>
              </w:rPr>
              <w:t>+ 50% of Consolidated Net Income earned for</w:t>
            </w:r>
          </w:p>
        </w:tc>
        <w:tc>
          <w:tcPr>
            <w:tcW w:w="340" w:type="dxa"/>
            <w:vAlign w:val="bottom"/>
          </w:tcPr>
          <w:p>
            <w:pPr>
              <w:spacing w:after="0" w:line="182" w:lineRule="exact"/>
              <w:rPr>
                <w:sz w:val="20"/>
                <w:szCs w:val="20"/>
                <w:color w:val="auto"/>
              </w:rPr>
            </w:pPr>
            <w:r>
              <w:rPr>
                <w:rFonts w:ascii="Arial" w:cs="Arial" w:eastAsia="Arial" w:hAnsi="Arial"/>
                <w:sz w:val="18"/>
                <w:szCs w:val="18"/>
                <w:color w:val="auto"/>
                <w:strike w:val="1"/>
                <w:w w:val="81"/>
              </w:rPr>
              <w:t>each</w:t>
            </w:r>
          </w:p>
        </w:tc>
        <w:tc>
          <w:tcPr>
            <w:tcW w:w="1360" w:type="dxa"/>
            <w:vAlign w:val="bottom"/>
            <w:gridSpan w:val="2"/>
          </w:tcPr>
          <w:p>
            <w:pPr>
              <w:spacing w:after="0" w:line="182" w:lineRule="exact"/>
              <w:rPr>
                <w:sz w:val="20"/>
                <w:szCs w:val="20"/>
                <w:color w:val="auto"/>
              </w:rPr>
            </w:pPr>
            <w:r>
              <w:rPr>
                <w:rFonts w:ascii="Arial" w:cs="Arial" w:eastAsia="Arial" w:hAnsi="Arial"/>
                <w:sz w:val="18"/>
                <w:szCs w:val="18"/>
                <w:color w:val="auto"/>
                <w:w w:val="91"/>
              </w:rPr>
              <w:t>such fiscal quarter</w:t>
            </w:r>
          </w:p>
        </w:tc>
        <w:tc>
          <w:tcPr>
            <w:tcW w:w="2100" w:type="dxa"/>
            <w:vAlign w:val="bottom"/>
          </w:tcPr>
          <w:p>
            <w:pPr>
              <w:spacing w:after="0" w:line="182" w:lineRule="exact"/>
              <w:rPr>
                <w:sz w:val="20"/>
                <w:szCs w:val="20"/>
                <w:color w:val="auto"/>
              </w:rPr>
            </w:pPr>
            <w:r>
              <w:rPr>
                <w:rFonts w:ascii="Arial" w:cs="Arial" w:eastAsia="Arial" w:hAnsi="Arial"/>
                <w:sz w:val="18"/>
                <w:szCs w:val="18"/>
                <w:color w:val="auto"/>
                <w:strike w:val="1"/>
                <w:w w:val="92"/>
              </w:rPr>
              <w:t>ending after March 31, 2014</w:t>
            </w:r>
          </w:p>
        </w:tc>
        <w:tc>
          <w:tcPr>
            <w:tcW w:w="1000" w:type="dxa"/>
            <w:vAlign w:val="bottom"/>
          </w:tcPr>
          <w:p>
            <w:pPr>
              <w:spacing w:after="0" w:line="182" w:lineRule="exact"/>
              <w:rPr>
                <w:sz w:val="20"/>
                <w:szCs w:val="20"/>
                <w:color w:val="auto"/>
              </w:rPr>
            </w:pPr>
            <w:r>
              <w:rPr>
                <w:rFonts w:ascii="Arial" w:cs="Arial" w:eastAsia="Arial" w:hAnsi="Arial"/>
                <w:sz w:val="18"/>
                <w:szCs w:val="18"/>
                <w:color w:val="auto"/>
              </w:rPr>
              <w:t>(with no</w:t>
            </w:r>
          </w:p>
        </w:tc>
        <w:tc>
          <w:tcPr>
            <w:tcW w:w="9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r>
      <w:tr>
        <w:trPr>
          <w:trHeight w:val="244"/>
        </w:trPr>
        <w:tc>
          <w:tcPr>
            <w:tcW w:w="3720" w:type="dxa"/>
            <w:vAlign w:val="bottom"/>
            <w:gridSpan w:val="5"/>
          </w:tcPr>
          <w:p>
            <w:pPr>
              <w:spacing w:after="0"/>
              <w:rPr>
                <w:sz w:val="20"/>
                <w:szCs w:val="20"/>
                <w:color w:val="auto"/>
              </w:rPr>
            </w:pPr>
            <w:r>
              <w:rPr>
                <w:rFonts w:ascii="Arial" w:cs="Arial" w:eastAsia="Arial" w:hAnsi="Arial"/>
                <w:sz w:val="18"/>
                <w:szCs w:val="18"/>
                <w:color w:val="auto"/>
                <w:w w:val="97"/>
              </w:rPr>
              <w:t>deduction for net loss in any such fiscal quarter)</w:t>
            </w:r>
          </w:p>
        </w:tc>
        <w:tc>
          <w:tcPr>
            <w:tcW w:w="380" w:type="dxa"/>
            <w:vAlign w:val="bottom"/>
            <w:tcBorders>
              <w:top w:val="single" w:sz="8" w:color="auto"/>
            </w:tcBorders>
          </w:tcPr>
          <w:p>
            <w:pPr>
              <w:spacing w:after="0"/>
              <w:rPr>
                <w:sz w:val="21"/>
                <w:szCs w:val="21"/>
                <w:color w:val="auto"/>
              </w:rPr>
            </w:pPr>
          </w:p>
        </w:tc>
        <w:tc>
          <w:tcPr>
            <w:tcW w:w="4080" w:type="dxa"/>
            <w:vAlign w:val="bottom"/>
            <w:gridSpan w:val="3"/>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r>
      <w:tr>
        <w:trPr>
          <w:trHeight w:val="216"/>
        </w:trPr>
        <w:tc>
          <w:tcPr>
            <w:tcW w:w="280" w:type="dxa"/>
            <w:vAlign w:val="bottom"/>
            <w:shd w:val="clear" w:color="auto" w:fill="CCEEFF"/>
          </w:tcPr>
          <w:p>
            <w:pPr>
              <w:spacing w:after="0"/>
              <w:rPr>
                <w:sz w:val="18"/>
                <w:szCs w:val="18"/>
                <w:color w:val="auto"/>
              </w:rPr>
            </w:pPr>
          </w:p>
        </w:tc>
        <w:tc>
          <w:tcPr>
            <w:tcW w:w="7900" w:type="dxa"/>
            <w:vAlign w:val="bottom"/>
            <w:gridSpan w:val="8"/>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2(A)</w:t>
            </w:r>
          </w:p>
        </w:tc>
        <w:tc>
          <w:tcPr>
            <w:tcW w:w="980" w:type="dxa"/>
            <w:vAlign w:val="bottom"/>
            <w:tcBorders>
              <w:bottom w:val="single" w:sz="8" w:color="auto"/>
            </w:tcBorders>
            <w:gridSpan w:val="2"/>
            <w:shd w:val="clear" w:color="auto" w:fill="CCEEFF"/>
          </w:tcPr>
          <w:p>
            <w:pPr>
              <w:jc w:val="right"/>
              <w:ind w:right="81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Requirement Met (is </w:t>
      </w:r>
      <w:r>
        <w:rPr>
          <w:rFonts w:ascii="Arial" w:cs="Arial" w:eastAsia="Arial" w:hAnsi="Arial"/>
          <w:sz w:val="18"/>
          <w:szCs w:val="18"/>
          <w:b w:val="1"/>
          <w:bCs w:val="1"/>
          <w:color w:val="auto"/>
        </w:rPr>
        <w:t>1(a)</w:t>
      </w:r>
      <w:r>
        <w:rPr>
          <w:rFonts w:ascii="Arial" w:cs="Arial" w:eastAsia="Arial" w:hAnsi="Arial"/>
          <w:sz w:val="18"/>
          <w:szCs w:val="18"/>
          <w:color w:val="auto"/>
        </w:rPr>
        <w:t xml:space="preserve"> greater than or equal to </w:t>
      </w:r>
      <w:r>
        <w:rPr>
          <w:rFonts w:ascii="Arial" w:cs="Arial" w:eastAsia="Arial" w:hAnsi="Arial"/>
          <w:sz w:val="18"/>
          <w:szCs w:val="18"/>
          <w:b w:val="1"/>
          <w:bCs w:val="1"/>
          <w:color w:val="auto"/>
        </w:rPr>
        <w:t>2(a)</w:t>
      </w:r>
      <w:r>
        <w:rPr>
          <w:rFonts w:ascii="Arial" w:cs="Arial" w:eastAsia="Arial" w:hAnsi="Arial"/>
          <w:sz w:val="18"/>
          <w:szCs w:val="18"/>
          <w:color w:val="auto"/>
        </w:rPr>
        <w:t>, “Yes”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14605</wp:posOffset>
            </wp:positionV>
            <wp:extent cx="14662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Debt Service Coverage Ratio</w:t>
      </w:r>
      <w:r>
        <w:rPr>
          <w:rFonts w:ascii="Arial" w:cs="Arial" w:eastAsia="Arial" w:hAnsi="Arial"/>
          <w:sz w:val="18"/>
          <w:szCs w:val="18"/>
          <w:b w:val="1"/>
          <w:bCs w:val="1"/>
          <w:color w:val="auto"/>
        </w:rPr>
        <w:t xml:space="preserve"> (on a consolidated basis)</w:t>
      </w:r>
    </w:p>
    <w:p>
      <w:pPr>
        <w:spacing w:after="0" w:line="135" w:lineRule="exact"/>
        <w:rPr>
          <w:sz w:val="20"/>
          <w:szCs w:val="20"/>
          <w:color w:val="auto"/>
        </w:rPr>
      </w:pPr>
    </w:p>
    <w:p>
      <w:pPr>
        <w:jc w:val="both"/>
        <w:ind w:right="7780" w:firstLine="8"/>
        <w:spacing w:after="0" w:line="299" w:lineRule="auto"/>
        <w:tabs>
          <w:tab w:leader="none" w:pos="1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Consolidated EBITDA: Consolidated Net Income</w:t>
      </w:r>
    </w:p>
    <w:p>
      <w:pPr>
        <w:spacing w:after="0"/>
        <w:rPr>
          <w:rFonts w:ascii="Arial" w:cs="Arial" w:eastAsia="Arial" w:hAnsi="Arial"/>
          <w:sz w:val="16"/>
          <w:szCs w:val="16"/>
          <w:color w:val="auto"/>
        </w:rPr>
      </w:pPr>
      <w:r>
        <w:rPr>
          <w:rFonts w:ascii="Arial" w:cs="Arial" w:eastAsia="Arial" w:hAnsi="Arial"/>
          <w:sz w:val="18"/>
          <w:szCs w:val="18"/>
          <w:color w:val="auto"/>
        </w:rPr>
        <w:t>+ Consolidated Interest Charges</w:t>
      </w:r>
    </w:p>
    <w:p>
      <w:pPr>
        <w:spacing w:after="0" w:line="36" w:lineRule="exact"/>
        <w:rPr>
          <w:rFonts w:ascii="Arial" w:cs="Arial" w:eastAsia="Arial" w:hAnsi="Arial"/>
          <w:sz w:val="16"/>
          <w:szCs w:val="16"/>
          <w:color w:val="auto"/>
        </w:rPr>
      </w:pPr>
    </w:p>
    <w:p>
      <w:pPr>
        <w:jc w:val="both"/>
        <w:ind w:right="600"/>
        <w:spacing w:after="0" w:line="258" w:lineRule="auto"/>
        <w:rPr>
          <w:rFonts w:ascii="Arial" w:cs="Arial" w:eastAsia="Arial" w:hAnsi="Arial"/>
          <w:sz w:val="16"/>
          <w:szCs w:val="16"/>
          <w:color w:val="auto"/>
        </w:rPr>
      </w:pPr>
      <w:r>
        <w:rPr>
          <w:rFonts w:ascii="Arial" w:cs="Arial" w:eastAsia="Arial" w:hAnsi="Arial"/>
          <w:sz w:val="18"/>
          <w:szCs w:val="18"/>
          <w:color w:val="auto"/>
        </w:rPr>
        <w:t>+ the provision for federal, state, local and foreign income taxes payable by the Company and its Subsidiaries for such period, including, without limitation, any franchise taxes or other taxes based on income, profits or capital and all other taxes that are included in the provision for income tax line item on the Consolidated income statement of the Company and its Subsidiaries + depreciation and amortization expense</w:t>
      </w:r>
    </w:p>
    <w:p>
      <w:pPr>
        <w:spacing w:after="0" w:line="1" w:lineRule="exact"/>
        <w:rPr>
          <w:rFonts w:ascii="Arial" w:cs="Arial" w:eastAsia="Arial" w:hAnsi="Arial"/>
          <w:sz w:val="16"/>
          <w:szCs w:val="16"/>
          <w:color w:val="auto"/>
        </w:rPr>
      </w:pPr>
    </w:p>
    <w:p>
      <w:pPr>
        <w:ind w:right="140"/>
        <w:spacing w:after="0" w:line="260" w:lineRule="auto"/>
        <w:rPr>
          <w:rFonts w:ascii="Arial" w:cs="Arial" w:eastAsia="Arial" w:hAnsi="Arial"/>
          <w:sz w:val="16"/>
          <w:szCs w:val="16"/>
          <w:color w:val="auto"/>
        </w:rPr>
      </w:pPr>
      <w:r>
        <w:rPr>
          <w:rFonts w:ascii="Arial" w:cs="Arial" w:eastAsia="Arial" w:hAnsi="Arial"/>
          <w:sz w:val="18"/>
          <w:szCs w:val="18"/>
          <w:color w:val="auto"/>
        </w:rPr>
        <w:t>+ non-cash charges and losses (excluding any such non-cash charges or losses to the extent (A) there were cash charges with respect to such charges and losses in past accounting periods or (B) there is a reasonable expectation that there will be cash charges with respect to such charges and losses in future accounting periods)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non-cash, stock-based compensation expenses</w:t>
      </w:r>
    </w:p>
    <w:p>
      <w:pPr>
        <w:spacing w:after="0" w:line="36" w:lineRule="exact"/>
        <w:rPr>
          <w:rFonts w:ascii="Arial" w:cs="Arial" w:eastAsia="Arial" w:hAnsi="Arial"/>
          <w:sz w:val="16"/>
          <w:szCs w:val="16"/>
          <w:color w:val="auto"/>
        </w:rPr>
      </w:pPr>
    </w:p>
    <w:p>
      <w:pPr>
        <w:ind w:left="360" w:right="5760" w:hanging="360"/>
        <w:spacing w:after="0" w:line="281" w:lineRule="auto"/>
        <w:rPr>
          <w:rFonts w:ascii="Arial" w:cs="Arial" w:eastAsia="Arial" w:hAnsi="Arial"/>
          <w:sz w:val="16"/>
          <w:szCs w:val="16"/>
          <w:color w:val="auto"/>
        </w:rPr>
      </w:pPr>
      <w:r>
        <w:rPr>
          <w:rFonts w:ascii="Arial" w:cs="Arial" w:eastAsia="Arial" w:hAnsi="Arial"/>
          <w:sz w:val="18"/>
          <w:szCs w:val="18"/>
          <w:color w:val="auto"/>
        </w:rPr>
        <w:t xml:space="preserve">+ extraordinary or one-time losses, costs and expenses </w:t>
      </w:r>
      <w:r>
        <w:rPr>
          <w:rFonts w:ascii="Arial" w:cs="Arial" w:eastAsia="Arial" w:hAnsi="Arial"/>
          <w:sz w:val="18"/>
          <w:szCs w:val="18"/>
          <w:color w:val="auto"/>
          <w:strike w:val="1"/>
        </w:rPr>
        <w:t>Related to the Thai 2011 Flooding</w:t>
      </w:r>
    </w:p>
    <w:p>
      <w:pPr>
        <w:spacing w:after="0" w:line="1"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paid in connection with the Facilities</w:t>
      </w:r>
    </w:p>
    <w:p>
      <w:pPr>
        <w:spacing w:after="0" w:line="36" w:lineRule="exact"/>
        <w:rPr>
          <w:rFonts w:ascii="Arial" w:cs="Arial" w:eastAsia="Arial" w:hAnsi="Arial"/>
          <w:sz w:val="16"/>
          <w:szCs w:val="16"/>
          <w:color w:val="auto"/>
        </w:rPr>
      </w:pPr>
    </w:p>
    <w:p>
      <w:pPr>
        <w:ind w:right="260" w:firstLine="360"/>
        <w:spacing w:after="0" w:line="266" w:lineRule="auto"/>
        <w:rPr>
          <w:rFonts w:ascii="Arial" w:cs="Arial" w:eastAsia="Arial" w:hAnsi="Arial"/>
          <w:sz w:val="16"/>
          <w:szCs w:val="16"/>
          <w:color w:val="auto"/>
        </w:rPr>
      </w:pPr>
      <w:r>
        <w:rPr>
          <w:rFonts w:ascii="Arial" w:cs="Arial" w:eastAsia="Arial" w:hAnsi="Arial"/>
          <w:sz w:val="18"/>
          <w:szCs w:val="18"/>
          <w:color w:val="auto"/>
        </w:rPr>
        <w:t>Related to any proposed or actual Permitted Acquisition and any financings thereof, in an aggregate not to exceed $2,000,000 (including integration costs and expenses)</w:t>
      </w:r>
    </w:p>
    <w:p>
      <w:pPr>
        <w:ind w:right="380"/>
        <w:spacing w:after="0" w:line="281" w:lineRule="auto"/>
        <w:rPr>
          <w:rFonts w:ascii="Arial" w:cs="Arial" w:eastAsia="Arial" w:hAnsi="Arial"/>
          <w:sz w:val="16"/>
          <w:szCs w:val="16"/>
          <w:color w:val="auto"/>
        </w:rPr>
      </w:pPr>
      <w:r>
        <w:rPr>
          <w:rFonts w:ascii="Arial" w:cs="Arial" w:eastAsia="Arial" w:hAnsi="Arial"/>
          <w:sz w:val="18"/>
          <w:szCs w:val="18"/>
          <w:color w:val="auto"/>
        </w:rPr>
        <w:t>In connection with the primary or secondary offering of the Company’s common stock, in an aggregate not to exceed $2,000,000 + non-cash losses</w:t>
      </w:r>
    </w:p>
    <w:p>
      <w:pPr>
        <w:spacing w:after="0" w:line="1" w:lineRule="exact"/>
        <w:rPr>
          <w:rFonts w:ascii="Arial" w:cs="Arial" w:eastAsia="Arial" w:hAnsi="Arial"/>
          <w:sz w:val="16"/>
          <w:szCs w:val="16"/>
          <w:color w:val="auto"/>
        </w:rPr>
      </w:pPr>
    </w:p>
    <w:p>
      <w:pPr>
        <w:jc w:val="both"/>
        <w:ind w:right="180"/>
        <w:spacing w:after="0" w:line="263" w:lineRule="auto"/>
        <w:rPr>
          <w:rFonts w:ascii="Arial" w:cs="Arial" w:eastAsia="Arial" w:hAnsi="Arial"/>
          <w:sz w:val="16"/>
          <w:szCs w:val="16"/>
          <w:color w:val="auto"/>
        </w:rPr>
      </w:pPr>
      <w:r>
        <w:rPr>
          <w:rFonts w:ascii="Arial" w:cs="Arial" w:eastAsia="Arial" w:hAnsi="Arial"/>
          <w:sz w:val="18"/>
          <w:szCs w:val="18"/>
          <w:color w:val="auto"/>
        </w:rPr>
        <w:t xml:space="preserve">- non-cash gains (excluding any non-cash gains to the extent (A) there were cash gains with respect to such gains in past accounting periods or (B) there is a reasonable expectation that there will be cash gains with respect to such gains in future accounting periods) - extraordinary gains </w:t>
      </w:r>
      <w:r>
        <w:rPr>
          <w:rFonts w:ascii="Arial" w:cs="Arial" w:eastAsia="Arial" w:hAnsi="Arial"/>
          <w:sz w:val="18"/>
          <w:szCs w:val="18"/>
          <w:color w:val="auto"/>
          <w:strike w:val="1"/>
        </w:rPr>
        <w:t>(including gains related to the Thai 2011 Flooding)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-3081020</wp:posOffset>
            </wp:positionV>
            <wp:extent cx="72466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-2789555</wp:posOffset>
            </wp:positionV>
            <wp:extent cx="72466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-2223135</wp:posOffset>
            </wp:positionV>
            <wp:extent cx="724662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-1640205</wp:posOffset>
            </wp:positionV>
            <wp:extent cx="724662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-1331595</wp:posOffset>
            </wp:positionV>
            <wp:extent cx="724662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-1022350</wp:posOffset>
            </wp:positionV>
            <wp:extent cx="7246620" cy="274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6432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643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13335</wp:posOffset>
            </wp:positionV>
            <wp:extent cx="643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643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643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643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643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643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643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643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643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9" w:lineRule="exact"/>
        <w:rPr>
          <w:sz w:val="20"/>
          <w:szCs w:val="20"/>
          <w:color w:val="auto"/>
        </w:rPr>
      </w:pPr>
    </w:p>
    <w:p>
      <w:pPr>
        <w:sectPr>
          <w:pgSz w:w="11900" w:h="16838" w:orient="portrait"/>
          <w:cols w:equalWidth="0" w:num="2">
            <w:col w:w="9680" w:space="720"/>
            <w:col w:w="1020"/>
          </w:cols>
          <w:pgMar w:left="240" w:top="270" w:right="239" w:bottom="1440" w:gutter="0" w:footer="0" w:header="0"/>
        </w:sect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9140" w:type="dxa"/>
            <w:vAlign w:val="bottom"/>
          </w:tcPr>
          <w:p>
            <w:pPr>
              <w:ind w:left="340"/>
              <w:spacing w:after="0" w:line="205" w:lineRule="exact"/>
              <w:rPr>
                <w:sz w:val="20"/>
                <w:szCs w:val="20"/>
                <w:color w:val="auto"/>
              </w:rPr>
            </w:pPr>
            <w:r>
              <w:rPr>
                <w:rFonts w:ascii="Arial" w:cs="Arial" w:eastAsia="Arial" w:hAnsi="Arial"/>
                <w:sz w:val="18"/>
                <w:szCs w:val="18"/>
                <w:color w:val="auto"/>
              </w:rPr>
              <w:t>Consolidated EBITDA</w:t>
            </w:r>
          </w:p>
        </w:tc>
        <w:tc>
          <w:tcPr>
            <w:tcW w:w="1200" w:type="dxa"/>
            <w:vAlign w:val="bottom"/>
          </w:tcPr>
          <w:p>
            <w:pPr>
              <w:ind w:left="640"/>
              <w:spacing w:after="0" w:line="205" w:lineRule="exact"/>
              <w:rPr>
                <w:sz w:val="20"/>
                <w:szCs w:val="20"/>
                <w:color w:val="auto"/>
              </w:rPr>
            </w:pPr>
            <w:r>
              <w:rPr>
                <w:rFonts w:ascii="Arial" w:cs="Arial" w:eastAsia="Arial" w:hAnsi="Arial"/>
                <w:sz w:val="18"/>
                <w:szCs w:val="18"/>
                <w:b w:val="1"/>
                <w:bCs w:val="1"/>
                <w:color w:val="auto"/>
              </w:rPr>
              <w:t>1(A)</w:t>
            </w:r>
          </w:p>
        </w:tc>
        <w:tc>
          <w:tcPr>
            <w:tcW w:w="1000" w:type="dxa"/>
            <w:vAlign w:val="bottom"/>
            <w:tcBorders>
              <w:top w:val="single" w:sz="8" w:color="auto"/>
              <w:bottom w:val="single" w:sz="8" w:color="auto"/>
            </w:tcBorders>
          </w:tcPr>
          <w:p>
            <w:pPr>
              <w:ind w:left="40"/>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2. Current maturities of long term debt (as shown on the balance sheet dated _______, 20__)</w:t>
            </w:r>
          </w:p>
        </w:tc>
        <w:tc>
          <w:tcPr>
            <w:tcW w:w="1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w w:val="96"/>
              </w:rPr>
              <w:t>+ current maturities of obligations in respect of capitalized leases (as shown on the balance sheet dated ______, 20__)</w:t>
            </w:r>
          </w:p>
        </w:tc>
        <w:tc>
          <w:tcPr>
            <w:tcW w:w="1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 Consolidated Interest Charges</w:t>
            </w:r>
          </w:p>
        </w:tc>
        <w:tc>
          <w:tcPr>
            <w:tcW w:w="1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Total Debt Service</w:t>
            </w:r>
          </w:p>
        </w:tc>
        <w:tc>
          <w:tcPr>
            <w:tcW w:w="1200" w:type="dxa"/>
            <w:vAlign w:val="bottom"/>
          </w:tcPr>
          <w:p>
            <w:pPr>
              <w:ind w:left="640"/>
              <w:spacing w:after="0"/>
              <w:rPr>
                <w:sz w:val="20"/>
                <w:szCs w:val="20"/>
                <w:color w:val="auto"/>
              </w:rPr>
            </w:pPr>
            <w:r>
              <w:rPr>
                <w:rFonts w:ascii="Arial" w:cs="Arial" w:eastAsia="Arial" w:hAnsi="Arial"/>
                <w:sz w:val="18"/>
                <w:szCs w:val="18"/>
                <w:b w:val="1"/>
                <w:bCs w:val="1"/>
                <w:color w:val="auto"/>
              </w:rPr>
              <w:t>2(A)</w:t>
            </w: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Service Coverage Ratio = 1(A) ÷ 2(A)</w:t>
            </w:r>
          </w:p>
        </w:tc>
        <w:tc>
          <w:tcPr>
            <w:tcW w:w="1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to 1.0</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color w:val="auto"/>
              </w:rPr>
              <w:t>Required ratio is:</w:t>
            </w:r>
          </w:p>
        </w:tc>
        <w:tc>
          <w:tcPr>
            <w:tcW w:w="120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6"/>
              </w:rPr>
              <w:t>1.50   to 1.0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Senior Leverage Ratio</w:t>
      </w:r>
      <w:r>
        <w:rPr>
          <w:rFonts w:ascii="Arial" w:cs="Arial" w:eastAsia="Arial" w:hAnsi="Arial"/>
          <w:sz w:val="18"/>
          <w:szCs w:val="18"/>
          <w:b w:val="1"/>
          <w:bCs w:val="1"/>
          <w:color w:val="auto"/>
        </w:rPr>
        <w:t xml:space="preserve"> (on a consolidated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Consolidated </w:t>
      </w:r>
      <w:r>
        <w:rPr>
          <w:rFonts w:ascii="Arial" w:cs="Arial" w:eastAsia="Arial" w:hAnsi="Arial"/>
          <w:sz w:val="18"/>
          <w:szCs w:val="18"/>
          <w:color w:val="auto"/>
          <w:strike w:val="1"/>
        </w:rPr>
        <w:t>Senior</w:t>
      </w:r>
      <w:r>
        <w:rPr>
          <w:rFonts w:ascii="Arial" w:cs="Arial" w:eastAsia="Arial" w:hAnsi="Arial"/>
          <w:sz w:val="18"/>
          <w:szCs w:val="18"/>
          <w:u w:val="single" w:color="auto"/>
          <w:color w:val="auto"/>
        </w:rPr>
        <w:t>Total</w:t>
      </w:r>
      <w:r>
        <w:rPr>
          <w:rFonts w:ascii="Arial" w:cs="Arial" w:eastAsia="Arial" w:hAnsi="Arial"/>
          <w:sz w:val="18"/>
          <w:szCs w:val="18"/>
          <w:color w:val="auto"/>
        </w:rPr>
        <w:t xml:space="preserve"> Funded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Outstanding principal amount of all obligations, whether current or long-term, for borrowed money and all obligations evidenced by bonds, debentures, notes, loan agreements or other similar instruments</w:t>
      </w:r>
    </w:p>
    <w:p>
      <w:pPr>
        <w:spacing w:after="0" w:line="2" w:lineRule="exact"/>
        <w:rPr>
          <w:sz w:val="20"/>
          <w:szCs w:val="20"/>
          <w:color w:val="auto"/>
        </w:rPr>
      </w:pPr>
    </w:p>
    <w:p>
      <w:pPr>
        <w:ind w:left="160" w:hanging="152"/>
        <w:spacing w:after="0"/>
        <w:tabs>
          <w:tab w:leader="none" w:pos="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Purchase money indebtedness</w:t>
      </w:r>
    </w:p>
    <w:p>
      <w:pPr>
        <w:spacing w:after="0" w:line="36" w:lineRule="exact"/>
        <w:rPr>
          <w:rFonts w:ascii="Arial" w:cs="Arial" w:eastAsia="Arial" w:hAnsi="Arial"/>
          <w:sz w:val="18"/>
          <w:szCs w:val="18"/>
          <w:color w:val="auto"/>
        </w:rPr>
      </w:pPr>
    </w:p>
    <w:p>
      <w:pPr>
        <w:ind w:right="60" w:firstLine="8"/>
        <w:spacing w:after="0" w:line="299" w:lineRule="auto"/>
        <w:tabs>
          <w:tab w:leader="none" w:pos="1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All direct obligations under issued and outstanding letters of credit (including standby and commercial), bankers’ acceptances, bank guaranties, surety bonds and similar instruments, less the amount then cash-collateralized on commercially reasonable and customary terms</w:t>
      </w:r>
    </w:p>
    <w:p>
      <w:pPr>
        <w:ind w:right="360" w:firstLine="8"/>
        <w:spacing w:after="0" w:line="286" w:lineRule="auto"/>
        <w:tabs>
          <w:tab w:leader="none" w:pos="1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All obligations in respect of the deferred purchase price of property or services (other than (i) trade accounts payable, intercompany charges of expenses, deferred revenue and other accrued liabilities in the ordinary course of business and (ii) any earn-out obligation or post-closing balance sheet adjustments prior to the time as it becomes a liability on the balance sheet of such Person in accordance with GAAP) to the extent required to be reflected on the Consolidated balance sheet of the Company and its Subsidiaries in accordance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21" w:lineRule="exact"/>
        <w:rPr>
          <w:rFonts w:ascii="Arial" w:cs="Arial" w:eastAsia="Arial" w:hAnsi="Arial"/>
          <w:sz w:val="16"/>
          <w:szCs w:val="16"/>
          <w:color w:val="auto"/>
        </w:rPr>
      </w:pPr>
    </w:p>
    <w:p>
      <w:pPr>
        <w:ind w:left="160" w:hanging="152"/>
        <w:spacing w:after="0"/>
        <w:tabs>
          <w:tab w:leader="none" w:pos="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Attributable Indebtedness</w:t>
      </w:r>
    </w:p>
    <w:p>
      <w:pPr>
        <w:spacing w:after="0" w:line="36" w:lineRule="exact"/>
        <w:rPr>
          <w:rFonts w:ascii="Arial" w:cs="Arial" w:eastAsia="Arial" w:hAnsi="Arial"/>
          <w:sz w:val="18"/>
          <w:szCs w:val="18"/>
          <w:color w:val="auto"/>
        </w:rPr>
      </w:pPr>
    </w:p>
    <w:p>
      <w:pPr>
        <w:ind w:right="100" w:firstLine="8"/>
        <w:spacing w:after="0" w:line="276" w:lineRule="auto"/>
        <w:tabs>
          <w:tab w:leader="none" w:pos="14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All obligations to purchase, redeem, retire, defease or otherwise make any payment prior to the Maturity Date in respect of any Disqualified Equity Interests (other than payments made solely in Qualified Equity Interests), valued, in the case of a redeemable preferred interest, at the greater of its voluntary or involuntary liquidation preference plus accrued and unpaid dividends</w:t>
      </w:r>
    </w:p>
    <w:p>
      <w:pPr>
        <w:ind w:right="540" w:firstLine="8"/>
        <w:spacing w:after="0" w:line="266" w:lineRule="auto"/>
        <w:tabs>
          <w:tab w:leader="none" w:pos="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Without duplication, all Guarantees with respect to outstanding Indebtedness of the types specified above of Persons other than the Company or any Subsidiary</w:t>
      </w:r>
    </w:p>
    <w:p>
      <w:pPr>
        <w:ind w:firstLine="8"/>
        <w:spacing w:after="0" w:line="263" w:lineRule="auto"/>
        <w:tabs>
          <w:tab w:leader="none" w:pos="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Indebtedness of the types referred to above of any partnership or joint venture (other than a joint venture that is itself a corporation or limited liability company) in which the Company or a Subsidiary is a general partner or joint venturer, unless such Indebtedness is expressly made non-recourse to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-2446020</wp:posOffset>
            </wp:positionV>
            <wp:extent cx="72466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-2000250</wp:posOffset>
            </wp:positionV>
            <wp:extent cx="7246620" cy="6858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-1143000</wp:posOffset>
            </wp:positionV>
            <wp:extent cx="7246620" cy="4114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411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3943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3943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3943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3943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3943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3943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3943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8" w:lineRule="exact"/>
        <w:rPr>
          <w:sz w:val="20"/>
          <w:szCs w:val="20"/>
          <w:color w:val="auto"/>
        </w:rPr>
      </w:pPr>
    </w:p>
    <w:p>
      <w:pPr>
        <w:sectPr>
          <w:pgSz w:w="11900" w:h="16838" w:orient="portrait"/>
          <w:cols w:equalWidth="0" w:num="2">
            <w:col w:w="10120" w:space="680"/>
            <w:col w:w="620"/>
          </w:cols>
          <w:pgMar w:left="240" w:top="378" w:right="239" w:bottom="1440" w:gutter="0" w:footer="0" w:header="0"/>
        </w:sectPr>
      </w:pPr>
    </w:p>
    <w:tbl>
      <w:tblPr>
        <w:tblLayout w:type="fixed"/>
        <w:tblInd w:w="0" w:type="dxa"/>
        <w:tblCellMar>
          <w:top w:w="0" w:type="dxa"/>
          <w:left w:w="0" w:type="dxa"/>
          <w:bottom w:w="0" w:type="dxa"/>
          <w:right w:w="0" w:type="dxa"/>
        </w:tblCellMar>
      </w:tblPr>
      <w:tr>
        <w:trPr>
          <w:trHeight w:val="165"/>
        </w:trPr>
        <w:tc>
          <w:tcPr>
            <w:tcW w:w="1100" w:type="dxa"/>
            <w:vAlign w:val="bottom"/>
            <w:gridSpan w:val="6"/>
          </w:tcPr>
          <w:p>
            <w:pPr>
              <w:spacing w:after="0" w:line="164" w:lineRule="exact"/>
              <w:rPr>
                <w:sz w:val="20"/>
                <w:szCs w:val="20"/>
                <w:color w:val="auto"/>
              </w:rPr>
            </w:pPr>
            <w:r>
              <w:rPr>
                <w:rFonts w:ascii="Arial" w:cs="Arial" w:eastAsia="Arial" w:hAnsi="Arial"/>
                <w:sz w:val="18"/>
                <w:szCs w:val="18"/>
                <w:color w:val="auto"/>
                <w:strike w:val="1"/>
                <w:w w:val="95"/>
              </w:rPr>
              <w:t>-</w:t>
            </w:r>
            <w:r>
              <w:rPr>
                <w:rFonts w:ascii="Arial" w:cs="Arial" w:eastAsia="Arial" w:hAnsi="Arial"/>
                <w:sz w:val="18"/>
                <w:szCs w:val="18"/>
                <w:color w:val="auto"/>
                <w:w w:val="95"/>
              </w:rPr>
              <w:t>+ Convertible</w:t>
            </w:r>
          </w:p>
        </w:tc>
        <w:tc>
          <w:tcPr>
            <w:tcW w:w="1020" w:type="dxa"/>
            <w:vAlign w:val="bottom"/>
            <w:gridSpan w:val="5"/>
          </w:tcPr>
          <w:p>
            <w:pPr>
              <w:spacing w:after="0" w:line="164" w:lineRule="exact"/>
              <w:rPr>
                <w:sz w:val="20"/>
                <w:szCs w:val="20"/>
                <w:color w:val="auto"/>
              </w:rPr>
            </w:pPr>
            <w:r>
              <w:rPr>
                <w:rFonts w:ascii="Arial" w:cs="Arial" w:eastAsia="Arial" w:hAnsi="Arial"/>
                <w:sz w:val="18"/>
                <w:szCs w:val="18"/>
                <w:color w:val="auto"/>
                <w:strike w:val="1"/>
                <w:w w:val="93"/>
              </w:rPr>
              <w:t>Subordinated</w:t>
            </w:r>
          </w:p>
        </w:tc>
        <w:tc>
          <w:tcPr>
            <w:tcW w:w="6140" w:type="dxa"/>
            <w:vAlign w:val="bottom"/>
          </w:tcPr>
          <w:p>
            <w:pPr>
              <w:spacing w:after="0" w:line="164" w:lineRule="exact"/>
              <w:rPr>
                <w:sz w:val="20"/>
                <w:szCs w:val="20"/>
                <w:color w:val="auto"/>
              </w:rPr>
            </w:pPr>
            <w:r>
              <w:rPr>
                <w:rFonts w:ascii="Arial" w:cs="Arial" w:eastAsia="Arial" w:hAnsi="Arial"/>
                <w:sz w:val="18"/>
                <w:szCs w:val="18"/>
                <w:color w:val="auto"/>
              </w:rPr>
              <w:t>Debt Securities</w:t>
            </w:r>
          </w:p>
        </w:tc>
        <w:tc>
          <w:tcPr>
            <w:tcW w:w="2540" w:type="dxa"/>
            <w:vAlign w:val="bottom"/>
          </w:tcPr>
          <w:p>
            <w:pPr>
              <w:spacing w:after="0"/>
              <w:rPr>
                <w:sz w:val="14"/>
                <w:szCs w:val="14"/>
                <w:color w:val="auto"/>
              </w:rPr>
            </w:pPr>
          </w:p>
        </w:tc>
        <w:tc>
          <w:tcPr>
            <w:tcW w:w="620" w:type="dxa"/>
            <w:vAlign w:val="bottom"/>
            <w:tcBorders>
              <w:top w:val="single" w:sz="8" w:color="auto"/>
            </w:tcBorders>
          </w:tcPr>
          <w:p>
            <w:pPr>
              <w:jc w:val="right"/>
              <w:ind w:right="462"/>
              <w:spacing w:after="0" w:line="165" w:lineRule="exact"/>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gridSpan w:val="3"/>
            <w:shd w:val="clear" w:color="auto" w:fill="CCEEFF"/>
          </w:tcPr>
          <w:p>
            <w:pPr>
              <w:spacing w:after="0" w:line="163" w:lineRule="exact"/>
              <w:rPr>
                <w:sz w:val="20"/>
                <w:szCs w:val="20"/>
                <w:color w:val="auto"/>
              </w:rPr>
            </w:pPr>
            <w:r>
              <w:rPr>
                <w:rFonts w:ascii="Arial" w:cs="Arial" w:eastAsia="Arial" w:hAnsi="Arial"/>
                <w:sz w:val="18"/>
                <w:szCs w:val="18"/>
                <w:color w:val="auto"/>
                <w:w w:val="91"/>
              </w:rPr>
              <w:t>Consolidated</w:t>
            </w:r>
          </w:p>
        </w:tc>
        <w:tc>
          <w:tcPr>
            <w:tcW w:w="480" w:type="dxa"/>
            <w:vAlign w:val="bottom"/>
            <w:gridSpan w:val="3"/>
            <w:shd w:val="clear" w:color="auto" w:fill="CCEEFF"/>
          </w:tcPr>
          <w:p>
            <w:pPr>
              <w:spacing w:after="0" w:line="163" w:lineRule="exact"/>
              <w:rPr>
                <w:sz w:val="20"/>
                <w:szCs w:val="20"/>
                <w:color w:val="auto"/>
              </w:rPr>
            </w:pPr>
            <w:r>
              <w:rPr>
                <w:rFonts w:ascii="Arial" w:cs="Arial" w:eastAsia="Arial" w:hAnsi="Arial"/>
                <w:sz w:val="18"/>
                <w:szCs w:val="18"/>
                <w:color w:val="auto"/>
                <w:strike w:val="1"/>
                <w:w w:val="88"/>
              </w:rPr>
              <w:t>Senior</w:t>
            </w:r>
          </w:p>
        </w:tc>
        <w:tc>
          <w:tcPr>
            <w:tcW w:w="6780" w:type="dxa"/>
            <w:vAlign w:val="bottom"/>
            <w:gridSpan w:val="5"/>
            <w:shd w:val="clear" w:color="auto" w:fill="CCEEFF"/>
          </w:tcPr>
          <w:p>
            <w:pPr>
              <w:spacing w:after="0" w:line="163" w:lineRule="exact"/>
              <w:rPr>
                <w:sz w:val="20"/>
                <w:szCs w:val="20"/>
                <w:color w:val="auto"/>
              </w:rPr>
            </w:pPr>
            <w:r>
              <w:rPr>
                <w:rFonts w:ascii="Arial" w:cs="Arial" w:eastAsia="Arial" w:hAnsi="Arial"/>
                <w:sz w:val="18"/>
                <w:szCs w:val="18"/>
                <w:color w:val="auto"/>
              </w:rPr>
              <w:t>Total Funded Indebtedness</w:t>
            </w:r>
          </w:p>
        </w:tc>
        <w:tc>
          <w:tcPr>
            <w:tcW w:w="2540" w:type="dxa"/>
            <w:vAlign w:val="bottom"/>
            <w:shd w:val="clear" w:color="auto" w:fill="CCEEFF"/>
          </w:tcPr>
          <w:p>
            <w:pPr>
              <w:ind w:left="1980"/>
              <w:spacing w:after="0" w:line="163" w:lineRule="exact"/>
              <w:rPr>
                <w:sz w:val="20"/>
                <w:szCs w:val="20"/>
                <w:color w:val="auto"/>
              </w:rPr>
            </w:pPr>
            <w:r>
              <w:rPr>
                <w:rFonts w:ascii="Arial" w:cs="Arial" w:eastAsia="Arial" w:hAnsi="Arial"/>
                <w:sz w:val="18"/>
                <w:szCs w:val="18"/>
                <w:b w:val="1"/>
                <w:bCs w:val="1"/>
                <w:color w:val="auto"/>
              </w:rPr>
              <w:t>1(A)</w:t>
            </w:r>
          </w:p>
        </w:tc>
        <w:tc>
          <w:tcPr>
            <w:tcW w:w="620" w:type="dxa"/>
            <w:vAlign w:val="bottom"/>
            <w:shd w:val="clear" w:color="auto" w:fill="CCEEFF"/>
          </w:tcPr>
          <w:p>
            <w:pPr>
              <w:jc w:val="right"/>
              <w:ind w:right="462"/>
              <w:spacing w:after="0" w:line="163" w:lineRule="exact"/>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vMerge w:val="restart"/>
          </w:tcPr>
          <w:p>
            <w:pPr>
              <w:ind w:left="1980"/>
              <w:spacing w:after="0"/>
              <w:rPr>
                <w:sz w:val="20"/>
                <w:szCs w:val="20"/>
                <w:color w:val="auto"/>
              </w:rPr>
            </w:pPr>
            <w:r>
              <w:rPr>
                <w:rFonts w:ascii="Arial" w:cs="Arial" w:eastAsia="Arial" w:hAnsi="Arial"/>
                <w:sz w:val="18"/>
                <w:szCs w:val="18"/>
                <w:b w:val="1"/>
                <w:bCs w:val="1"/>
                <w:color w:val="auto"/>
              </w:rPr>
              <w:t>1(B)</w:t>
            </w: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60" w:type="dxa"/>
            <w:vAlign w:val="bottom"/>
            <w:gridSpan w:val="3"/>
          </w:tcPr>
          <w:p>
            <w:pPr>
              <w:spacing w:after="0"/>
              <w:rPr>
                <w:sz w:val="20"/>
                <w:szCs w:val="20"/>
                <w:color w:val="auto"/>
              </w:rPr>
            </w:pPr>
            <w:r>
              <w:rPr>
                <w:rFonts w:ascii="Arial" w:cs="Arial" w:eastAsia="Arial" w:hAnsi="Arial"/>
                <w:sz w:val="18"/>
                <w:szCs w:val="18"/>
                <w:color w:val="auto"/>
                <w:w w:val="92"/>
              </w:rPr>
              <w:t>2.</w:t>
            </w:r>
          </w:p>
        </w:tc>
        <w:tc>
          <w:tcPr>
            <w:tcW w:w="8100" w:type="dxa"/>
            <w:vAlign w:val="bottom"/>
            <w:gridSpan w:val="9"/>
          </w:tcPr>
          <w:p>
            <w:pPr>
              <w:ind w:left="20"/>
              <w:spacing w:after="0"/>
              <w:rPr>
                <w:sz w:val="20"/>
                <w:szCs w:val="20"/>
                <w:color w:val="auto"/>
              </w:rPr>
            </w:pPr>
            <w:r>
              <w:rPr>
                <w:rFonts w:ascii="Arial" w:cs="Arial" w:eastAsia="Arial" w:hAnsi="Arial"/>
                <w:sz w:val="18"/>
                <w:szCs w:val="18"/>
                <w:color w:val="auto"/>
              </w:rPr>
              <w:t>Obligations in Respect of Capitalized Leases</w:t>
            </w:r>
          </w:p>
        </w:tc>
        <w:tc>
          <w:tcPr>
            <w:tcW w:w="2540" w:type="dxa"/>
            <w:vAlign w:val="bottom"/>
            <w:vMerge w:val="continue"/>
          </w:tcPr>
          <w:p>
            <w:pPr>
              <w:spacing w:after="0"/>
              <w:rPr>
                <w:sz w:val="24"/>
                <w:szCs w:val="24"/>
                <w:color w:val="auto"/>
              </w:rPr>
            </w:pPr>
          </w:p>
        </w:tc>
        <w:tc>
          <w:tcPr>
            <w:tcW w:w="620" w:type="dxa"/>
            <w:vAlign w:val="bottom"/>
            <w:tcBorders>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3.</w:t>
            </w:r>
          </w:p>
        </w:tc>
        <w:tc>
          <w:tcPr>
            <w:tcW w:w="810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Consolidated EBITDA (see 1(A) in Debt Service Coverage Ratio calculation above)</w:t>
            </w:r>
          </w:p>
        </w:tc>
        <w:tc>
          <w:tcPr>
            <w:tcW w:w="2540" w:type="dxa"/>
            <w:vAlign w:val="bottom"/>
            <w:shd w:val="clear" w:color="auto" w:fill="CCEEFF"/>
          </w:tcPr>
          <w:p>
            <w:pPr>
              <w:ind w:left="1980"/>
              <w:spacing w:after="0"/>
              <w:rPr>
                <w:sz w:val="20"/>
                <w:szCs w:val="20"/>
                <w:color w:val="auto"/>
              </w:rPr>
            </w:pPr>
            <w:r>
              <w:rPr>
                <w:rFonts w:ascii="Arial" w:cs="Arial" w:eastAsia="Arial" w:hAnsi="Arial"/>
                <w:sz w:val="18"/>
                <w:szCs w:val="18"/>
                <w:b w:val="1"/>
                <w:bCs w:val="1"/>
                <w:color w:val="auto"/>
              </w:rPr>
              <w:t>2(A)</w:t>
            </w:r>
          </w:p>
        </w:tc>
        <w:tc>
          <w:tcPr>
            <w:tcW w:w="62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183"/>
        </w:trPr>
        <w:tc>
          <w:tcPr>
            <w:tcW w:w="106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w w:val="91"/>
              </w:rPr>
              <w:t>Consolidated</w:t>
            </w:r>
          </w:p>
        </w:tc>
        <w:tc>
          <w:tcPr>
            <w:tcW w:w="480" w:type="dxa"/>
            <w:vAlign w:val="bottom"/>
            <w:gridSpan w:val="3"/>
          </w:tcPr>
          <w:p>
            <w:pPr>
              <w:spacing w:after="0" w:line="182" w:lineRule="exact"/>
              <w:rPr>
                <w:sz w:val="20"/>
                <w:szCs w:val="20"/>
                <w:color w:val="auto"/>
              </w:rPr>
            </w:pPr>
            <w:r>
              <w:rPr>
                <w:rFonts w:ascii="Arial" w:cs="Arial" w:eastAsia="Arial" w:hAnsi="Arial"/>
                <w:sz w:val="18"/>
                <w:szCs w:val="18"/>
                <w:color w:val="auto"/>
                <w:strike w:val="1"/>
                <w:w w:val="88"/>
              </w:rPr>
              <w:t>Senior</w:t>
            </w:r>
          </w:p>
        </w:tc>
        <w:tc>
          <w:tcPr>
            <w:tcW w:w="672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Total Leverage Ratio = [1(A) + 1(B)] ÷ 2(A)</w:t>
            </w:r>
          </w:p>
        </w:tc>
        <w:tc>
          <w:tcPr>
            <w:tcW w:w="254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to 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8" w:right="239" w:bottom="1440" w:gutter="0" w:footer="0" w:header="0"/>
          <w:type w:val="continuous"/>
        </w:sectPr>
      </w:pPr>
    </w:p>
    <w:bookmarkStart w:id="174" w:name="page175"/>
    <w:bookmarkEnd w:id="1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Required ratio is:</w:t>
            </w:r>
          </w:p>
        </w:tc>
        <w:tc>
          <w:tcPr>
            <w:tcW w:w="2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50</w:t>
            </w: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to 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34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strike w:val="1"/>
              </w:rPr>
              <w:t xml:space="preserve">Consolidated Total Leverage Ratio </w:t>
            </w:r>
            <w:r>
              <w:rPr>
                <w:rFonts w:ascii="Arial" w:cs="Arial" w:eastAsia="Arial" w:hAnsi="Arial"/>
                <w:sz w:val="18"/>
                <w:szCs w:val="18"/>
                <w:color w:val="auto"/>
                <w:strike w:val="1"/>
              </w:rPr>
              <w:t>(for purposes of calculation of the Applicable Rate only)</w:t>
            </w:r>
          </w:p>
        </w:tc>
        <w:tc>
          <w:tcPr>
            <w:tcW w:w="2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strike w:val="1"/>
              </w:rPr>
              <w:t>[1(A) + Convertible Subordinated Debt Securities + 1(B)] ÷ 2(A)</w:t>
            </w:r>
          </w:p>
        </w:tc>
        <w:tc>
          <w:tcPr>
            <w:tcW w:w="2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strike w:val="1"/>
              </w:rPr>
              <w:t>to 1.0</w:t>
            </w:r>
          </w:p>
        </w:tc>
        <w:tc>
          <w:tcPr>
            <w:tcW w:w="0" w:type="dxa"/>
            <w:vAlign w:val="bottom"/>
          </w:tcPr>
          <w:p>
            <w:pPr>
              <w:spacing w:after="0"/>
              <w:rPr>
                <w:sz w:val="1"/>
                <w:szCs w:val="1"/>
                <w:color w:val="auto"/>
              </w:rPr>
            </w:pPr>
          </w:p>
        </w:tc>
      </w:tr>
      <w:tr>
        <w:trPr>
          <w:trHeight w:val="399"/>
        </w:trPr>
        <w:tc>
          <w:tcPr>
            <w:tcW w:w="8360" w:type="dxa"/>
            <w:vAlign w:val="bottom"/>
            <w:gridSpan w:val="4"/>
          </w:tcPr>
          <w:p>
            <w:pPr>
              <w:spacing w:after="0"/>
              <w:rPr>
                <w:sz w:val="20"/>
                <w:szCs w:val="20"/>
                <w:color w:val="auto"/>
              </w:rPr>
            </w:pPr>
            <w:r>
              <w:rPr>
                <w:rFonts w:ascii="Arial" w:cs="Arial" w:eastAsia="Arial" w:hAnsi="Arial"/>
                <w:sz w:val="18"/>
                <w:szCs w:val="18"/>
                <w:b w:val="1"/>
                <w:bCs w:val="1"/>
                <w:color w:val="auto"/>
              </w:rPr>
              <w:t>Consolidated Quick Ratio (on a consolidated basis)</w:t>
            </w:r>
          </w:p>
        </w:tc>
        <w:tc>
          <w:tcPr>
            <w:tcW w:w="2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98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 Consolidated Quick Assets:</w:t>
            </w:r>
          </w:p>
        </w:tc>
        <w:tc>
          <w:tcPr>
            <w:tcW w:w="2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Net trade accounts receivable</w:t>
            </w:r>
          </w:p>
        </w:tc>
        <w:tc>
          <w:tcPr>
            <w:tcW w:w="2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gridSpan w:val="4"/>
          </w:tcPr>
          <w:p>
            <w:pPr>
              <w:spacing w:after="0"/>
              <w:rPr>
                <w:sz w:val="20"/>
                <w:szCs w:val="20"/>
                <w:color w:val="auto"/>
              </w:rPr>
            </w:pPr>
            <w:r>
              <w:rPr>
                <w:rFonts w:ascii="Arial" w:cs="Arial" w:eastAsia="Arial" w:hAnsi="Arial"/>
                <w:sz w:val="18"/>
                <w:szCs w:val="18"/>
                <w:color w:val="auto"/>
              </w:rPr>
              <w:t>+ Marketable securities not classified as long-term investments</w:t>
            </w:r>
          </w:p>
        </w:tc>
        <w:tc>
          <w:tcPr>
            <w:tcW w:w="2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Consolidated Quick Assets</w:t>
            </w:r>
          </w:p>
        </w:tc>
        <w:tc>
          <w:tcPr>
            <w:tcW w:w="2120" w:type="dxa"/>
            <w:vAlign w:val="bottom"/>
            <w:shd w:val="clear" w:color="auto" w:fill="CCEEFF"/>
          </w:tcPr>
          <w:p>
            <w:pPr>
              <w:ind w:left="1560"/>
              <w:spacing w:after="0"/>
              <w:rPr>
                <w:sz w:val="20"/>
                <w:szCs w:val="20"/>
                <w:color w:val="auto"/>
              </w:rPr>
            </w:pPr>
            <w:r>
              <w:rPr>
                <w:rFonts w:ascii="Arial" w:cs="Arial" w:eastAsia="Arial" w:hAnsi="Arial"/>
                <w:sz w:val="18"/>
                <w:szCs w:val="18"/>
                <w:b w:val="1"/>
                <w:bCs w:val="1"/>
                <w:color w:val="auto"/>
              </w:rPr>
              <w:t>1(A)</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360" w:type="dxa"/>
            <w:vAlign w:val="bottom"/>
            <w:gridSpan w:val="4"/>
          </w:tcPr>
          <w:p>
            <w:pPr>
              <w:spacing w:after="0"/>
              <w:rPr>
                <w:sz w:val="20"/>
                <w:szCs w:val="20"/>
                <w:color w:val="auto"/>
              </w:rPr>
            </w:pPr>
            <w:r>
              <w:rPr>
                <w:rFonts w:ascii="Arial" w:cs="Arial" w:eastAsia="Arial" w:hAnsi="Arial"/>
                <w:sz w:val="18"/>
                <w:szCs w:val="18"/>
                <w:color w:val="auto"/>
              </w:rPr>
              <w:t>2. Consolidated Current Liabilities:</w:t>
            </w:r>
          </w:p>
        </w:tc>
        <w:tc>
          <w:tcPr>
            <w:tcW w:w="2120" w:type="dxa"/>
            <w:vAlign w:val="bottom"/>
          </w:tcPr>
          <w:p>
            <w:pPr>
              <w:ind w:left="1560"/>
              <w:spacing w:after="0"/>
              <w:rPr>
                <w:sz w:val="20"/>
                <w:szCs w:val="20"/>
                <w:color w:val="auto"/>
              </w:rPr>
            </w:pPr>
            <w:r>
              <w:rPr>
                <w:rFonts w:ascii="Arial" w:cs="Arial" w:eastAsia="Arial" w:hAnsi="Arial"/>
                <w:sz w:val="18"/>
                <w:szCs w:val="18"/>
                <w:b w:val="1"/>
                <w:bCs w:val="1"/>
                <w:color w:val="auto"/>
              </w:rPr>
              <w:t>2(A)</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Quick Ratio = 1(A) ÷ 2(A)</w:t>
            </w:r>
          </w:p>
        </w:tc>
        <w:tc>
          <w:tcPr>
            <w:tcW w:w="2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to 1.0</w:t>
            </w:r>
          </w:p>
        </w:tc>
        <w:tc>
          <w:tcPr>
            <w:tcW w:w="0" w:type="dxa"/>
            <w:vAlign w:val="bottom"/>
          </w:tcPr>
          <w:p>
            <w:pPr>
              <w:spacing w:after="0"/>
              <w:rPr>
                <w:sz w:val="1"/>
                <w:szCs w:val="1"/>
                <w:color w:val="auto"/>
              </w:rPr>
            </w:pPr>
          </w:p>
        </w:tc>
      </w:tr>
      <w:tr>
        <w:trPr>
          <w:trHeight w:val="223"/>
        </w:trPr>
        <w:tc>
          <w:tcPr>
            <w:tcW w:w="8360" w:type="dxa"/>
            <w:vAlign w:val="bottom"/>
            <w:gridSpan w:val="4"/>
          </w:tcPr>
          <w:p>
            <w:pPr>
              <w:spacing w:after="0"/>
              <w:rPr>
                <w:sz w:val="20"/>
                <w:szCs w:val="20"/>
                <w:color w:val="auto"/>
              </w:rPr>
            </w:pPr>
            <w:r>
              <w:rPr>
                <w:rFonts w:ascii="Arial" w:cs="Arial" w:eastAsia="Arial" w:hAnsi="Arial"/>
                <w:sz w:val="18"/>
                <w:szCs w:val="18"/>
                <w:color w:val="auto"/>
              </w:rPr>
              <w:t>Required ratio is:</w:t>
            </w:r>
          </w:p>
        </w:tc>
        <w:tc>
          <w:tcPr>
            <w:tcW w:w="21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10</w:t>
            </w: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to 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8" w:right="239" w:bottom="1440" w:gutter="0" w:footer="0" w:header="0"/>
        </w:sectPr>
      </w:pPr>
    </w:p>
    <w:bookmarkStart w:id="175" w:name="page176"/>
    <w:bookmarkEnd w:id="175"/>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1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Joinder Agreement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 ____], is by and among [_____________________, 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 (the “</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Fabrinet, an exempted company incorporated with limited liability in the Cayman Islands (the</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Bank of America, N.A., in its capacity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Credit Agreement, dated as of May 22, 2014 (as amended, modified, extended, restated, replaced, or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Borrower, the Guarantors, the Lenders and the Administrative Agent. Capitalized terms used herein but not otherwise defined shall have the meanings provided in the Credit Agreement.</w:t>
      </w:r>
    </w:p>
    <w:p>
      <w:pPr>
        <w:spacing w:after="0" w:line="1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Subsidiary Guarantor is an additional Loan Party, and, consequently, the Borrower is required by Section 6.13 of the Credit Agreement to cause the Subsidiary Guarantor to become a “Guarantor”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Accordingly, the Subsidiary Guarantor and the Borrower hereby agree as follows with the Administrative Agent, for the benefit of the Secured Parties:</w:t>
      </w:r>
    </w:p>
    <w:p>
      <w:pPr>
        <w:spacing w:after="0" w:line="248" w:lineRule="exact"/>
        <w:rPr>
          <w:sz w:val="20"/>
          <w:szCs w:val="20"/>
          <w:color w:val="auto"/>
        </w:rPr>
      </w:pPr>
    </w:p>
    <w:p>
      <w:pPr>
        <w:ind w:right="20" w:firstLine="464"/>
        <w:spacing w:after="0" w:line="293" w:lineRule="auto"/>
        <w:tabs>
          <w:tab w:leader="none" w:pos="636"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Subsidiary Guarantor hereby acknowledges, agrees and confirms that, by its execution of this Agreement, the Subsidiary Guarantor will be deemed to be a party to and a “Guarantor” under the Credit Agreement and shall have all of the obligations of a Guarantor thereunder as if it had executed the Credit Agreement. The Subsidiary Guarantor hereby ratifies, as of the date hereof, and agrees to be bound by, all representations and warranties, covenants and other terms, conditions and provisions of the Credit Agreement and the other applicable Loan Documents. Without limiting the generality of the foregoing terms of this Paragraph 1, the Subsidiary Guarantor hereby guarantees, jointly and severally together with the other Guarantors, the prompt payment of the Guaranteed Obligations in accordance with Article X of the Credit Agreement and subject to the terms and conditions set forth therein.</w:t>
      </w:r>
    </w:p>
    <w:p>
      <w:pPr>
        <w:spacing w:after="0" w:line="164" w:lineRule="exact"/>
        <w:rPr>
          <w:rFonts w:ascii="Arial" w:cs="Arial" w:eastAsia="Arial" w:hAnsi="Arial"/>
          <w:sz w:val="16"/>
          <w:szCs w:val="16"/>
          <w:color w:val="auto"/>
        </w:rPr>
      </w:pPr>
    </w:p>
    <w:p>
      <w:pPr>
        <w:ind w:right="60" w:firstLine="464"/>
        <w:spacing w:after="0" w:line="297" w:lineRule="auto"/>
        <w:tabs>
          <w:tab w:leader="none" w:pos="636"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After giving effect to the information set forth on Schedule A hereto, each of the Subsidiary Guarantor and the Borrower hereby agree that all of the representations and warranties contained in Article V of the Loan Agreement and each other Loan Document are true and correct in the case of representations and warranties that contain a materiality qualification, or true and correct in all material respects in the case of representations and warranties that do not contain a materiality qualification, as of the date hereof (except to the extent such representations and warranties relate to an earlier date, in which case such representations and warranties shall be true and correct, or true and correct in all material respects, as applicable, as of such earlier date).</w:t>
      </w:r>
    </w:p>
    <w:p>
      <w:pPr>
        <w:spacing w:after="0" w:line="158" w:lineRule="exact"/>
        <w:rPr>
          <w:rFonts w:ascii="Arial" w:cs="Arial" w:eastAsia="Arial" w:hAnsi="Arial"/>
          <w:sz w:val="16"/>
          <w:szCs w:val="16"/>
          <w:color w:val="auto"/>
        </w:rPr>
      </w:pPr>
    </w:p>
    <w:p>
      <w:pPr>
        <w:ind w:right="20" w:firstLine="464"/>
        <w:spacing w:after="0" w:line="259" w:lineRule="auto"/>
        <w:tabs>
          <w:tab w:leader="none" w:pos="6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Subsidiary Guarantor acknowledges and confirms that it has received a copy of the Credit Agreement and the schedules and exhibits thereto and each Loan Document and Collateral Document and the schedules and exhibits thereto. The information on the schedules to the Credit Agreement and the Collateral Documents are hereby supplemented (to the extent permitted under the Credit Agreement or Collateral Documents) to reflect the information shown on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464"/>
        <w:spacing w:after="0" w:line="259" w:lineRule="auto"/>
        <w:tabs>
          <w:tab w:leader="none" w:pos="6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Borrower confirms that the Credit Agreement is, and upon the Subsidiary Guarantor becoming a Guarantor, shall continue to be, in full force and effect. The parties hereto confirm and agree that immediately upon the Subsidiary Guarantor becoming a Guarantor the term “Obligations,” as used in the Credit Agreement, shall include all obligations of the Subsidiary Guarantor under the Credit Agreement and under each other Loan Document to which it is a party.</w:t>
      </w:r>
    </w:p>
    <w:p>
      <w:pPr>
        <w:sectPr>
          <w:pgSz w:w="11900" w:h="16838" w:orient="portrait"/>
          <w:cols w:equalWidth="0" w:num="1">
            <w:col w:w="11400"/>
          </w:cols>
          <w:pgMar w:left="240" w:top="270" w:right="259" w:bottom="1440" w:gutter="0" w:footer="0" w:header="0"/>
        </w:sectPr>
      </w:pPr>
    </w:p>
    <w:bookmarkStart w:id="176" w:name="page177"/>
    <w:bookmarkEnd w:id="176"/>
    <w:p>
      <w:pPr>
        <w:ind w:left="-40" w:firstLine="464"/>
        <w:spacing w:after="0" w:line="286" w:lineRule="auto"/>
        <w:tabs>
          <w:tab w:leader="none" w:pos="596" w:val="left"/>
        </w:tabs>
        <w:numPr>
          <w:ilvl w:val="0"/>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Borrower and the Subsidiary Guarantor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Agreement.</w:t>
      </w:r>
    </w:p>
    <w:p>
      <w:pPr>
        <w:spacing w:after="0" w:line="165" w:lineRule="exact"/>
        <w:rPr>
          <w:rFonts w:ascii="Arial" w:cs="Arial" w:eastAsia="Arial" w:hAnsi="Arial"/>
          <w:sz w:val="17"/>
          <w:szCs w:val="17"/>
          <w:color w:val="auto"/>
        </w:rPr>
      </w:pPr>
    </w:p>
    <w:p>
      <w:pPr>
        <w:ind w:left="-40" w:firstLine="464"/>
        <w:spacing w:after="0" w:line="264" w:lineRule="auto"/>
        <w:tabs>
          <w:tab w:leader="none" w:pos="59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which together shall constitute one instrument. Delivery of an executed counterpart of a signature page of this Agreement by fax transmission or other electronic mail transmission (e.g. “pdf” or “tif”) shall be effective as delivery of a manually executed counterpart of this Agreement.</w:t>
      </w:r>
    </w:p>
    <w:p>
      <w:pPr>
        <w:spacing w:after="0" w:line="181" w:lineRule="exact"/>
        <w:rPr>
          <w:rFonts w:ascii="Arial" w:cs="Arial" w:eastAsia="Arial" w:hAnsi="Arial"/>
          <w:sz w:val="18"/>
          <w:szCs w:val="18"/>
          <w:color w:val="auto"/>
        </w:rPr>
      </w:pPr>
    </w:p>
    <w:p>
      <w:pPr>
        <w:ind w:left="-40" w:firstLine="464"/>
        <w:spacing w:after="0" w:line="308" w:lineRule="auto"/>
        <w:tabs>
          <w:tab w:leader="none" w:pos="59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The terms of Sections 11.14 and 11.15 of the Credit Agreement are incorporated herein by reference, mutatis mutandis, and the parties hereto agree to such terms.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340"/>
          </w:cols>
          <w:pgMar w:left="280" w:top="274" w:right="279" w:bottom="1440" w:gutter="0" w:footer="0" w:header="0"/>
        </w:sectPr>
      </w:pPr>
    </w:p>
    <w:bookmarkStart w:id="177" w:name="page178"/>
    <w:bookmarkEnd w:id="177"/>
    <w:p>
      <w:pPr>
        <w:ind w:right="20" w:firstLine="913"/>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each of the Borrower and the Subsidiary Guarantor has caused this Agreement to be duly executed by its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and the Administrative Agent has caused the same to be accepted by its authorized officer, as of the day and year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Arial" w:cs="Arial" w:eastAsia="Arial" w:hAnsi="Arial"/>
                <w:sz w:val="18"/>
                <w:szCs w:val="18"/>
                <w:b w:val="1"/>
                <w:bCs w:val="1"/>
                <w:color w:val="auto"/>
              </w:rPr>
              <w:t>SUBSIDIARY GUARANTOR:</w:t>
            </w:r>
          </w:p>
        </w:tc>
        <w:tc>
          <w:tcPr>
            <w:tcW w:w="7320" w:type="dxa"/>
            <w:vAlign w:val="bottom"/>
            <w:gridSpan w:val="2"/>
          </w:tcPr>
          <w:p>
            <w:pPr>
              <w:ind w:left="1720"/>
              <w:spacing w:after="0"/>
              <w:rPr>
                <w:sz w:val="20"/>
                <w:szCs w:val="20"/>
                <w:color w:val="auto"/>
              </w:rPr>
            </w:pPr>
            <w:r>
              <w:rPr>
                <w:rFonts w:ascii="Arial" w:cs="Arial" w:eastAsia="Arial" w:hAnsi="Arial"/>
                <w:sz w:val="18"/>
                <w:szCs w:val="18"/>
                <w:b w:val="1"/>
                <w:bCs w:val="1"/>
                <w:color w:val="auto"/>
              </w:rPr>
              <w:t>[SUBSIDIARY GUARANTOR]</w:t>
            </w:r>
          </w:p>
        </w:tc>
      </w:tr>
      <w:tr>
        <w:trPr>
          <w:trHeight w:val="432"/>
        </w:trPr>
        <w:tc>
          <w:tcPr>
            <w:tcW w:w="4100" w:type="dxa"/>
            <w:vAlign w:val="bottom"/>
          </w:tcPr>
          <w:p>
            <w:pPr>
              <w:spacing w:after="0"/>
              <w:rPr>
                <w:sz w:val="24"/>
                <w:szCs w:val="24"/>
                <w:color w:val="auto"/>
              </w:rPr>
            </w:pPr>
          </w:p>
        </w:tc>
        <w:tc>
          <w:tcPr>
            <w:tcW w:w="7320" w:type="dxa"/>
            <w:vAlign w:val="bottom"/>
            <w:gridSpan w:val="2"/>
          </w:tcPr>
          <w:p>
            <w:pPr>
              <w:ind w:left="1720"/>
              <w:spacing w:after="0"/>
              <w:rPr>
                <w:sz w:val="20"/>
                <w:szCs w:val="20"/>
                <w:color w:val="auto"/>
              </w:rPr>
            </w:pPr>
            <w:r>
              <w:rPr>
                <w:rFonts w:ascii="Arial" w:cs="Arial" w:eastAsia="Arial" w:hAnsi="Arial"/>
                <w:sz w:val="18"/>
                <w:szCs w:val="18"/>
                <w:color w:val="auto"/>
              </w:rPr>
              <w:t>By:</w:t>
            </w:r>
          </w:p>
        </w:tc>
      </w:tr>
      <w:tr>
        <w:trPr>
          <w:trHeight w:val="196"/>
        </w:trPr>
        <w:tc>
          <w:tcPr>
            <w:tcW w:w="4100" w:type="dxa"/>
            <w:vAlign w:val="bottom"/>
          </w:tcPr>
          <w:p>
            <w:pPr>
              <w:spacing w:after="0"/>
              <w:rPr>
                <w:sz w:val="17"/>
                <w:szCs w:val="17"/>
                <w:color w:val="auto"/>
              </w:rPr>
            </w:pPr>
          </w:p>
        </w:tc>
        <w:tc>
          <w:tcPr>
            <w:tcW w:w="2200" w:type="dxa"/>
            <w:vAlign w:val="bottom"/>
          </w:tcPr>
          <w:p>
            <w:pPr>
              <w:ind w:left="1720"/>
              <w:spacing w:after="0" w:line="196" w:lineRule="exact"/>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bottom w:val="single" w:sz="8" w:color="auto"/>
            </w:tcBorders>
          </w:tcPr>
          <w:p>
            <w:pPr>
              <w:spacing w:after="0"/>
              <w:rPr>
                <w:sz w:val="17"/>
                <w:szCs w:val="17"/>
                <w:color w:val="auto"/>
              </w:rPr>
            </w:pPr>
          </w:p>
        </w:tc>
      </w:tr>
      <w:tr>
        <w:trPr>
          <w:trHeight w:val="210"/>
        </w:trPr>
        <w:tc>
          <w:tcPr>
            <w:tcW w:w="4100" w:type="dxa"/>
            <w:vAlign w:val="bottom"/>
          </w:tcPr>
          <w:p>
            <w:pPr>
              <w:spacing w:after="0"/>
              <w:rPr>
                <w:sz w:val="18"/>
                <w:szCs w:val="18"/>
                <w:color w:val="auto"/>
              </w:rPr>
            </w:pPr>
          </w:p>
        </w:tc>
        <w:tc>
          <w:tcPr>
            <w:tcW w:w="2200" w:type="dxa"/>
            <w:vAlign w:val="bottom"/>
          </w:tcPr>
          <w:p>
            <w:pPr>
              <w:ind w:left="172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18"/>
                <w:szCs w:val="18"/>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BORROWER:</w:t>
            </w:r>
          </w:p>
        </w:tc>
        <w:tc>
          <w:tcPr>
            <w:tcW w:w="1340" w:type="dxa"/>
            <w:vAlign w:val="bottom"/>
          </w:tcPr>
          <w:p>
            <w:pPr>
              <w:spacing w:after="0"/>
              <w:rPr>
                <w:sz w:val="19"/>
                <w:szCs w:val="19"/>
                <w:color w:val="auto"/>
              </w:rPr>
            </w:pPr>
          </w:p>
        </w:tc>
        <w:tc>
          <w:tcPr>
            <w:tcW w:w="6840" w:type="dxa"/>
            <w:vAlign w:val="bottom"/>
            <w:gridSpan w:val="2"/>
          </w:tcPr>
          <w:p>
            <w:pPr>
              <w:ind w:left="1240"/>
              <w:spacing w:after="0"/>
              <w:rPr>
                <w:sz w:val="20"/>
                <w:szCs w:val="20"/>
                <w:color w:val="auto"/>
              </w:rPr>
            </w:pPr>
            <w:r>
              <w:rPr>
                <w:rFonts w:ascii="Arial" w:cs="Arial" w:eastAsia="Arial" w:hAnsi="Arial"/>
                <w:sz w:val="18"/>
                <w:szCs w:val="18"/>
                <w:b w:val="1"/>
                <w:bCs w:val="1"/>
                <w:color w:val="auto"/>
              </w:rPr>
              <w:t>FABRINET,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40" w:type="dxa"/>
            <w:vAlign w:val="bottom"/>
            <w:gridSpan w:val="2"/>
          </w:tcPr>
          <w:p>
            <w:pPr>
              <w:ind w:left="1240"/>
              <w:spacing w:after="0"/>
              <w:rPr>
                <w:sz w:val="20"/>
                <w:szCs w:val="20"/>
                <w:color w:val="auto"/>
              </w:rPr>
            </w:pPr>
            <w:r>
              <w:rPr>
                <w:rFonts w:ascii="Arial" w:cs="Arial" w:eastAsia="Arial" w:hAnsi="Arial"/>
                <w:sz w:val="18"/>
                <w:szCs w:val="18"/>
                <w:color w:val="auto"/>
                <w:w w:val="99"/>
              </w:rPr>
              <w:t>an exempted company incorporated with limited liability in the Cayman</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40" w:type="dxa"/>
            <w:vAlign w:val="bottom"/>
            <w:gridSpan w:val="2"/>
          </w:tcPr>
          <w:p>
            <w:pPr>
              <w:ind w:left="1240"/>
              <w:spacing w:after="0"/>
              <w:rPr>
                <w:sz w:val="20"/>
                <w:szCs w:val="20"/>
                <w:color w:val="auto"/>
              </w:rPr>
            </w:pPr>
            <w:r>
              <w:rPr>
                <w:rFonts w:ascii="Arial" w:cs="Arial" w:eastAsia="Arial" w:hAnsi="Arial"/>
                <w:sz w:val="18"/>
                <w:szCs w:val="18"/>
                <w:color w:val="auto"/>
              </w:rPr>
              <w:t>Islands</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gridSpan w:val="2"/>
          </w:tcPr>
          <w:p>
            <w:pPr>
              <w:ind w:left="12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20" w:type="dxa"/>
            <w:vAlign w:val="bottom"/>
          </w:tcPr>
          <w:p>
            <w:pPr>
              <w:ind w:left="1240"/>
              <w:spacing w:after="0" w:line="196" w:lineRule="exact"/>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gridSpan w:val="4"/>
            <w:vMerge w:val="restart"/>
          </w:tcPr>
          <w:p>
            <w:pPr>
              <w:spacing w:after="0"/>
              <w:rPr>
                <w:sz w:val="20"/>
                <w:szCs w:val="20"/>
                <w:color w:val="auto"/>
              </w:rPr>
            </w:pPr>
            <w:r>
              <w:rPr>
                <w:rFonts w:ascii="Arial" w:cs="Arial" w:eastAsia="Arial" w:hAnsi="Arial"/>
                <w:sz w:val="18"/>
                <w:szCs w:val="18"/>
                <w:color w:val="auto"/>
              </w:rPr>
              <w:t>Acknowledged, accepted and agreed:</w:t>
            </w:r>
          </w:p>
        </w:tc>
        <w:tc>
          <w:tcPr>
            <w:tcW w:w="1340" w:type="dxa"/>
            <w:vAlign w:val="bottom"/>
          </w:tcPr>
          <w:p>
            <w:pPr>
              <w:spacing w:after="0"/>
              <w:rPr>
                <w:sz w:val="18"/>
                <w:szCs w:val="18"/>
                <w:color w:val="auto"/>
              </w:rPr>
            </w:pPr>
          </w:p>
        </w:tc>
        <w:tc>
          <w:tcPr>
            <w:tcW w:w="1720" w:type="dxa"/>
            <w:vAlign w:val="bottom"/>
          </w:tcPr>
          <w:p>
            <w:pPr>
              <w:ind w:left="124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240" w:type="dxa"/>
            <w:vAlign w:val="bottom"/>
            <w:gridSpan w:val="4"/>
            <w:vMerge w:val="continue"/>
          </w:tcPr>
          <w:p>
            <w:pPr>
              <w:spacing w:after="0"/>
              <w:rPr>
                <w:sz w:val="24"/>
                <w:szCs w:val="24"/>
                <w:color w:val="auto"/>
              </w:rPr>
            </w:pP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40" w:type="dxa"/>
            <w:vAlign w:val="bottom"/>
            <w:gridSpan w:val="4"/>
          </w:tcPr>
          <w:p>
            <w:pPr>
              <w:spacing w:after="0"/>
              <w:rPr>
                <w:sz w:val="20"/>
                <w:szCs w:val="20"/>
                <w:color w:val="auto"/>
              </w:rPr>
            </w:pPr>
            <w:r>
              <w:rPr>
                <w:rFonts w:ascii="Arial" w:cs="Arial" w:eastAsia="Arial" w:hAnsi="Arial"/>
                <w:sz w:val="18"/>
                <w:szCs w:val="18"/>
                <w:color w:val="auto"/>
              </w:rPr>
              <w:t>as Administrative Agent</w:t>
            </w:r>
          </w:p>
        </w:tc>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2900" w:type="dxa"/>
            <w:vAlign w:val="bottom"/>
            <w:tcBorders>
              <w:bottom w:val="single" w:sz="8" w:color="auto"/>
            </w:tcBorders>
            <w:gridSpan w:val="3"/>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gridSpan w:val="4"/>
          </w:tcPr>
          <w:p>
            <w:pPr>
              <w:spacing w:after="0"/>
              <w:rPr>
                <w:sz w:val="20"/>
                <w:szCs w:val="20"/>
                <w:color w:val="auto"/>
              </w:rPr>
            </w:pPr>
            <w:r>
              <w:rPr>
                <w:rFonts w:ascii="Arial" w:cs="Arial" w:eastAsia="Arial" w:hAnsi="Arial"/>
                <w:sz w:val="18"/>
                <w:szCs w:val="18"/>
                <w:color w:val="auto"/>
              </w:rPr>
              <w:t>Name:</w:t>
            </w:r>
          </w:p>
        </w:tc>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40" w:type="dxa"/>
            <w:vAlign w:val="bottom"/>
            <w:tcBorders>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180" w:type="dxa"/>
            <w:vAlign w:val="bottom"/>
            <w:gridSpan w:val="3"/>
          </w:tcPr>
          <w:p>
            <w:pPr>
              <w:ind w:left="540"/>
              <w:spacing w:after="0"/>
              <w:rPr>
                <w:sz w:val="20"/>
                <w:szCs w:val="20"/>
                <w:color w:val="auto"/>
              </w:rPr>
            </w:pPr>
            <w:r>
              <w:rPr>
                <w:rFonts w:ascii="Arial" w:cs="Arial" w:eastAsia="Arial" w:hAnsi="Arial"/>
                <w:sz w:val="18"/>
                <w:szCs w:val="18"/>
                <w:color w:val="auto"/>
              </w:rPr>
              <w:t>[SIGNATURE PAGE TO JOINDER AGREEMENT]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78" w:name="page179"/>
    <w:bookmarkEnd w:id="17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Schedules to Credit Agreement and Collateral Documents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BE COMPLETED BY BORROWER]</w:t>
      </w:r>
    </w:p>
    <w:p>
      <w:pPr>
        <w:sectPr>
          <w:pgSz w:w="11900" w:h="16838" w:orient="portrait"/>
          <w:cols w:equalWidth="0" w:num="1">
            <w:col w:w="9019"/>
          </w:cols>
          <w:pgMar w:left="1440" w:top="270"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160" w:type="dxa"/>
            <w:vAlign w:val="bottom"/>
            <w:gridSpan w:val="4"/>
          </w:tcPr>
          <w:p>
            <w:pPr>
              <w:jc w:val="center"/>
              <w:ind w:right="5220"/>
              <w:spacing w:after="0"/>
              <w:rPr>
                <w:sz w:val="20"/>
                <w:szCs w:val="20"/>
                <w:color w:val="auto"/>
              </w:rPr>
            </w:pPr>
            <w:r>
              <w:rPr>
                <w:rFonts w:ascii="Arial" w:cs="Arial" w:eastAsia="Arial" w:hAnsi="Arial"/>
                <w:sz w:val="18"/>
                <w:szCs w:val="18"/>
                <w:b w:val="1"/>
                <w:bCs w:val="1"/>
                <w:color w:val="auto"/>
              </w:rPr>
              <w:t>EXHIBIT E</w:t>
            </w:r>
          </w:p>
        </w:tc>
      </w:tr>
      <w:tr>
        <w:trPr>
          <w:trHeight w:val="345"/>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Form of</w:t>
            </w:r>
          </w:p>
        </w:tc>
        <w:tc>
          <w:tcPr>
            <w:tcW w:w="5220" w:type="dxa"/>
            <w:vAlign w:val="bottom"/>
            <w:gridSpan w:val="3"/>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160" w:type="dxa"/>
            <w:vAlign w:val="bottom"/>
            <w:gridSpan w:val="4"/>
          </w:tcPr>
          <w:p>
            <w:pPr>
              <w:jc w:val="center"/>
              <w:ind w:right="5220"/>
              <w:spacing w:after="0"/>
              <w:rPr>
                <w:sz w:val="20"/>
                <w:szCs w:val="20"/>
                <w:color w:val="auto"/>
              </w:rPr>
            </w:pPr>
            <w:r>
              <w:rPr>
                <w:rFonts w:ascii="Arial" w:cs="Arial" w:eastAsia="Arial" w:hAnsi="Arial"/>
                <w:sz w:val="18"/>
                <w:szCs w:val="18"/>
                <w:b w:val="1"/>
                <w:bCs w:val="1"/>
                <w:color w:val="auto"/>
                <w:w w:val="91"/>
              </w:rPr>
              <w:t>Loan Notice</w:t>
            </w:r>
          </w:p>
        </w:tc>
      </w:tr>
      <w:tr>
        <w:trPr>
          <w:trHeight w:val="459"/>
        </w:trPr>
        <w:tc>
          <w:tcPr>
            <w:tcW w:w="440" w:type="dxa"/>
            <w:vAlign w:val="bottom"/>
          </w:tcPr>
          <w:p>
            <w:pPr>
              <w:spacing w:after="0"/>
              <w:rPr>
                <w:sz w:val="20"/>
                <w:szCs w:val="20"/>
                <w:color w:val="auto"/>
              </w:rPr>
            </w:pPr>
            <w:r>
              <w:rPr>
                <w:rFonts w:ascii="Arial" w:cs="Arial" w:eastAsia="Arial" w:hAnsi="Arial"/>
                <w:sz w:val="18"/>
                <w:szCs w:val="18"/>
                <w:color w:val="auto"/>
              </w:rPr>
              <w:t>TO:</w:t>
            </w:r>
          </w:p>
        </w:tc>
        <w:tc>
          <w:tcPr>
            <w:tcW w:w="10960" w:type="dxa"/>
            <w:vAlign w:val="bottom"/>
            <w:gridSpan w:val="7"/>
          </w:tcPr>
          <w:p>
            <w:pPr>
              <w:ind w:left="140"/>
              <w:spacing w:after="0"/>
              <w:rPr>
                <w:sz w:val="20"/>
                <w:szCs w:val="20"/>
                <w:color w:val="auto"/>
              </w:rPr>
            </w:pPr>
            <w:r>
              <w:rPr>
                <w:rFonts w:ascii="Arial" w:cs="Arial" w:eastAsia="Arial" w:hAnsi="Arial"/>
                <w:sz w:val="18"/>
                <w:szCs w:val="18"/>
                <w:color w:val="auto"/>
              </w:rPr>
              <w:t>Bank of America, N.A., as Administrative Agent</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RE:</w:t>
            </w:r>
          </w:p>
        </w:tc>
        <w:tc>
          <w:tcPr>
            <w:tcW w:w="10960" w:type="dxa"/>
            <w:vAlign w:val="bottom"/>
            <w:gridSpan w:val="7"/>
          </w:tcPr>
          <w:p>
            <w:pPr>
              <w:ind w:left="140"/>
              <w:spacing w:after="0"/>
              <w:rPr>
                <w:sz w:val="20"/>
                <w:szCs w:val="20"/>
                <w:color w:val="auto"/>
              </w:rPr>
            </w:pPr>
            <w:r>
              <w:rPr>
                <w:rFonts w:ascii="Arial" w:cs="Arial" w:eastAsia="Arial" w:hAnsi="Arial"/>
                <w:sz w:val="18"/>
                <w:szCs w:val="18"/>
                <w:color w:val="auto"/>
                <w:w w:val="91"/>
              </w:rPr>
              <w:t>Credit Agreement, dated as of May 22, 2014, by and among Fabrinet, an exempted company incorporated with limited liability in the Cayman Islands</w:t>
            </w:r>
          </w:p>
        </w:tc>
      </w:tr>
      <w:tr>
        <w:trPr>
          <w:trHeight w:val="190"/>
        </w:trPr>
        <w:tc>
          <w:tcPr>
            <w:tcW w:w="440" w:type="dxa"/>
            <w:vAlign w:val="bottom"/>
          </w:tcPr>
          <w:p>
            <w:pPr>
              <w:spacing w:after="0"/>
              <w:rPr>
                <w:sz w:val="16"/>
                <w:szCs w:val="16"/>
                <w:color w:val="auto"/>
              </w:rPr>
            </w:pPr>
          </w:p>
        </w:tc>
        <w:tc>
          <w:tcPr>
            <w:tcW w:w="10960" w:type="dxa"/>
            <w:vAlign w:val="bottom"/>
            <w:gridSpan w:val="7"/>
          </w:tcPr>
          <w:p>
            <w:pPr>
              <w:ind w:left="140"/>
              <w:spacing w:after="0" w:line="190" w:lineRule="exact"/>
              <w:rPr>
                <w:sz w:val="20"/>
                <w:szCs w:val="20"/>
                <w:color w:val="auto"/>
              </w:rPr>
            </w:pPr>
            <w:r>
              <w:rPr>
                <w:rFonts w:ascii="Arial" w:cs="Arial" w:eastAsia="Arial" w:hAnsi="Arial"/>
                <w:sz w:val="18"/>
                <w:szCs w:val="18"/>
                <w:color w:val="auto"/>
                <w:w w:val="96"/>
              </w:rPr>
              <w:t>(the “Company”), the Guarantors, the Designated Borrowers, the Lenders and Bank of America, N.A., as Administrative Agent (as amended,</w:t>
            </w: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960" w:type="dxa"/>
            <w:vAlign w:val="bottom"/>
            <w:gridSpan w:val="7"/>
          </w:tcPr>
          <w:p>
            <w:pPr>
              <w:ind w:left="140"/>
              <w:spacing w:after="0" w:line="196" w:lineRule="exact"/>
              <w:rPr>
                <w:sz w:val="20"/>
                <w:szCs w:val="20"/>
                <w:color w:val="auto"/>
              </w:rPr>
            </w:pPr>
            <w:r>
              <w:rPr>
                <w:rFonts w:ascii="Arial" w:cs="Arial" w:eastAsia="Arial" w:hAnsi="Arial"/>
                <w:sz w:val="18"/>
                <w:szCs w:val="18"/>
                <w:color w:val="auto"/>
                <w:w w:val="92"/>
              </w:rPr>
              <w:t>modified, extended, restated, replaced, or supplemented from time to time, the “Credit Agreement”; capitalized terms used herein and not otherwise</w:t>
            </w:r>
          </w:p>
        </w:tc>
      </w:tr>
      <w:tr>
        <w:trPr>
          <w:trHeight w:val="237"/>
        </w:trPr>
        <w:tc>
          <w:tcPr>
            <w:tcW w:w="440" w:type="dxa"/>
            <w:vAlign w:val="bottom"/>
          </w:tcPr>
          <w:p>
            <w:pPr>
              <w:spacing w:after="0"/>
              <w:rPr>
                <w:sz w:val="20"/>
                <w:szCs w:val="20"/>
                <w:color w:val="auto"/>
              </w:rPr>
            </w:pPr>
          </w:p>
        </w:tc>
        <w:tc>
          <w:tcPr>
            <w:tcW w:w="5920" w:type="dxa"/>
            <w:vAlign w:val="bottom"/>
            <w:gridSpan w:val="5"/>
          </w:tcPr>
          <w:p>
            <w:pPr>
              <w:ind w:left="140"/>
              <w:spacing w:after="0"/>
              <w:rPr>
                <w:sz w:val="20"/>
                <w:szCs w:val="20"/>
                <w:color w:val="auto"/>
              </w:rPr>
            </w:pPr>
            <w:r>
              <w:rPr>
                <w:rFonts w:ascii="Arial" w:cs="Arial" w:eastAsia="Arial" w:hAnsi="Arial"/>
                <w:sz w:val="18"/>
                <w:szCs w:val="18"/>
                <w:color w:val="auto"/>
              </w:rPr>
              <w:t>defined shall have the meanings set forth in the Credit Agreement)</w:t>
            </w:r>
          </w:p>
        </w:tc>
        <w:tc>
          <w:tcPr>
            <w:tcW w:w="1300" w:type="dxa"/>
            <w:vAlign w:val="bottom"/>
            <w:tcBorders>
              <w:top w:val="single" w:sz="8" w:color="auto"/>
            </w:tcBorders>
          </w:tcPr>
          <w:p>
            <w:pPr>
              <w:spacing w:after="0"/>
              <w:rPr>
                <w:sz w:val="20"/>
                <w:szCs w:val="20"/>
                <w:color w:val="auto"/>
              </w:rPr>
            </w:pPr>
          </w:p>
        </w:tc>
        <w:tc>
          <w:tcPr>
            <w:tcW w:w="37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220980</wp:posOffset>
            </wp:positionV>
            <wp:extent cx="61575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(select one):</w:t>
      </w:r>
    </w:p>
    <w:p>
      <w:pPr>
        <w:spacing w:after="0" w:line="252" w:lineRule="exact"/>
        <w:rPr>
          <w:sz w:val="20"/>
          <w:szCs w:val="20"/>
          <w:color w:val="auto"/>
        </w:rPr>
      </w:pPr>
    </w:p>
    <w:p>
      <w:pPr>
        <w:ind w:left="2100" w:hanging="377"/>
        <w:spacing w:after="0"/>
        <w:tabs>
          <w:tab w:leader="none" w:pos="2100" w:val="left"/>
        </w:tabs>
        <w:numPr>
          <w:ilvl w:val="0"/>
          <w:numId w:val="210"/>
        </w:numPr>
        <w:rPr>
          <w:rFonts w:ascii="MS PGothic" w:cs="MS PGothic" w:eastAsia="MS PGothic" w:hAnsi="MS PGothic"/>
          <w:sz w:val="18"/>
          <w:szCs w:val="18"/>
          <w:color w:val="auto"/>
        </w:rPr>
      </w:pPr>
      <w:r>
        <w:rPr>
          <w:rFonts w:ascii="Arial" w:cs="Arial" w:eastAsia="Arial" w:hAnsi="Arial"/>
          <w:sz w:val="18"/>
          <w:szCs w:val="18"/>
          <w:color w:val="auto"/>
        </w:rPr>
        <w:t xml:space="preserve">A Borrowing of </w:t>
      </w:r>
      <w:r>
        <w:rPr>
          <w:rFonts w:ascii="Arial" w:cs="Arial" w:eastAsia="Arial" w:hAnsi="Arial"/>
          <w:sz w:val="18"/>
          <w:szCs w:val="18"/>
          <w:color w:val="auto"/>
          <w:strike w:val="1"/>
        </w:rPr>
        <w:t>[</w:t>
      </w:r>
      <w:r>
        <w:rPr>
          <w:rFonts w:ascii="Arial" w:cs="Arial" w:eastAsia="Arial" w:hAnsi="Arial"/>
          <w:sz w:val="18"/>
          <w:szCs w:val="18"/>
          <w:color w:val="auto"/>
        </w:rPr>
        <w:t>Revolving</w:t>
      </w:r>
      <w:r>
        <w:rPr>
          <w:rFonts w:ascii="Arial" w:cs="Arial" w:eastAsia="Arial" w:hAnsi="Arial"/>
          <w:sz w:val="18"/>
          <w:szCs w:val="18"/>
          <w:color w:val="auto"/>
          <w:strike w:val="1"/>
        </w:rPr>
        <w:t>][Term]</w:t>
      </w:r>
      <w:r>
        <w:rPr>
          <w:rFonts w:ascii="Arial" w:cs="Arial" w:eastAsia="Arial" w:hAnsi="Arial"/>
          <w:sz w:val="18"/>
          <w:szCs w:val="18"/>
          <w:color w:val="auto"/>
        </w:rPr>
        <w:t xml:space="preserve"> Loans</w:t>
      </w:r>
    </w:p>
    <w:p>
      <w:pPr>
        <w:spacing w:after="0" w:line="225" w:lineRule="exact"/>
        <w:rPr>
          <w:rFonts w:ascii="MS PGothic" w:cs="MS PGothic" w:eastAsia="MS PGothic" w:hAnsi="MS PGothic"/>
          <w:sz w:val="18"/>
          <w:szCs w:val="18"/>
          <w:color w:val="auto"/>
        </w:rPr>
      </w:pPr>
    </w:p>
    <w:p>
      <w:pPr>
        <w:ind w:left="2100" w:hanging="377"/>
        <w:spacing w:after="0"/>
        <w:tabs>
          <w:tab w:leader="none" w:pos="2100" w:val="left"/>
        </w:tabs>
        <w:numPr>
          <w:ilvl w:val="0"/>
          <w:numId w:val="210"/>
        </w:numPr>
        <w:rPr>
          <w:rFonts w:ascii="MS PGothic" w:cs="MS PGothic" w:eastAsia="MS PGothic" w:hAnsi="MS PGothic"/>
          <w:sz w:val="18"/>
          <w:szCs w:val="18"/>
          <w:color w:val="auto"/>
        </w:rPr>
      </w:pPr>
      <w:r>
        <w:rPr>
          <w:rFonts w:ascii="Arial" w:cs="Arial" w:eastAsia="Arial" w:hAnsi="Arial"/>
          <w:sz w:val="18"/>
          <w:szCs w:val="18"/>
          <w:color w:val="auto"/>
        </w:rPr>
        <w:t>A [conversion] or [continuation] of [Revolving][Term] Loans</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1.</w:t>
            </w:r>
          </w:p>
        </w:tc>
        <w:tc>
          <w:tcPr>
            <w:tcW w:w="480" w:type="dxa"/>
            <w:vAlign w:val="bottom"/>
          </w:tcPr>
          <w:p>
            <w:pPr>
              <w:ind w:left="220"/>
              <w:spacing w:after="0"/>
              <w:rPr>
                <w:sz w:val="20"/>
                <w:szCs w:val="20"/>
                <w:color w:val="auto"/>
              </w:rPr>
            </w:pPr>
            <w:r>
              <w:rPr>
                <w:rFonts w:ascii="Arial" w:cs="Arial" w:eastAsia="Arial" w:hAnsi="Arial"/>
                <w:sz w:val="18"/>
                <w:szCs w:val="18"/>
                <w:color w:val="auto"/>
                <w:w w:val="99"/>
              </w:rPr>
              <w:t>On</w:t>
            </w:r>
          </w:p>
        </w:tc>
        <w:tc>
          <w:tcPr>
            <w:tcW w:w="900" w:type="dxa"/>
            <w:vAlign w:val="bottom"/>
          </w:tcPr>
          <w:p>
            <w:pPr>
              <w:spacing w:after="0"/>
              <w:rPr>
                <w:sz w:val="17"/>
                <w:szCs w:val="17"/>
                <w:color w:val="auto"/>
              </w:rPr>
            </w:pPr>
          </w:p>
        </w:tc>
        <w:tc>
          <w:tcPr>
            <w:tcW w:w="2240" w:type="dxa"/>
            <w:vAlign w:val="bottom"/>
            <w:gridSpan w:val="5"/>
          </w:tcPr>
          <w:p>
            <w:pPr>
              <w:ind w:left="60"/>
              <w:spacing w:after="0"/>
              <w:rPr>
                <w:sz w:val="20"/>
                <w:szCs w:val="20"/>
                <w:color w:val="auto"/>
              </w:rPr>
            </w:pPr>
            <w:r>
              <w:rPr>
                <w:rFonts w:ascii="Arial" w:cs="Arial" w:eastAsia="Arial" w:hAnsi="Arial"/>
                <w:sz w:val="18"/>
                <w:szCs w:val="18"/>
                <w:color w:val="auto"/>
                <w:w w:val="92"/>
              </w:rPr>
              <w:t>(the “Credit Extension Date”).</w:t>
            </w: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2.</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90"/>
              </w:rPr>
              <w:t>In the amount of $</w:t>
            </w:r>
          </w:p>
        </w:tc>
        <w:tc>
          <w:tcPr>
            <w:tcW w:w="280" w:type="dxa"/>
            <w:vAlign w:val="bottom"/>
          </w:tcPr>
          <w:p>
            <w:pPr>
              <w:spacing w:after="0"/>
              <w:rPr>
                <w:sz w:val="24"/>
                <w:szCs w:val="24"/>
                <w:color w:val="auto"/>
              </w:rPr>
            </w:pPr>
          </w:p>
        </w:tc>
        <w:tc>
          <w:tcPr>
            <w:tcW w:w="16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ind w:left="1720" w:right="6620" w:firstLine="3"/>
        <w:spacing w:after="0" w:line="250" w:lineRule="exact"/>
        <w:tabs>
          <w:tab w:leader="none" w:pos="227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Comprised of: </w:t>
      </w:r>
      <w:r>
        <w:rPr>
          <w:rFonts w:ascii="MS PGothic" w:cs="MS PGothic" w:eastAsia="MS PGothic" w:hAnsi="MS PGothic"/>
          <w:sz w:val="18"/>
          <w:szCs w:val="18"/>
          <w:color w:val="auto"/>
        </w:rPr>
        <w:t>☐</w:t>
      </w:r>
      <w:r>
        <w:rPr>
          <w:rFonts w:ascii="Arial" w:cs="Arial" w:eastAsia="Arial" w:hAnsi="Arial"/>
          <w:sz w:val="18"/>
          <w:szCs w:val="18"/>
          <w:color w:val="auto"/>
        </w:rPr>
        <w:t xml:space="preserve"> Base Rate Loans </w:t>
      </w:r>
      <w:r>
        <w:rPr>
          <w:rFonts w:ascii="MS PGothic" w:cs="MS PGothic" w:eastAsia="MS PGothic" w:hAnsi="MS PGothic"/>
          <w:sz w:val="18"/>
          <w:szCs w:val="18"/>
          <w:color w:val="auto"/>
        </w:rPr>
        <w:t>☐</w:t>
      </w:r>
      <w:r>
        <w:rPr>
          <w:rFonts w:ascii="Arial" w:cs="Arial" w:eastAsia="Arial" w:hAnsi="Arial"/>
          <w:sz w:val="18"/>
          <w:szCs w:val="18"/>
          <w:color w:val="auto"/>
        </w:rPr>
        <w:t xml:space="preserve"> Eurodollar Rate Loans</w:t>
      </w:r>
    </w:p>
    <w:p>
      <w:pPr>
        <w:spacing w:after="0" w:line="182" w:lineRule="exact"/>
        <w:rPr>
          <w:rFonts w:ascii="Arial" w:cs="Arial" w:eastAsia="Arial" w:hAnsi="Arial"/>
          <w:sz w:val="18"/>
          <w:szCs w:val="18"/>
          <w:color w:val="auto"/>
        </w:rPr>
      </w:pPr>
    </w:p>
    <w:p>
      <w:pPr>
        <w:ind w:left="2280" w:hanging="557"/>
        <w:spacing w:after="0"/>
        <w:tabs>
          <w:tab w:leader="none" w:pos="2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For Eurodollar Rate Loans: with an Interest Period of __ months.</w:t>
      </w:r>
    </w:p>
    <w:p>
      <w:pPr>
        <w:spacing w:after="0" w:line="225" w:lineRule="exact"/>
        <w:rPr>
          <w:rFonts w:ascii="Arial" w:cs="Arial" w:eastAsia="Arial" w:hAnsi="Arial"/>
          <w:sz w:val="18"/>
          <w:szCs w:val="18"/>
          <w:color w:val="auto"/>
        </w:rPr>
      </w:pPr>
    </w:p>
    <w:p>
      <w:pPr>
        <w:ind w:left="2280" w:hanging="557"/>
        <w:spacing w:after="0"/>
        <w:tabs>
          <w:tab w:leader="none" w:pos="2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On behalf of _____________ </w:t>
      </w:r>
      <w:r>
        <w:rPr>
          <w:rFonts w:ascii="Arial" w:cs="Arial" w:eastAsia="Arial" w:hAnsi="Arial"/>
          <w:sz w:val="18"/>
          <w:szCs w:val="18"/>
          <w:i w:val="1"/>
          <w:iCs w:val="1"/>
          <w:color w:val="auto"/>
        </w:rPr>
        <w:t>[insert name of applicable Designated Borrower]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Revolving Borrowing requested herein complies with the proviso to the first sentence of Section 2.01(b) of the Credit Agreement.]</w:t>
      </w:r>
      <w:r>
        <w:rPr>
          <w:rFonts w:ascii="Arial" w:cs="Arial" w:eastAsia="Arial" w:hAnsi="Arial"/>
          <w:sz w:val="15"/>
          <w:szCs w:val="15"/>
          <w:color w:val="auto"/>
        </w:rPr>
        <w:t>1</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 hereby represents and warrants that the conditions specified in Section 4.02 of the Credit Agreement shall be satisfied on and as of the date of the Credit Extension Date.]</w:t>
      </w:r>
      <w:r>
        <w:rPr>
          <w:rFonts w:ascii="Arial" w:cs="Arial" w:eastAsia="Arial" w:hAnsi="Arial"/>
          <w:sz w:val="15"/>
          <w:szCs w:val="15"/>
          <w:color w:val="auto"/>
        </w:rPr>
        <w:t>2</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5"/>
          <w:szCs w:val="15"/>
          <w:color w:val="auto"/>
        </w:rPr>
      </w:pPr>
      <w:r>
        <w:rPr>
          <w:rFonts w:ascii="Arial" w:cs="Arial" w:eastAsia="Arial" w:hAnsi="Arial"/>
          <w:sz w:val="18"/>
          <w:szCs w:val="18"/>
          <w:color w:val="auto"/>
        </w:rPr>
        <w:t>Include this sentence in the case of a Revolving Borrowing.</w:t>
      </w:r>
    </w:p>
    <w:p>
      <w:pPr>
        <w:spacing w:after="0" w:line="22"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5"/>
          <w:szCs w:val="15"/>
          <w:color w:val="auto"/>
        </w:rPr>
      </w:pPr>
      <w:r>
        <w:rPr>
          <w:rFonts w:ascii="Arial" w:cs="Arial" w:eastAsia="Arial" w:hAnsi="Arial"/>
          <w:sz w:val="18"/>
          <w:szCs w:val="18"/>
          <w:color w:val="auto"/>
        </w:rPr>
        <w:t>Include this sentence only in the case of a Borrowing of Revolving Loans or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-61595</wp:posOffset>
            </wp:positionV>
            <wp:extent cx="6997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770" cy="8890"/>
                    </a:xfrm>
                    <a:prstGeom prst="rect">
                      <a:avLst/>
                    </a:prstGeom>
                    <a:noFill/>
                  </pic:spPr>
                </pic:pic>
              </a:graphicData>
            </a:graphic>
          </wp:anchor>
        </w:drawing>
      </w:r>
    </w:p>
    <w:p>
      <w:pPr>
        <w:sectPr>
          <w:pgSz w:w="11900" w:h="16838" w:orient="portrait"/>
          <w:cols w:equalWidth="0" w:num="1">
            <w:col w:w="11400"/>
          </w:cols>
          <w:pgMar w:left="240" w:top="257" w:right="259" w:bottom="1440" w:gutter="0" w:footer="0" w:header="0"/>
        </w:sectPr>
      </w:pPr>
    </w:p>
    <w:bookmarkStart w:id="180" w:name="page181"/>
    <w:bookmarkEnd w:id="18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has caused this Loan Notice to be duly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780" w:type="dxa"/>
            <w:vAlign w:val="bottom"/>
            <w:gridSpan w:val="2"/>
          </w:tcPr>
          <w:p>
            <w:pPr>
              <w:ind w:left="3180"/>
              <w:spacing w:after="0"/>
              <w:rPr>
                <w:sz w:val="20"/>
                <w:szCs w:val="20"/>
                <w:color w:val="auto"/>
              </w:rPr>
            </w:pPr>
            <w:r>
              <w:rPr>
                <w:rFonts w:ascii="Arial" w:cs="Arial" w:eastAsia="Arial" w:hAnsi="Arial"/>
                <w:sz w:val="18"/>
                <w:szCs w:val="18"/>
                <w:b w:val="1"/>
                <w:bCs w:val="1"/>
                <w:color w:val="auto"/>
              </w:rPr>
              <w:t>FABRINET,</w:t>
            </w:r>
          </w:p>
        </w:tc>
      </w:tr>
      <w:tr>
        <w:trPr>
          <w:trHeight w:val="216"/>
        </w:trPr>
        <w:tc>
          <w:tcPr>
            <w:tcW w:w="2640" w:type="dxa"/>
            <w:vAlign w:val="bottom"/>
          </w:tcPr>
          <w:p>
            <w:pPr>
              <w:spacing w:after="0"/>
              <w:rPr>
                <w:sz w:val="18"/>
                <w:szCs w:val="18"/>
                <w:color w:val="auto"/>
              </w:rPr>
            </w:pPr>
          </w:p>
        </w:tc>
        <w:tc>
          <w:tcPr>
            <w:tcW w:w="8780" w:type="dxa"/>
            <w:vAlign w:val="bottom"/>
            <w:gridSpan w:val="2"/>
          </w:tcPr>
          <w:p>
            <w:pPr>
              <w:ind w:left="3180"/>
              <w:spacing w:after="0"/>
              <w:rPr>
                <w:sz w:val="20"/>
                <w:szCs w:val="20"/>
                <w:color w:val="auto"/>
              </w:rPr>
            </w:pPr>
            <w:r>
              <w:rPr>
                <w:rFonts w:ascii="Arial" w:cs="Arial" w:eastAsia="Arial" w:hAnsi="Arial"/>
                <w:sz w:val="18"/>
                <w:szCs w:val="18"/>
                <w:color w:val="auto"/>
                <w:w w:val="99"/>
              </w:rPr>
              <w:t>an exempted company incorporated with limited liability in the Cayman</w:t>
            </w:r>
          </w:p>
        </w:tc>
      </w:tr>
      <w:tr>
        <w:trPr>
          <w:trHeight w:val="230"/>
        </w:trPr>
        <w:tc>
          <w:tcPr>
            <w:tcW w:w="2640" w:type="dxa"/>
            <w:vAlign w:val="bottom"/>
          </w:tcPr>
          <w:p>
            <w:pPr>
              <w:spacing w:after="0"/>
              <w:rPr>
                <w:sz w:val="20"/>
                <w:szCs w:val="20"/>
                <w:color w:val="auto"/>
              </w:rPr>
            </w:pPr>
          </w:p>
        </w:tc>
        <w:tc>
          <w:tcPr>
            <w:tcW w:w="8780" w:type="dxa"/>
            <w:vAlign w:val="bottom"/>
            <w:gridSpan w:val="2"/>
          </w:tcPr>
          <w:p>
            <w:pPr>
              <w:ind w:left="3180"/>
              <w:spacing w:after="0"/>
              <w:rPr>
                <w:sz w:val="20"/>
                <w:szCs w:val="20"/>
                <w:color w:val="auto"/>
              </w:rPr>
            </w:pPr>
            <w:r>
              <w:rPr>
                <w:rFonts w:ascii="Arial" w:cs="Arial" w:eastAsia="Arial" w:hAnsi="Arial"/>
                <w:sz w:val="18"/>
                <w:szCs w:val="18"/>
                <w:color w:val="auto"/>
              </w:rPr>
              <w:t>Islands</w:t>
            </w:r>
          </w:p>
        </w:tc>
      </w:tr>
      <w:tr>
        <w:trPr>
          <w:trHeight w:val="432"/>
        </w:trPr>
        <w:tc>
          <w:tcPr>
            <w:tcW w:w="2640" w:type="dxa"/>
            <w:vAlign w:val="bottom"/>
          </w:tcPr>
          <w:p>
            <w:pPr>
              <w:spacing w:after="0"/>
              <w:rPr>
                <w:sz w:val="24"/>
                <w:szCs w:val="24"/>
                <w:color w:val="auto"/>
              </w:rPr>
            </w:pPr>
          </w:p>
        </w:tc>
        <w:tc>
          <w:tcPr>
            <w:tcW w:w="8780" w:type="dxa"/>
            <w:vAlign w:val="bottom"/>
            <w:gridSpan w:val="2"/>
          </w:tcPr>
          <w:p>
            <w:pPr>
              <w:ind w:left="3180"/>
              <w:spacing w:after="0"/>
              <w:rPr>
                <w:sz w:val="20"/>
                <w:szCs w:val="20"/>
                <w:color w:val="auto"/>
              </w:rPr>
            </w:pPr>
            <w:r>
              <w:rPr>
                <w:rFonts w:ascii="Arial" w:cs="Arial" w:eastAsia="Arial" w:hAnsi="Arial"/>
                <w:sz w:val="18"/>
                <w:szCs w:val="18"/>
                <w:color w:val="auto"/>
              </w:rPr>
              <w:t>By:</w:t>
            </w:r>
          </w:p>
        </w:tc>
      </w:tr>
      <w:tr>
        <w:trPr>
          <w:trHeight w:val="196"/>
        </w:trPr>
        <w:tc>
          <w:tcPr>
            <w:tcW w:w="2640" w:type="dxa"/>
            <w:vAlign w:val="bottom"/>
          </w:tcPr>
          <w:p>
            <w:pPr>
              <w:spacing w:after="0"/>
              <w:rPr>
                <w:sz w:val="17"/>
                <w:szCs w:val="17"/>
                <w:color w:val="auto"/>
              </w:rPr>
            </w:pPr>
          </w:p>
        </w:tc>
        <w:tc>
          <w:tcPr>
            <w:tcW w:w="3660" w:type="dxa"/>
            <w:vAlign w:val="bottom"/>
          </w:tcPr>
          <w:p>
            <w:pPr>
              <w:ind w:left="3180"/>
              <w:spacing w:after="0" w:line="196" w:lineRule="exact"/>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bottom w:val="single" w:sz="8" w:color="auto"/>
            </w:tcBorders>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3660" w:type="dxa"/>
            <w:vAlign w:val="bottom"/>
          </w:tcPr>
          <w:p>
            <w:pPr>
              <w:ind w:left="318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18"/>
                <w:szCs w:val="18"/>
                <w:color w:val="auto"/>
              </w:rPr>
            </w:pPr>
          </w:p>
        </w:tc>
      </w:tr>
      <w:tr>
        <w:trPr>
          <w:trHeight w:val="426"/>
        </w:trPr>
        <w:tc>
          <w:tcPr>
            <w:tcW w:w="2640" w:type="dxa"/>
            <w:vAlign w:val="bottom"/>
          </w:tcPr>
          <w:p>
            <w:pPr>
              <w:spacing w:after="0"/>
              <w:rPr>
                <w:sz w:val="24"/>
                <w:szCs w:val="24"/>
                <w:color w:val="auto"/>
              </w:rPr>
            </w:pPr>
          </w:p>
        </w:tc>
        <w:tc>
          <w:tcPr>
            <w:tcW w:w="8780" w:type="dxa"/>
            <w:vAlign w:val="bottom"/>
            <w:gridSpan w:val="2"/>
          </w:tcPr>
          <w:p>
            <w:pPr>
              <w:ind w:left="1500"/>
              <w:spacing w:after="0"/>
              <w:rPr>
                <w:sz w:val="20"/>
                <w:szCs w:val="20"/>
                <w:color w:val="auto"/>
              </w:rPr>
            </w:pPr>
            <w:r>
              <w:rPr>
                <w:rFonts w:ascii="Arial" w:cs="Arial" w:eastAsia="Arial" w:hAnsi="Arial"/>
                <w:sz w:val="18"/>
                <w:szCs w:val="18"/>
                <w:color w:val="auto"/>
              </w:rPr>
              <w:t>[SIGNATURE PAGE TO LOAN NOTICE]</w:t>
            </w:r>
          </w:p>
        </w:tc>
      </w:tr>
    </w:tbl>
    <w:p>
      <w:pPr>
        <w:sectPr>
          <w:pgSz w:w="11900" w:h="16838" w:orient="portrait"/>
          <w:cols w:equalWidth="0" w:num="1">
            <w:col w:w="11420"/>
          </w:cols>
          <w:pgMar w:left="240" w:top="270" w:right="239" w:bottom="1440" w:gutter="0" w:footer="0" w:header="0"/>
        </w:sectPr>
      </w:pPr>
    </w:p>
    <w:bookmarkStart w:id="181" w:name="page182"/>
    <w:bookmarkEnd w:id="181"/>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1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Permitted Acquisition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 Credit Agreement, dated as of May 22, 2014, by and among Fabrinet, an exempted company incorporated with limited liability in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the Guarantors, the Designated Borrowers, the Lenders and Bank of America, N.A., as Administrative Agent (as amended, modified, extended, restated, replaced, or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shall have the meanings set forth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Borrower intends to make an Acquisition of [______] (the “</w:t>
      </w:r>
      <w:r>
        <w:rPr>
          <w:rFonts w:ascii="Arial" w:cs="Arial" w:eastAsia="Arial" w:hAnsi="Arial"/>
          <w:sz w:val="17"/>
          <w:szCs w:val="17"/>
          <w:u w:val="single" w:color="auto"/>
          <w:color w:val="auto"/>
        </w:rPr>
        <w:t>Target</w:t>
      </w:r>
      <w:r>
        <w:rPr>
          <w:rFonts w:ascii="Arial" w:cs="Arial" w:eastAsia="Arial" w:hAnsi="Arial"/>
          <w:sz w:val="17"/>
          <w:szCs w:val="17"/>
          <w:color w:val="auto"/>
        </w:rPr>
        <w:t>”). The undersigned Responsible Officer of Borrower, hereby certifies that:</w:t>
      </w:r>
    </w:p>
    <w:p>
      <w:pPr>
        <w:spacing w:after="0" w:line="129" w:lineRule="exact"/>
        <w:rPr>
          <w:sz w:val="20"/>
          <w:szCs w:val="20"/>
          <w:color w:val="auto"/>
        </w:rPr>
      </w:pPr>
    </w:p>
    <w:p>
      <w:pPr>
        <w:ind w:right="60" w:firstLine="921"/>
        <w:spacing w:after="0" w:line="277" w:lineRule="auto"/>
        <w:tabs>
          <w:tab w:leader="none" w:pos="115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Acquisition is an acquisition of a type of business (or assets used in a type of business) permitted to be engaged in by the Borrower and its Subsidiaries pursuant to the terms of the Credit Agreement.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 Default exists or would exist after giving effect to the Acquisition.</w:t>
      </w:r>
    </w:p>
    <w:p>
      <w:pPr>
        <w:spacing w:after="0" w:line="225" w:lineRule="exact"/>
        <w:rPr>
          <w:rFonts w:ascii="Arial" w:cs="Arial" w:eastAsia="Arial" w:hAnsi="Arial"/>
          <w:sz w:val="18"/>
          <w:szCs w:val="18"/>
          <w:color w:val="auto"/>
        </w:rPr>
      </w:pPr>
    </w:p>
    <w:p>
      <w:pPr>
        <w:ind w:right="480" w:firstLine="921"/>
        <w:spacing w:after="0" w:line="277" w:lineRule="auto"/>
        <w:tabs>
          <w:tab w:leader="none" w:pos="115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After giving effect to the Acquisition on a Pro Forma Basis, the Loan Parties are in compliance on a Pro Forma Basis with each of the financial covenants set forth in Section 7.11 of the Credit Agreement (as demonstrated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is a description of the material terms of the Acquisition (including a description of the business and the form of consideration).</w:t>
      </w:r>
    </w:p>
    <w:p>
      <w:pPr>
        <w:spacing w:after="0" w:line="170" w:lineRule="exact"/>
        <w:rPr>
          <w:rFonts w:ascii="Arial" w:cs="Arial" w:eastAsia="Arial" w:hAnsi="Arial"/>
          <w:sz w:val="18"/>
          <w:szCs w:val="18"/>
          <w:color w:val="auto"/>
        </w:rPr>
      </w:pPr>
    </w:p>
    <w:p>
      <w:pPr>
        <w:ind w:right="220" w:firstLine="921"/>
        <w:spacing w:after="0" w:line="277" w:lineRule="auto"/>
        <w:tabs>
          <w:tab w:leader="none" w:pos="115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are the [audited financial statements] [management-prepared financial statements] of the Target for its two most recent fiscal years and for any fiscal quarters ended within the fiscal year to date.</w:t>
      </w:r>
    </w:p>
    <w:p>
      <w:pPr>
        <w:spacing w:after="0" w:line="170" w:lineRule="exact"/>
        <w:rPr>
          <w:rFonts w:ascii="Arial" w:cs="Arial" w:eastAsia="Arial" w:hAnsi="Arial"/>
          <w:sz w:val="18"/>
          <w:szCs w:val="18"/>
          <w:color w:val="auto"/>
        </w:rPr>
      </w:pPr>
    </w:p>
    <w:p>
      <w:pPr>
        <w:ind w:right="220" w:firstLine="921"/>
        <w:spacing w:after="0" w:line="308" w:lineRule="auto"/>
        <w:tabs>
          <w:tab w:leader="none" w:pos="113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are the Consolidated projected income statements of the Borrower and its Subsidiaries (giving effect to the Acquisition) for the next four (4) full consecutive fiscal quarters beginning with the fiscal quarter in which the Acquisition is consummated.</w:t>
      </w:r>
    </w:p>
    <w:p>
      <w:pPr>
        <w:spacing w:after="0" w:line="146" w:lineRule="exact"/>
        <w:rPr>
          <w:rFonts w:ascii="Arial" w:cs="Arial" w:eastAsia="Arial" w:hAnsi="Arial"/>
          <w:sz w:val="17"/>
          <w:szCs w:val="17"/>
          <w:color w:val="auto"/>
        </w:rPr>
      </w:pPr>
    </w:p>
    <w:p>
      <w:pPr>
        <w:ind w:right="160" w:firstLine="921"/>
        <w:spacing w:after="0" w:line="277" w:lineRule="auto"/>
        <w:tabs>
          <w:tab w:leader="none" w:pos="11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Acquisition is not a “hostile” acquisition and has been approved by the Board of Directors and/or shareholders (or equivalents), to the extent required by applicable Law, of the applicable Loan Party and the Target.</w:t>
      </w:r>
    </w:p>
    <w:p>
      <w:pPr>
        <w:spacing w:after="0" w:line="170" w:lineRule="exact"/>
        <w:rPr>
          <w:rFonts w:ascii="Arial" w:cs="Arial" w:eastAsia="Arial" w:hAnsi="Arial"/>
          <w:sz w:val="18"/>
          <w:szCs w:val="18"/>
          <w:color w:val="auto"/>
        </w:rPr>
      </w:pPr>
    </w:p>
    <w:p>
      <w:pPr>
        <w:ind w:firstLine="921"/>
        <w:spacing w:after="0" w:line="264" w:lineRule="auto"/>
        <w:tabs>
          <w:tab w:leader="none" w:pos="1168" w:val="left"/>
        </w:tabs>
        <w:numPr>
          <w:ilvl w:val="0"/>
          <w:numId w:val="214"/>
        </w:numPr>
        <w:rPr>
          <w:rFonts w:ascii="Arial" w:cs="Arial" w:eastAsia="Arial" w:hAnsi="Arial"/>
          <w:sz w:val="18"/>
          <w:szCs w:val="18"/>
          <w:color w:val="auto"/>
          <w:strike w:val="1"/>
        </w:rPr>
      </w:pPr>
      <w:r>
        <w:rPr>
          <w:rFonts w:ascii="Arial" w:cs="Arial" w:eastAsia="Arial" w:hAnsi="Arial"/>
          <w:sz w:val="18"/>
          <w:szCs w:val="18"/>
          <w:color w:val="auto"/>
          <w:strike w:val="1"/>
        </w:rPr>
        <w:t>If any of the consideration payable by the Loan Parties shall be in cash (other than cash in lieu of fractional shares), immediately prior to giving effect to the Acquisition, the aggregate principal amount of Revolving Loans available to be borrowed under Section 2.01(b) of the Credit Agreement is at least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5665470</wp:posOffset>
            </wp:positionH>
            <wp:positionV relativeFrom="paragraph">
              <wp:posOffset>-218440</wp:posOffset>
            </wp:positionV>
            <wp:extent cx="15043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04315" cy="8890"/>
                    </a:xfrm>
                    <a:prstGeom prst="rect">
                      <a:avLst/>
                    </a:prstGeom>
                    <a:noFill/>
                  </pic:spPr>
                </pic:pic>
              </a:graphicData>
            </a:graphic>
          </wp:anchor>
        </w:drawing>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300"/>
          </w:cols>
          <w:pgMar w:left="240" w:top="270" w:right="359" w:bottom="1440" w:gutter="0" w:footer="0" w:header="0"/>
        </w:sectPr>
      </w:pPr>
    </w:p>
    <w:bookmarkStart w:id="182" w:name="page183"/>
    <w:bookmarkEnd w:id="182"/>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color w:val="auto"/>
          <w:strike w:val="1"/>
        </w:rPr>
        <w:t>i</w:t>
      </w:r>
      <w:r>
        <w:rPr>
          <w:rFonts w:ascii="Arial" w:cs="Arial" w:eastAsia="Arial" w:hAnsi="Arial"/>
          <w:sz w:val="18"/>
          <w:szCs w:val="18"/>
          <w:u w:val="single" w:color="auto"/>
          <w:color w:val="auto"/>
        </w:rPr>
        <w:t>h</w:t>
      </w:r>
      <w:r>
        <w:rPr>
          <w:rFonts w:ascii="Arial" w:cs="Arial" w:eastAsia="Arial" w:hAnsi="Arial"/>
          <w:sz w:val="18"/>
          <w:szCs w:val="18"/>
          <w:color w:val="auto"/>
        </w:rPr>
        <w:t xml:space="preserve">) the cost of the Acquisition paid by the Loan Parties and their Subsidiaries in cash at the closing of such Acquisition, plus any cash earnouts or similar deferred or contingent payments paid after closing of such Acquisition, for all Acquisitions made during the term of this Agreement shall not exceed $300,000,000 (plus any proceeds received from the issuance (within twelve (12) months prior to the closing of such Acquisition) of Convertible </w:t>
      </w:r>
      <w:r>
        <w:rPr>
          <w:rFonts w:ascii="Arial" w:cs="Arial" w:eastAsia="Arial" w:hAnsi="Arial"/>
          <w:sz w:val="18"/>
          <w:szCs w:val="18"/>
          <w:color w:val="auto"/>
          <w:strike w:val="1"/>
        </w:rPr>
        <w:t>Subordinated</w:t>
      </w:r>
      <w:r>
        <w:rPr>
          <w:rFonts w:ascii="Arial" w:cs="Arial" w:eastAsia="Arial" w:hAnsi="Arial"/>
          <w:sz w:val="18"/>
          <w:szCs w:val="18"/>
          <w:color w:val="auto"/>
        </w:rPr>
        <w:t xml:space="preserve"> Debt Securities).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340"/>
          </w:cols>
          <w:pgMar w:left="240" w:top="274" w:right="319" w:bottom="1440" w:gutter="0" w:footer="0" w:header="0"/>
        </w:sectPr>
      </w:pPr>
    </w:p>
    <w:bookmarkStart w:id="183" w:name="page184"/>
    <w:bookmarkEnd w:id="183"/>
    <w:p>
      <w:pPr>
        <w:ind w:left="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undersigned has caused this Permitted Acquisition Certificate to be duly executed as of the date first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780" w:type="dxa"/>
            <w:vAlign w:val="bottom"/>
            <w:gridSpan w:val="4"/>
          </w:tcPr>
          <w:p>
            <w:pPr>
              <w:ind w:left="3060"/>
              <w:spacing w:after="0"/>
              <w:rPr>
                <w:sz w:val="20"/>
                <w:szCs w:val="20"/>
                <w:color w:val="auto"/>
              </w:rPr>
            </w:pPr>
            <w:r>
              <w:rPr>
                <w:rFonts w:ascii="Arial" w:cs="Arial" w:eastAsia="Arial" w:hAnsi="Arial"/>
                <w:sz w:val="18"/>
                <w:szCs w:val="18"/>
                <w:b w:val="1"/>
                <w:bCs w:val="1"/>
                <w:color w:val="auto"/>
              </w:rPr>
              <w:t>FABRINET,</w:t>
            </w:r>
          </w:p>
        </w:tc>
      </w:tr>
      <w:tr>
        <w:trPr>
          <w:trHeight w:val="216"/>
        </w:trPr>
        <w:tc>
          <w:tcPr>
            <w:tcW w:w="2640" w:type="dxa"/>
            <w:vAlign w:val="bottom"/>
          </w:tcPr>
          <w:p>
            <w:pPr>
              <w:spacing w:after="0"/>
              <w:rPr>
                <w:sz w:val="18"/>
                <w:szCs w:val="18"/>
                <w:color w:val="auto"/>
              </w:rPr>
            </w:pPr>
          </w:p>
        </w:tc>
        <w:tc>
          <w:tcPr>
            <w:tcW w:w="8780" w:type="dxa"/>
            <w:vAlign w:val="bottom"/>
            <w:gridSpan w:val="4"/>
          </w:tcPr>
          <w:p>
            <w:pPr>
              <w:ind w:left="3060"/>
              <w:spacing w:after="0"/>
              <w:rPr>
                <w:sz w:val="20"/>
                <w:szCs w:val="20"/>
                <w:color w:val="auto"/>
              </w:rPr>
            </w:pPr>
            <w:r>
              <w:rPr>
                <w:rFonts w:ascii="Arial" w:cs="Arial" w:eastAsia="Arial" w:hAnsi="Arial"/>
                <w:sz w:val="18"/>
                <w:szCs w:val="18"/>
                <w:color w:val="auto"/>
              </w:rPr>
              <w:t>an exempted company incorporated with limited liability in the Cayman</w:t>
            </w:r>
          </w:p>
        </w:tc>
      </w:tr>
      <w:tr>
        <w:trPr>
          <w:trHeight w:val="230"/>
        </w:trPr>
        <w:tc>
          <w:tcPr>
            <w:tcW w:w="2640" w:type="dxa"/>
            <w:vAlign w:val="bottom"/>
          </w:tcPr>
          <w:p>
            <w:pPr>
              <w:spacing w:after="0"/>
              <w:rPr>
                <w:sz w:val="20"/>
                <w:szCs w:val="20"/>
                <w:color w:val="auto"/>
              </w:rPr>
            </w:pPr>
          </w:p>
        </w:tc>
        <w:tc>
          <w:tcPr>
            <w:tcW w:w="8780" w:type="dxa"/>
            <w:vAlign w:val="bottom"/>
            <w:gridSpan w:val="4"/>
          </w:tcPr>
          <w:p>
            <w:pPr>
              <w:ind w:left="3060"/>
              <w:spacing w:after="0"/>
              <w:rPr>
                <w:sz w:val="20"/>
                <w:szCs w:val="20"/>
                <w:color w:val="auto"/>
              </w:rPr>
            </w:pPr>
            <w:r>
              <w:rPr>
                <w:rFonts w:ascii="Arial" w:cs="Arial" w:eastAsia="Arial" w:hAnsi="Arial"/>
                <w:sz w:val="18"/>
                <w:szCs w:val="18"/>
                <w:color w:val="auto"/>
              </w:rPr>
              <w:t>Islands</w:t>
            </w:r>
          </w:p>
        </w:tc>
      </w:tr>
      <w:tr>
        <w:trPr>
          <w:trHeight w:val="432"/>
        </w:trPr>
        <w:tc>
          <w:tcPr>
            <w:tcW w:w="2640" w:type="dxa"/>
            <w:vAlign w:val="bottom"/>
          </w:tcPr>
          <w:p>
            <w:pPr>
              <w:spacing w:after="0"/>
              <w:rPr>
                <w:sz w:val="24"/>
                <w:szCs w:val="24"/>
                <w:color w:val="auto"/>
              </w:rPr>
            </w:pPr>
          </w:p>
        </w:tc>
        <w:tc>
          <w:tcPr>
            <w:tcW w:w="3540" w:type="dxa"/>
            <w:vAlign w:val="bottom"/>
          </w:tcPr>
          <w:p>
            <w:pPr>
              <w:ind w:left="32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3"/>
          </w:tcPr>
          <w:p>
            <w:pPr>
              <w:spacing w:after="0"/>
              <w:rPr>
                <w:sz w:val="24"/>
                <w:szCs w:val="24"/>
                <w:color w:val="auto"/>
              </w:rPr>
            </w:pPr>
          </w:p>
        </w:tc>
      </w:tr>
      <w:tr>
        <w:trPr>
          <w:trHeight w:val="210"/>
        </w:trPr>
        <w:tc>
          <w:tcPr>
            <w:tcW w:w="2640" w:type="dxa"/>
            <w:vAlign w:val="bottom"/>
          </w:tcPr>
          <w:p>
            <w:pPr>
              <w:spacing w:after="0"/>
              <w:rPr>
                <w:sz w:val="18"/>
                <w:szCs w:val="18"/>
                <w:color w:val="auto"/>
              </w:rPr>
            </w:pPr>
          </w:p>
        </w:tc>
        <w:tc>
          <w:tcPr>
            <w:tcW w:w="8780" w:type="dxa"/>
            <w:vAlign w:val="bottom"/>
            <w:gridSpan w:val="4"/>
          </w:tcPr>
          <w:p>
            <w:pPr>
              <w:ind w:left="3280"/>
              <w:spacing w:after="0"/>
              <w:rPr>
                <w:sz w:val="20"/>
                <w:szCs w:val="20"/>
                <w:color w:val="auto"/>
              </w:rPr>
            </w:pPr>
            <w:r>
              <w:rPr>
                <w:rFonts w:ascii="Arial" w:cs="Arial" w:eastAsia="Arial" w:hAnsi="Arial"/>
                <w:sz w:val="18"/>
                <w:szCs w:val="18"/>
                <w:color w:val="auto"/>
              </w:rPr>
              <w:t>Name:</w:t>
            </w:r>
          </w:p>
        </w:tc>
      </w:tr>
      <w:tr>
        <w:trPr>
          <w:trHeight w:val="210"/>
        </w:trPr>
        <w:tc>
          <w:tcPr>
            <w:tcW w:w="2640" w:type="dxa"/>
            <w:vAlign w:val="bottom"/>
          </w:tcPr>
          <w:p>
            <w:pPr>
              <w:spacing w:after="0"/>
              <w:rPr>
                <w:sz w:val="18"/>
                <w:szCs w:val="18"/>
                <w:color w:val="auto"/>
              </w:rPr>
            </w:pPr>
          </w:p>
        </w:tc>
        <w:tc>
          <w:tcPr>
            <w:tcW w:w="3660" w:type="dxa"/>
            <w:vAlign w:val="bottom"/>
            <w:gridSpan w:val="2"/>
          </w:tcPr>
          <w:p>
            <w:pPr>
              <w:ind w:left="3220"/>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8"/>
                <w:szCs w:val="18"/>
                <w:color w:val="auto"/>
              </w:rPr>
            </w:pPr>
          </w:p>
        </w:tc>
        <w:tc>
          <w:tcPr>
            <w:tcW w:w="5020" w:type="dxa"/>
            <w:vAlign w:val="bottom"/>
            <w:tcBorders>
              <w:top w:val="single" w:sz="8" w:color="auto"/>
              <w:bottom w:val="single" w:sz="8" w:color="auto"/>
            </w:tcBorders>
          </w:tcPr>
          <w:p>
            <w:pPr>
              <w:spacing w:after="0"/>
              <w:rPr>
                <w:sz w:val="18"/>
                <w:szCs w:val="18"/>
                <w:color w:val="auto"/>
              </w:rPr>
            </w:pPr>
          </w:p>
        </w:tc>
      </w:tr>
      <w:tr>
        <w:trPr>
          <w:trHeight w:val="426"/>
        </w:trPr>
        <w:tc>
          <w:tcPr>
            <w:tcW w:w="2640" w:type="dxa"/>
            <w:vAlign w:val="bottom"/>
          </w:tcPr>
          <w:p>
            <w:pPr>
              <w:spacing w:after="0"/>
              <w:rPr>
                <w:sz w:val="24"/>
                <w:szCs w:val="24"/>
                <w:color w:val="auto"/>
              </w:rPr>
            </w:pPr>
          </w:p>
        </w:tc>
        <w:tc>
          <w:tcPr>
            <w:tcW w:w="8780" w:type="dxa"/>
            <w:vAlign w:val="bottom"/>
            <w:gridSpan w:val="4"/>
          </w:tcPr>
          <w:p>
            <w:pPr>
              <w:ind w:left="1500"/>
              <w:spacing w:after="0"/>
              <w:rPr>
                <w:sz w:val="20"/>
                <w:szCs w:val="20"/>
                <w:color w:val="auto"/>
              </w:rPr>
            </w:pPr>
            <w:r>
              <w:rPr>
                <w:rFonts w:ascii="Arial" w:cs="Arial" w:eastAsia="Arial" w:hAnsi="Arial"/>
                <w:sz w:val="18"/>
                <w:szCs w:val="18"/>
                <w:color w:val="auto"/>
              </w:rPr>
              <w:t>[SIGNATURE PAGE TO LOAN NOTICE]</w:t>
            </w:r>
          </w:p>
        </w:tc>
      </w:tr>
    </w:tbl>
    <w:p>
      <w:pPr>
        <w:sectPr>
          <w:pgSz w:w="11900" w:h="16838" w:orient="portrait"/>
          <w:cols w:equalWidth="0" w:num="1">
            <w:col w:w="11420"/>
          </w:cols>
          <w:pgMar w:left="240" w:top="270"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Covenant Calculations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COMPLETED BY BORROWER]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LOAN NOTICE]</w:t>
      </w:r>
    </w:p>
    <w:p>
      <w:pPr>
        <w:sectPr>
          <w:pgSz w:w="11900" w:h="16838" w:orient="portrait"/>
          <w:cols w:equalWidth="0" w:num="1">
            <w:col w:w="9019"/>
          </w:cols>
          <w:pgMar w:left="1440" w:top="270" w:right="1440"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Material Terms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COMPLETED BY BORROWER]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LOAN NOTICE]</w:t>
      </w:r>
    </w:p>
    <w:p>
      <w:pPr>
        <w:sectPr>
          <w:pgSz w:w="11900" w:h="16838" w:orient="portrait"/>
          <w:cols w:equalWidth="0" w:num="1">
            <w:col w:w="9019"/>
          </w:cols>
          <w:pgMar w:left="1440" w:top="270" w:right="1440" w:bottom="1440" w:gutter="0" w:footer="0" w:header="0"/>
        </w:sectPr>
      </w:pPr>
    </w:p>
    <w:bookmarkStart w:id="186" w:name="page187"/>
    <w:bookmarkEnd w:id="18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[Audited Financial Statements] [Management-Prepared Financial Statements]</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BE COMPLETED BY BORROWER]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9019"/>
          </w:cols>
          <w:pgMar w:left="1440" w:top="270" w:right="1440"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Projected Income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COMPLETED BY BORROWER]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LOAN NOTICE]</w:t>
      </w:r>
    </w:p>
    <w:p>
      <w:pPr>
        <w:sectPr>
          <w:pgSz w:w="11900" w:h="16838" w:orient="portrait"/>
          <w:cols w:equalWidth="0" w:num="1">
            <w:col w:w="9019"/>
          </w:cols>
          <w:pgMar w:left="1440" w:top="270" w:right="1440" w:bottom="1440" w:gutter="0" w:footer="0" w:header="0"/>
        </w:sectPr>
      </w:pPr>
    </w:p>
    <w:bookmarkStart w:id="188" w:name="page189"/>
    <w:bookmarkEnd w:id="188"/>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1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Note</w:t>
      </w:r>
    </w:p>
    <w:p>
      <w:pPr>
        <w:spacing w:after="0" w:line="211" w:lineRule="exact"/>
        <w:rPr>
          <w:sz w:val="20"/>
          <w:szCs w:val="20"/>
          <w:color w:val="auto"/>
        </w:rPr>
      </w:pPr>
    </w:p>
    <w:p>
      <w:pPr>
        <w:ind w:left="9860"/>
        <w:spacing w:after="0"/>
        <w:rPr>
          <w:sz w:val="20"/>
          <w:szCs w:val="20"/>
          <w:color w:val="auto"/>
        </w:rPr>
      </w:pPr>
      <w:r>
        <w:rPr>
          <w:rFonts w:ascii="Arial" w:cs="Arial" w:eastAsia="Arial" w:hAnsi="Arial"/>
          <w:sz w:val="16"/>
          <w:szCs w:val="16"/>
          <w:color w:val="auto"/>
        </w:rPr>
        <w:t>[___________, ____]</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VALUE RECEIVED, the undersigned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promises to pay to [_____________________] or its registered assigns (the</w:t>
      </w:r>
    </w:p>
    <w:p>
      <w:pPr>
        <w:spacing w:after="0" w:line="3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in accordance with the provisions of the Credit Agreement (as hereinafter defined), the principal amount of each Revolving Loan from time to time made by the Lender to the Borrower under that certain Credit Agreement, dated as of May 22, 2014 (as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terms defined therein being used herein as therein defined), among the Borrower, the Guarantors, the Lenders from time to time party thereto, and Bank of America, N.A., as Administrative Agent.</w:t>
      </w:r>
    </w:p>
    <w:p>
      <w:pPr>
        <w:spacing w:after="0" w:line="17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Borrower promises to pay interest on the unpaid principal amount of each Revolving Loan from the date of such Revolving Loan until such principal amount is paid in full, at such interest rates and at such times as provided in the Credit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7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This Revolving Note is one of the Revolving Notes referred to in the Credit Agreement, and the holder is entitled to the benefits thereof. Revolving Loans made by the Lender shall be evidenced by one or more loan accounts or records maintained by the Lender in the ordinary course of business. The Lender may also attach schedules to this Revolving Note and endorse thereon the date, amount and maturity of its Revolving Loans and payments with respect thereto.</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Borrower, for itself, its successors and assigns, hereby waives, to the extent permitted by law, diligence, presentment, protest and demand and notice of protest, demand, dishonor and non-payment of this Revolving Note.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Delivery of an executed counterpart of a signature page of this Revolving Note by fax transmission or other electronic mail transmission (e.g. “pdf” or “tif”) shall be effective as delivery of a manually executed counterpart of this Revolving Note.</w:t>
      </w:r>
    </w:p>
    <w:p>
      <w:pPr>
        <w:spacing w:after="0" w:line="17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THIS NOTE SHALL BE GOVERNED BY AND CONSTRUED IN ACCORDANCE WITH THE LAWS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420"/>
          </w:cols>
          <w:pgMar w:left="240" w:top="270" w:right="239" w:bottom="1440" w:gutter="0" w:footer="0" w:header="0"/>
        </w:sectPr>
      </w:pPr>
    </w:p>
    <w:bookmarkStart w:id="189" w:name="page190"/>
    <w:bookmarkEnd w:id="18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has caused this Revolving Note to be duly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780" w:type="dxa"/>
            <w:vAlign w:val="bottom"/>
            <w:gridSpan w:val="4"/>
          </w:tcPr>
          <w:p>
            <w:pPr>
              <w:ind w:left="3060"/>
              <w:spacing w:after="0"/>
              <w:rPr>
                <w:sz w:val="20"/>
                <w:szCs w:val="20"/>
                <w:color w:val="auto"/>
              </w:rPr>
            </w:pPr>
            <w:r>
              <w:rPr>
                <w:rFonts w:ascii="Arial" w:cs="Arial" w:eastAsia="Arial" w:hAnsi="Arial"/>
                <w:sz w:val="18"/>
                <w:szCs w:val="18"/>
                <w:b w:val="1"/>
                <w:bCs w:val="1"/>
                <w:color w:val="auto"/>
              </w:rPr>
              <w:t>FABRINET,</w:t>
            </w:r>
          </w:p>
        </w:tc>
      </w:tr>
      <w:tr>
        <w:trPr>
          <w:trHeight w:val="216"/>
        </w:trPr>
        <w:tc>
          <w:tcPr>
            <w:tcW w:w="2640" w:type="dxa"/>
            <w:vAlign w:val="bottom"/>
          </w:tcPr>
          <w:p>
            <w:pPr>
              <w:spacing w:after="0"/>
              <w:rPr>
                <w:sz w:val="18"/>
                <w:szCs w:val="18"/>
                <w:color w:val="auto"/>
              </w:rPr>
            </w:pPr>
          </w:p>
        </w:tc>
        <w:tc>
          <w:tcPr>
            <w:tcW w:w="8780" w:type="dxa"/>
            <w:vAlign w:val="bottom"/>
            <w:gridSpan w:val="4"/>
          </w:tcPr>
          <w:p>
            <w:pPr>
              <w:ind w:left="3060"/>
              <w:spacing w:after="0"/>
              <w:rPr>
                <w:sz w:val="20"/>
                <w:szCs w:val="20"/>
                <w:color w:val="auto"/>
              </w:rPr>
            </w:pPr>
            <w:r>
              <w:rPr>
                <w:rFonts w:ascii="Arial" w:cs="Arial" w:eastAsia="Arial" w:hAnsi="Arial"/>
                <w:sz w:val="18"/>
                <w:szCs w:val="18"/>
                <w:color w:val="auto"/>
              </w:rPr>
              <w:t>an exempted company incorporated with limited liability in the Cayman</w:t>
            </w:r>
          </w:p>
        </w:tc>
      </w:tr>
      <w:tr>
        <w:trPr>
          <w:trHeight w:val="230"/>
        </w:trPr>
        <w:tc>
          <w:tcPr>
            <w:tcW w:w="2640" w:type="dxa"/>
            <w:vAlign w:val="bottom"/>
          </w:tcPr>
          <w:p>
            <w:pPr>
              <w:spacing w:after="0"/>
              <w:rPr>
                <w:sz w:val="20"/>
                <w:szCs w:val="20"/>
                <w:color w:val="auto"/>
              </w:rPr>
            </w:pPr>
          </w:p>
        </w:tc>
        <w:tc>
          <w:tcPr>
            <w:tcW w:w="8780" w:type="dxa"/>
            <w:vAlign w:val="bottom"/>
            <w:gridSpan w:val="4"/>
          </w:tcPr>
          <w:p>
            <w:pPr>
              <w:ind w:left="3060"/>
              <w:spacing w:after="0"/>
              <w:rPr>
                <w:sz w:val="20"/>
                <w:szCs w:val="20"/>
                <w:color w:val="auto"/>
              </w:rPr>
            </w:pPr>
            <w:r>
              <w:rPr>
                <w:rFonts w:ascii="Arial" w:cs="Arial" w:eastAsia="Arial" w:hAnsi="Arial"/>
                <w:sz w:val="18"/>
                <w:szCs w:val="18"/>
                <w:color w:val="auto"/>
              </w:rPr>
              <w:t>Islands</w:t>
            </w:r>
          </w:p>
        </w:tc>
      </w:tr>
      <w:tr>
        <w:trPr>
          <w:trHeight w:val="432"/>
        </w:trPr>
        <w:tc>
          <w:tcPr>
            <w:tcW w:w="2640" w:type="dxa"/>
            <w:vAlign w:val="bottom"/>
          </w:tcPr>
          <w:p>
            <w:pPr>
              <w:spacing w:after="0"/>
              <w:rPr>
                <w:sz w:val="24"/>
                <w:szCs w:val="24"/>
                <w:color w:val="auto"/>
              </w:rPr>
            </w:pPr>
          </w:p>
        </w:tc>
        <w:tc>
          <w:tcPr>
            <w:tcW w:w="3540" w:type="dxa"/>
            <w:vAlign w:val="bottom"/>
          </w:tcPr>
          <w:p>
            <w:pPr>
              <w:ind w:left="32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3"/>
          </w:tcPr>
          <w:p>
            <w:pPr>
              <w:spacing w:after="0"/>
              <w:rPr>
                <w:sz w:val="24"/>
                <w:szCs w:val="24"/>
                <w:color w:val="auto"/>
              </w:rPr>
            </w:pPr>
          </w:p>
        </w:tc>
      </w:tr>
      <w:tr>
        <w:trPr>
          <w:trHeight w:val="210"/>
        </w:trPr>
        <w:tc>
          <w:tcPr>
            <w:tcW w:w="2640" w:type="dxa"/>
            <w:vAlign w:val="bottom"/>
          </w:tcPr>
          <w:p>
            <w:pPr>
              <w:spacing w:after="0"/>
              <w:rPr>
                <w:sz w:val="18"/>
                <w:szCs w:val="18"/>
                <w:color w:val="auto"/>
              </w:rPr>
            </w:pPr>
          </w:p>
        </w:tc>
        <w:tc>
          <w:tcPr>
            <w:tcW w:w="8780" w:type="dxa"/>
            <w:vAlign w:val="bottom"/>
            <w:gridSpan w:val="4"/>
          </w:tcPr>
          <w:p>
            <w:pPr>
              <w:ind w:left="3280"/>
              <w:spacing w:after="0"/>
              <w:rPr>
                <w:sz w:val="20"/>
                <w:szCs w:val="20"/>
                <w:color w:val="auto"/>
              </w:rPr>
            </w:pPr>
            <w:r>
              <w:rPr>
                <w:rFonts w:ascii="Arial" w:cs="Arial" w:eastAsia="Arial" w:hAnsi="Arial"/>
                <w:sz w:val="18"/>
                <w:szCs w:val="18"/>
                <w:color w:val="auto"/>
              </w:rPr>
              <w:t>Name:</w:t>
            </w:r>
          </w:p>
        </w:tc>
      </w:tr>
      <w:tr>
        <w:trPr>
          <w:trHeight w:val="210"/>
        </w:trPr>
        <w:tc>
          <w:tcPr>
            <w:tcW w:w="2640" w:type="dxa"/>
            <w:vAlign w:val="bottom"/>
          </w:tcPr>
          <w:p>
            <w:pPr>
              <w:spacing w:after="0"/>
              <w:rPr>
                <w:sz w:val="18"/>
                <w:szCs w:val="18"/>
                <w:color w:val="auto"/>
              </w:rPr>
            </w:pPr>
          </w:p>
        </w:tc>
        <w:tc>
          <w:tcPr>
            <w:tcW w:w="3660" w:type="dxa"/>
            <w:vAlign w:val="bottom"/>
            <w:gridSpan w:val="2"/>
          </w:tcPr>
          <w:p>
            <w:pPr>
              <w:ind w:left="3220"/>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8"/>
                <w:szCs w:val="18"/>
                <w:color w:val="auto"/>
              </w:rPr>
            </w:pPr>
          </w:p>
        </w:tc>
        <w:tc>
          <w:tcPr>
            <w:tcW w:w="5020" w:type="dxa"/>
            <w:vAlign w:val="bottom"/>
            <w:tcBorders>
              <w:top w:val="single" w:sz="8" w:color="auto"/>
              <w:bottom w:val="single" w:sz="8" w:color="auto"/>
            </w:tcBorders>
          </w:tcPr>
          <w:p>
            <w:pPr>
              <w:spacing w:after="0"/>
              <w:rPr>
                <w:sz w:val="18"/>
                <w:szCs w:val="18"/>
                <w:color w:val="auto"/>
              </w:rPr>
            </w:pPr>
          </w:p>
        </w:tc>
      </w:tr>
      <w:tr>
        <w:trPr>
          <w:trHeight w:val="426"/>
        </w:trPr>
        <w:tc>
          <w:tcPr>
            <w:tcW w:w="2640" w:type="dxa"/>
            <w:vAlign w:val="bottom"/>
          </w:tcPr>
          <w:p>
            <w:pPr>
              <w:spacing w:after="0"/>
              <w:rPr>
                <w:sz w:val="24"/>
                <w:szCs w:val="24"/>
                <w:color w:val="auto"/>
              </w:rPr>
            </w:pPr>
          </w:p>
        </w:tc>
        <w:tc>
          <w:tcPr>
            <w:tcW w:w="8780" w:type="dxa"/>
            <w:vAlign w:val="bottom"/>
            <w:gridSpan w:val="4"/>
          </w:tcPr>
          <w:p>
            <w:pPr>
              <w:ind w:left="1500"/>
              <w:spacing w:after="0"/>
              <w:rPr>
                <w:sz w:val="20"/>
                <w:szCs w:val="20"/>
                <w:color w:val="auto"/>
              </w:rPr>
            </w:pPr>
            <w:r>
              <w:rPr>
                <w:rFonts w:ascii="Arial" w:cs="Arial" w:eastAsia="Arial" w:hAnsi="Arial"/>
                <w:sz w:val="18"/>
                <w:szCs w:val="18"/>
                <w:color w:val="auto"/>
              </w:rPr>
              <w:t>[SIGNATURE PAGE TO LOAN NOTICE]</w:t>
            </w:r>
          </w:p>
        </w:tc>
      </w:tr>
    </w:tbl>
    <w:p>
      <w:pPr>
        <w:sectPr>
          <w:pgSz w:w="11900" w:h="16838" w:orient="portrait"/>
          <w:cols w:equalWidth="0" w:num="1">
            <w:col w:w="11420"/>
          </w:cols>
          <w:pgMar w:left="240" w:top="270" w:right="239" w:bottom="1440" w:gutter="0" w:footer="0" w:header="0"/>
        </w:sectPr>
      </w:pPr>
    </w:p>
    <w:bookmarkStart w:id="190" w:name="page191"/>
    <w:bookmarkEnd w:id="190"/>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11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Secured Party Designation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 Credit Agreement, dated as of May 22, 2014, by and among Fabrinet, an exempted company incorporated with limited liability in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the Guarantors, the Designated Borrowers, the Lenders and Bank of America, N.A., as Administrative Agent (as amended, modified, extended, restated, replaced, or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shall have the meanings set forth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[Name of Cash Management Bank/Hedge Bank] (the “</w:t>
      </w:r>
      <w:r>
        <w:rPr>
          <w:rFonts w:ascii="Arial" w:cs="Arial" w:eastAsia="Arial" w:hAnsi="Arial"/>
          <w:sz w:val="18"/>
          <w:szCs w:val="18"/>
          <w:u w:val="single" w:color="auto"/>
          <w:color w:val="auto"/>
        </w:rPr>
        <w:t>Secured Party</w:t>
      </w:r>
      <w:r>
        <w:rPr>
          <w:rFonts w:ascii="Arial" w:cs="Arial" w:eastAsia="Arial" w:hAnsi="Arial"/>
          <w:sz w:val="18"/>
          <w:szCs w:val="18"/>
          <w:color w:val="auto"/>
        </w:rPr>
        <w:t>”) hereby notifies you, pursuant to the terms of the Credit Agreement, that the Secured Party meets the requirements of a [Cash Management Bank] [Hedge Bank] under the terms of the Credit Agreement and is a [Cash Management Bank] [Hedge Bank] under the Credit Agreement and the other Loan Documents.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duly authorized officer of the undersigned has executed this notice as of the day and year set forth above.</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301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[Cash Management Bank] [Hedge Bank]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6930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215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14605</wp:posOffset>
            </wp:positionV>
            <wp:extent cx="25812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420"/>
          </w:cols>
          <w:pgMar w:left="240" w:top="270" w:right="2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240" w:type="dxa"/>
            <w:vAlign w:val="bottom"/>
            <w:gridSpan w:val="4"/>
          </w:tcPr>
          <w:p>
            <w:pPr>
              <w:jc w:val="center"/>
              <w:ind w:right="5000"/>
              <w:spacing w:after="0"/>
              <w:rPr>
                <w:sz w:val="20"/>
                <w:szCs w:val="20"/>
                <w:color w:val="auto"/>
              </w:rPr>
            </w:pPr>
            <w:r>
              <w:rPr>
                <w:rFonts w:ascii="Arial" w:cs="Arial" w:eastAsia="Arial" w:hAnsi="Arial"/>
                <w:sz w:val="18"/>
                <w:szCs w:val="18"/>
                <w:b w:val="1"/>
                <w:bCs w:val="1"/>
                <w:color w:val="auto"/>
              </w:rPr>
              <w:t>EXHIBIT I</w:t>
            </w:r>
          </w:p>
        </w:tc>
      </w:tr>
      <w:tr>
        <w:trPr>
          <w:trHeight w:val="326"/>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Form of</w:t>
            </w:r>
          </w:p>
        </w:tc>
        <w:tc>
          <w:tcPr>
            <w:tcW w:w="5180" w:type="dxa"/>
            <w:vAlign w:val="bottom"/>
            <w:gridSpan w:val="2"/>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80" w:type="dxa"/>
            <w:vAlign w:val="bottom"/>
            <w:gridSpan w:val="5"/>
          </w:tcPr>
          <w:p>
            <w:pPr>
              <w:jc w:val="center"/>
              <w:ind w:right="2380"/>
              <w:spacing w:after="0"/>
              <w:rPr>
                <w:sz w:val="20"/>
                <w:szCs w:val="20"/>
                <w:color w:val="auto"/>
              </w:rPr>
            </w:pPr>
            <w:r>
              <w:rPr>
                <w:rFonts w:ascii="Arial" w:cs="Arial" w:eastAsia="Arial" w:hAnsi="Arial"/>
                <w:sz w:val="18"/>
                <w:szCs w:val="18"/>
                <w:b w:val="1"/>
                <w:bCs w:val="1"/>
                <w:color w:val="auto"/>
                <w:w w:val="89"/>
              </w:rPr>
              <w:t>Solvency Certificate</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TO:</w:t>
            </w:r>
          </w:p>
        </w:tc>
        <w:tc>
          <w:tcPr>
            <w:tcW w:w="10680" w:type="dxa"/>
            <w:vAlign w:val="bottom"/>
            <w:gridSpan w:val="7"/>
          </w:tcPr>
          <w:p>
            <w:pPr>
              <w:ind w:left="160"/>
              <w:spacing w:after="0"/>
              <w:rPr>
                <w:sz w:val="20"/>
                <w:szCs w:val="20"/>
                <w:color w:val="auto"/>
              </w:rPr>
            </w:pPr>
            <w:r>
              <w:rPr>
                <w:rFonts w:ascii="Arial" w:cs="Arial" w:eastAsia="Arial" w:hAnsi="Arial"/>
                <w:sz w:val="18"/>
                <w:szCs w:val="18"/>
                <w:color w:val="auto"/>
              </w:rPr>
              <w:t>Bank of America, N.A., as Administrative Agent</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RE:</w:t>
            </w:r>
          </w:p>
        </w:tc>
        <w:tc>
          <w:tcPr>
            <w:tcW w:w="10680" w:type="dxa"/>
            <w:vAlign w:val="bottom"/>
            <w:gridSpan w:val="7"/>
          </w:tcPr>
          <w:p>
            <w:pPr>
              <w:ind w:left="160"/>
              <w:spacing w:after="0"/>
              <w:rPr>
                <w:sz w:val="20"/>
                <w:szCs w:val="20"/>
                <w:color w:val="auto"/>
              </w:rPr>
            </w:pPr>
            <w:r>
              <w:rPr>
                <w:rFonts w:ascii="Arial" w:cs="Arial" w:eastAsia="Arial" w:hAnsi="Arial"/>
                <w:sz w:val="18"/>
                <w:szCs w:val="18"/>
                <w:color w:val="auto"/>
                <w:w w:val="93"/>
              </w:rPr>
              <w:t>Credit Agreement, dated as of May 22, 2014, by and among Fabrinet, an exempted company incorporated with limited liability in the Cayman</w:t>
            </w:r>
          </w:p>
        </w:tc>
      </w:tr>
      <w:tr>
        <w:trPr>
          <w:trHeight w:val="190"/>
        </w:trPr>
        <w:tc>
          <w:tcPr>
            <w:tcW w:w="660" w:type="dxa"/>
            <w:vAlign w:val="bottom"/>
          </w:tcPr>
          <w:p>
            <w:pPr>
              <w:spacing w:after="0"/>
              <w:rPr>
                <w:sz w:val="16"/>
                <w:szCs w:val="16"/>
                <w:color w:val="auto"/>
              </w:rPr>
            </w:pPr>
          </w:p>
        </w:tc>
        <w:tc>
          <w:tcPr>
            <w:tcW w:w="10680" w:type="dxa"/>
            <w:vAlign w:val="bottom"/>
            <w:gridSpan w:val="7"/>
          </w:tcPr>
          <w:p>
            <w:pPr>
              <w:ind w:left="160"/>
              <w:spacing w:after="0" w:line="190" w:lineRule="exact"/>
              <w:rPr>
                <w:sz w:val="20"/>
                <w:szCs w:val="20"/>
                <w:color w:val="auto"/>
              </w:rPr>
            </w:pPr>
            <w:r>
              <w:rPr>
                <w:rFonts w:ascii="Arial" w:cs="Arial" w:eastAsia="Arial" w:hAnsi="Arial"/>
                <w:sz w:val="18"/>
                <w:szCs w:val="18"/>
                <w:color w:val="auto"/>
                <w:w w:val="93"/>
              </w:rPr>
              <w:t>Islands (the “Borrower”), the Guarantors, the Lenders and Bank of America, N.A., as Administrative Agent (as amended, modified, extended,</w:t>
            </w: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680" w:type="dxa"/>
            <w:vAlign w:val="bottom"/>
            <w:gridSpan w:val="7"/>
          </w:tcPr>
          <w:p>
            <w:pPr>
              <w:ind w:left="160"/>
              <w:spacing w:after="0" w:line="196" w:lineRule="exact"/>
              <w:rPr>
                <w:sz w:val="20"/>
                <w:szCs w:val="20"/>
                <w:color w:val="auto"/>
              </w:rPr>
            </w:pPr>
            <w:r>
              <w:rPr>
                <w:rFonts w:ascii="Arial" w:cs="Arial" w:eastAsia="Arial" w:hAnsi="Arial"/>
                <w:sz w:val="18"/>
                <w:szCs w:val="18"/>
                <w:color w:val="auto"/>
                <w:w w:val="90"/>
              </w:rPr>
              <w:t>restated, replaced, or supplemented from time to time, the “Credit Agreement”; capitalized terms used herein and not otherwise defined shall have</w:t>
            </w:r>
          </w:p>
        </w:tc>
      </w:tr>
      <w:tr>
        <w:trPr>
          <w:trHeight w:val="237"/>
        </w:trPr>
        <w:tc>
          <w:tcPr>
            <w:tcW w:w="660" w:type="dxa"/>
            <w:vAlign w:val="bottom"/>
          </w:tcPr>
          <w:p>
            <w:pPr>
              <w:spacing w:after="0"/>
              <w:rPr>
                <w:sz w:val="20"/>
                <w:szCs w:val="20"/>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rPr>
              <w:t>the meanings set forth in the Credit Agreement)</w:t>
            </w:r>
          </w:p>
        </w:tc>
        <w:tc>
          <w:tcPr>
            <w:tcW w:w="1300" w:type="dxa"/>
            <w:vAlign w:val="bottom"/>
            <w:tcBorders>
              <w:top w:val="single" w:sz="8" w:color="auto"/>
            </w:tcBorders>
            <w:gridSpan w:val="3"/>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10680" w:type="dxa"/>
            <w:vAlign w:val="bottom"/>
            <w:gridSpan w:val="7"/>
          </w:tcPr>
          <w:p>
            <w:pPr>
              <w:ind w:left="16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The undersigned Responsible Officer of the Borrower and Fabrinet Co., Ltd. (“</w:t>
      </w:r>
      <w:r>
        <w:rPr>
          <w:rFonts w:ascii="Arial" w:cs="Arial" w:eastAsia="Arial" w:hAnsi="Arial"/>
          <w:sz w:val="17"/>
          <w:szCs w:val="17"/>
          <w:u w:val="single" w:color="auto"/>
          <w:color w:val="auto"/>
        </w:rPr>
        <w:t>Fabrinet Thailand</w:t>
      </w:r>
      <w:r>
        <w:rPr>
          <w:rFonts w:ascii="Arial" w:cs="Arial" w:eastAsia="Arial" w:hAnsi="Arial"/>
          <w:sz w:val="17"/>
          <w:szCs w:val="17"/>
          <w:color w:val="auto"/>
        </w:rPr>
        <w:t>”) is familiar with the properties, businesses, assets and liabilities of the Loan Parties and is duly authorized to execute this certificate on behalf of the Borrower and Fabrinet Thailand.</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undersigned certifies that [he/she] has made such investigation and inquiries as to the financial condition of the Loan Parties and their Subsidiaries as the undersigned deems necessary and prudent for the purpose of providing this Certificate. The undersigned acknowledges that the Administrative Agent and the Lenders are relying on the truth and accuracy of this Certificate in connection with the making of Credit Extensions and the other transactions contemplated under the Credit Agreement.</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undersigned certifies that the financial information, projections and assumptions which underlie and form the basis for the representations made in this Certificate were reasonable when made and were made in good faith and continue to be reasonable as of the date hereof.</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BASED ON THE FOREGOING, the undersigned certifies that, both before and after giving effect to the transactions contemplated by the Credit Agreement:</w:t>
      </w:r>
    </w:p>
    <w:p>
      <w:pPr>
        <w:spacing w:after="0" w:line="62" w:lineRule="exact"/>
        <w:rPr>
          <w:sz w:val="20"/>
          <w:szCs w:val="20"/>
          <w:color w:val="auto"/>
        </w:rPr>
      </w:pPr>
    </w:p>
    <w:p>
      <w:pPr>
        <w:jc w:val="both"/>
        <w:ind w:right="160" w:firstLine="921"/>
        <w:spacing w:after="0" w:line="264" w:lineRule="auto"/>
        <w:tabs>
          <w:tab w:leader="none" w:pos="115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fair value of the property of the Borrower and Fabrinet Thailand individually and the Borrower and its Subsidiaries taken as a whole, in each case is greater than the total amount of liabilities, including contingent liabilities, of the Borrower and Fabrinet Thailand, respectively, individually and the Borrower and its Subsidiaries taken as a whole, on a Consolidated basis.</w:t>
      </w:r>
    </w:p>
    <w:p>
      <w:pPr>
        <w:spacing w:after="0" w:line="181" w:lineRule="exact"/>
        <w:rPr>
          <w:rFonts w:ascii="Arial" w:cs="Arial" w:eastAsia="Arial" w:hAnsi="Arial"/>
          <w:sz w:val="18"/>
          <w:szCs w:val="18"/>
          <w:color w:val="auto"/>
        </w:rPr>
      </w:pPr>
    </w:p>
    <w:p>
      <w:pPr>
        <w:ind w:firstLine="921"/>
        <w:spacing w:after="0" w:line="286" w:lineRule="auto"/>
        <w:tabs>
          <w:tab w:leader="none" w:pos="116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present fair salable value of the assets of the Borrower and Fabrinet Thailand individually and the Borrower and its Subsidiaries taken as a whole, is not less than the amount that will be required to pay the probable liability of the Borrower and Fabrinet Thailand, respectively, individually and the Borrower and its subsidiaries taken as a whole, on their debts as they become absolute and matured.</w:t>
      </w:r>
    </w:p>
    <w:p>
      <w:pPr>
        <w:spacing w:after="0" w:line="165" w:lineRule="exact"/>
        <w:rPr>
          <w:rFonts w:ascii="Arial" w:cs="Arial" w:eastAsia="Arial" w:hAnsi="Arial"/>
          <w:sz w:val="17"/>
          <w:szCs w:val="17"/>
          <w:color w:val="auto"/>
        </w:rPr>
      </w:pPr>
    </w:p>
    <w:p>
      <w:pPr>
        <w:ind w:right="100" w:firstLine="921"/>
        <w:spacing w:after="0" w:line="308" w:lineRule="auto"/>
        <w:tabs>
          <w:tab w:leader="none" w:pos="115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Borrower and Fabrinet Thailand individually and the Borrower and its subsidiaries taken as a whole, do not intend to, and do not believe that they will, incur debts or liabilities beyond their individual or consolidated ability to pay such debts and liabilities as they mature.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420"/>
          </w:cols>
          <w:pgMar w:left="240" w:top="257" w:right="239" w:bottom="1440" w:gutter="0" w:footer="0" w:header="0"/>
        </w:sectPr>
      </w:pPr>
    </w:p>
    <w:bookmarkStart w:id="192" w:name="page193"/>
    <w:bookmarkEnd w:id="192"/>
    <w:p>
      <w:pPr>
        <w:ind w:right="300" w:firstLine="921"/>
        <w:spacing w:after="0" w:line="264" w:lineRule="auto"/>
        <w:tabs>
          <w:tab w:leader="none" w:pos="1168"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and Fabrinet Thailand individually and the Borrower and its subsidiaries taken as a whole, are not engaged in business or a transaction, and are not about to engage in business or a transaction, for which their property, on an individual or consolidated basis, would constitute an unreasonably small capital.</w:t>
      </w:r>
    </w:p>
    <w:p>
      <w:pPr>
        <w:spacing w:after="0" w:line="181" w:lineRule="exact"/>
        <w:rPr>
          <w:rFonts w:ascii="Arial" w:cs="Arial" w:eastAsia="Arial" w:hAnsi="Arial"/>
          <w:sz w:val="18"/>
          <w:szCs w:val="18"/>
          <w:color w:val="auto"/>
        </w:rPr>
      </w:pPr>
    </w:p>
    <w:p>
      <w:pPr>
        <w:ind w:right="100" w:firstLine="921"/>
        <w:spacing w:after="0" w:line="308" w:lineRule="auto"/>
        <w:tabs>
          <w:tab w:leader="none" w:pos="115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Borrower and Fabrinet Thailand individually and the Borrower and its subsidiaries taken as a whole, are able to pay their individual and consolidated debts and liabilities, contingent obligations and other commitments as they mature in the ordinary course of business.</w:t>
      </w:r>
    </w:p>
    <w:p>
      <w:pPr>
        <w:spacing w:after="0" w:line="146" w:lineRule="exact"/>
        <w:rPr>
          <w:rFonts w:ascii="Arial" w:cs="Arial" w:eastAsia="Arial" w:hAnsi="Arial"/>
          <w:sz w:val="17"/>
          <w:szCs w:val="17"/>
          <w:color w:val="auto"/>
        </w:rPr>
      </w:pPr>
    </w:p>
    <w:p>
      <w:pPr>
        <w:ind w:firstLine="921"/>
        <w:spacing w:after="0" w:line="277" w:lineRule="auto"/>
        <w:tabs>
          <w:tab w:leader="none" w:pos="113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amount of contingent liabilities at any time have been computed as the amount that, in the light of all the facts and circumstances existing at such time, represents the amount that can reasonably be expected to become an actual or matured liability.</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380"/>
          </w:cols>
          <w:pgMar w:left="240" w:top="274" w:right="279" w:bottom="1440" w:gutter="0" w:footer="0" w:header="0"/>
        </w:sectPr>
      </w:pPr>
    </w:p>
    <w:bookmarkStart w:id="193" w:name="page194"/>
    <w:bookmarkEnd w:id="193"/>
    <w:p>
      <w:pPr>
        <w:ind w:left="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undersigned has caused this Solvency Certificate to be duly executed as of the date first above written.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000" w:type="dxa"/>
            <w:vAlign w:val="bottom"/>
            <w:gridSpan w:val="4"/>
          </w:tcPr>
          <w:p>
            <w:pPr>
              <w:ind w:left="2280"/>
              <w:spacing w:after="0"/>
              <w:rPr>
                <w:sz w:val="20"/>
                <w:szCs w:val="20"/>
                <w:color w:val="auto"/>
              </w:rPr>
            </w:pPr>
            <w:r>
              <w:rPr>
                <w:rFonts w:ascii="Arial" w:cs="Arial" w:eastAsia="Arial" w:hAnsi="Arial"/>
                <w:sz w:val="18"/>
                <w:szCs w:val="18"/>
                <w:b w:val="1"/>
                <w:bCs w:val="1"/>
                <w:color w:val="auto"/>
              </w:rPr>
              <w:t>FABRINET,</w:t>
            </w:r>
          </w:p>
        </w:tc>
      </w:tr>
      <w:tr>
        <w:trPr>
          <w:trHeight w:val="216"/>
        </w:trPr>
        <w:tc>
          <w:tcPr>
            <w:tcW w:w="3420" w:type="dxa"/>
            <w:vAlign w:val="bottom"/>
          </w:tcPr>
          <w:p>
            <w:pPr>
              <w:spacing w:after="0"/>
              <w:rPr>
                <w:sz w:val="18"/>
                <w:szCs w:val="18"/>
                <w:color w:val="auto"/>
              </w:rPr>
            </w:pPr>
          </w:p>
        </w:tc>
        <w:tc>
          <w:tcPr>
            <w:tcW w:w="8000" w:type="dxa"/>
            <w:vAlign w:val="bottom"/>
            <w:gridSpan w:val="4"/>
          </w:tcPr>
          <w:p>
            <w:pPr>
              <w:ind w:left="2280"/>
              <w:spacing w:after="0"/>
              <w:rPr>
                <w:sz w:val="20"/>
                <w:szCs w:val="20"/>
                <w:color w:val="auto"/>
              </w:rPr>
            </w:pPr>
            <w:r>
              <w:rPr>
                <w:rFonts w:ascii="Arial" w:cs="Arial" w:eastAsia="Arial" w:hAnsi="Arial"/>
                <w:sz w:val="18"/>
                <w:szCs w:val="18"/>
                <w:color w:val="auto"/>
              </w:rPr>
              <w:t>an exempted company incorporated with limited liability in the Cayman</w:t>
            </w:r>
          </w:p>
        </w:tc>
      </w:tr>
      <w:tr>
        <w:trPr>
          <w:trHeight w:val="230"/>
        </w:trPr>
        <w:tc>
          <w:tcPr>
            <w:tcW w:w="3420" w:type="dxa"/>
            <w:vAlign w:val="bottom"/>
          </w:tcPr>
          <w:p>
            <w:pPr>
              <w:spacing w:after="0"/>
              <w:rPr>
                <w:sz w:val="20"/>
                <w:szCs w:val="20"/>
                <w:color w:val="auto"/>
              </w:rPr>
            </w:pPr>
          </w:p>
        </w:tc>
        <w:tc>
          <w:tcPr>
            <w:tcW w:w="8000" w:type="dxa"/>
            <w:vAlign w:val="bottom"/>
            <w:gridSpan w:val="4"/>
          </w:tcPr>
          <w:p>
            <w:pPr>
              <w:ind w:left="2280"/>
              <w:spacing w:after="0"/>
              <w:rPr>
                <w:sz w:val="20"/>
                <w:szCs w:val="20"/>
                <w:color w:val="auto"/>
              </w:rPr>
            </w:pPr>
            <w:r>
              <w:rPr>
                <w:rFonts w:ascii="Arial" w:cs="Arial" w:eastAsia="Arial" w:hAnsi="Arial"/>
                <w:sz w:val="18"/>
                <w:szCs w:val="18"/>
                <w:color w:val="auto"/>
              </w:rPr>
              <w:t>Islands</w:t>
            </w:r>
          </w:p>
        </w:tc>
      </w:tr>
      <w:tr>
        <w:trPr>
          <w:trHeight w:val="432"/>
        </w:trPr>
        <w:tc>
          <w:tcPr>
            <w:tcW w:w="3420" w:type="dxa"/>
            <w:vAlign w:val="bottom"/>
          </w:tcPr>
          <w:p>
            <w:pPr>
              <w:spacing w:after="0"/>
              <w:rPr>
                <w:sz w:val="24"/>
                <w:szCs w:val="24"/>
                <w:color w:val="auto"/>
              </w:rPr>
            </w:pPr>
          </w:p>
        </w:tc>
        <w:tc>
          <w:tcPr>
            <w:tcW w:w="2760" w:type="dxa"/>
            <w:vAlign w:val="bottom"/>
          </w:tcPr>
          <w:p>
            <w:pPr>
              <w:ind w:left="24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3"/>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8000" w:type="dxa"/>
            <w:vAlign w:val="bottom"/>
            <w:gridSpan w:val="4"/>
          </w:tcPr>
          <w:p>
            <w:pPr>
              <w:ind w:left="2500"/>
              <w:spacing w:after="0"/>
              <w:rPr>
                <w:sz w:val="20"/>
                <w:szCs w:val="20"/>
                <w:color w:val="auto"/>
              </w:rPr>
            </w:pPr>
            <w:r>
              <w:rPr>
                <w:rFonts w:ascii="Arial" w:cs="Arial" w:eastAsia="Arial" w:hAnsi="Arial"/>
                <w:sz w:val="18"/>
                <w:szCs w:val="18"/>
                <w:color w:val="auto"/>
              </w:rPr>
              <w:t>Name:</w:t>
            </w:r>
          </w:p>
        </w:tc>
      </w:tr>
      <w:tr>
        <w:trPr>
          <w:trHeight w:val="210"/>
        </w:trPr>
        <w:tc>
          <w:tcPr>
            <w:tcW w:w="3420" w:type="dxa"/>
            <w:vAlign w:val="bottom"/>
          </w:tcPr>
          <w:p>
            <w:pPr>
              <w:spacing w:after="0"/>
              <w:rPr>
                <w:sz w:val="18"/>
                <w:szCs w:val="18"/>
                <w:color w:val="auto"/>
              </w:rPr>
            </w:pPr>
          </w:p>
        </w:tc>
        <w:tc>
          <w:tcPr>
            <w:tcW w:w="2880" w:type="dxa"/>
            <w:vAlign w:val="bottom"/>
            <w:gridSpan w:val="2"/>
          </w:tcPr>
          <w:p>
            <w:pPr>
              <w:ind w:left="2440"/>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8"/>
                <w:szCs w:val="18"/>
                <w:color w:val="auto"/>
              </w:rPr>
            </w:pPr>
          </w:p>
        </w:tc>
        <w:tc>
          <w:tcPr>
            <w:tcW w:w="5020" w:type="dxa"/>
            <w:vAlign w:val="bottom"/>
            <w:tcBorders>
              <w:top w:val="single" w:sz="8" w:color="auto"/>
              <w:bottom w:val="single" w:sz="8" w:color="auto"/>
            </w:tcBorders>
          </w:tcPr>
          <w:p>
            <w:pPr>
              <w:spacing w:after="0"/>
              <w:rPr>
                <w:sz w:val="18"/>
                <w:szCs w:val="18"/>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tcPr>
          <w:p>
            <w:pPr>
              <w:spacing w:after="0"/>
              <w:rPr>
                <w:sz w:val="20"/>
                <w:szCs w:val="20"/>
                <w:color w:val="auto"/>
              </w:rPr>
            </w:pPr>
            <w:r>
              <w:rPr>
                <w:rFonts w:ascii="Arial" w:cs="Arial" w:eastAsia="Arial" w:hAnsi="Arial"/>
                <w:sz w:val="18"/>
                <w:szCs w:val="18"/>
                <w:b w:val="1"/>
                <w:bCs w:val="1"/>
                <w:color w:val="auto"/>
              </w:rPr>
              <w:t>FABRINET THAILAND:</w:t>
            </w:r>
          </w:p>
        </w:tc>
        <w:tc>
          <w:tcPr>
            <w:tcW w:w="8360" w:type="dxa"/>
            <w:vAlign w:val="bottom"/>
            <w:gridSpan w:val="4"/>
          </w:tcPr>
          <w:p>
            <w:pPr>
              <w:ind w:left="2640"/>
              <w:spacing w:after="0"/>
              <w:rPr>
                <w:sz w:val="20"/>
                <w:szCs w:val="20"/>
                <w:color w:val="auto"/>
              </w:rPr>
            </w:pPr>
            <w:r>
              <w:rPr>
                <w:rFonts w:ascii="Arial" w:cs="Arial" w:eastAsia="Arial" w:hAnsi="Arial"/>
                <w:sz w:val="18"/>
                <w:szCs w:val="18"/>
                <w:b w:val="1"/>
                <w:bCs w:val="1"/>
                <w:color w:val="auto"/>
              </w:rPr>
              <w:t>FABRINET CO. LTD.,</w:t>
            </w:r>
          </w:p>
        </w:tc>
      </w:tr>
      <w:tr>
        <w:trPr>
          <w:trHeight w:val="230"/>
        </w:trPr>
        <w:tc>
          <w:tcPr>
            <w:tcW w:w="3060" w:type="dxa"/>
            <w:vAlign w:val="bottom"/>
          </w:tcPr>
          <w:p>
            <w:pPr>
              <w:spacing w:after="0"/>
              <w:rPr>
                <w:sz w:val="20"/>
                <w:szCs w:val="20"/>
                <w:color w:val="auto"/>
              </w:rPr>
            </w:pPr>
          </w:p>
        </w:tc>
        <w:tc>
          <w:tcPr>
            <w:tcW w:w="8360" w:type="dxa"/>
            <w:vAlign w:val="bottom"/>
            <w:gridSpan w:val="4"/>
          </w:tcPr>
          <w:p>
            <w:pPr>
              <w:ind w:left="2640"/>
              <w:spacing w:after="0"/>
              <w:rPr>
                <w:sz w:val="20"/>
                <w:szCs w:val="20"/>
                <w:color w:val="auto"/>
              </w:rPr>
            </w:pPr>
            <w:r>
              <w:rPr>
                <w:rFonts w:ascii="Arial" w:cs="Arial" w:eastAsia="Arial" w:hAnsi="Arial"/>
                <w:sz w:val="18"/>
                <w:szCs w:val="18"/>
                <w:color w:val="auto"/>
              </w:rPr>
              <w:t>a limited liability company incorporated under the laws of Thailand</w:t>
            </w:r>
          </w:p>
        </w:tc>
      </w:tr>
      <w:tr>
        <w:trPr>
          <w:trHeight w:val="432"/>
        </w:trPr>
        <w:tc>
          <w:tcPr>
            <w:tcW w:w="3060" w:type="dxa"/>
            <w:vAlign w:val="bottom"/>
          </w:tcPr>
          <w:p>
            <w:pPr>
              <w:spacing w:after="0"/>
              <w:rPr>
                <w:sz w:val="24"/>
                <w:szCs w:val="24"/>
                <w:color w:val="auto"/>
              </w:rPr>
            </w:pPr>
          </w:p>
        </w:tc>
        <w:tc>
          <w:tcPr>
            <w:tcW w:w="3120" w:type="dxa"/>
            <w:vAlign w:val="bottom"/>
          </w:tcPr>
          <w:p>
            <w:pPr>
              <w:ind w:left="27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3"/>
          </w:tcPr>
          <w:p>
            <w:pPr>
              <w:spacing w:after="0"/>
              <w:rPr>
                <w:sz w:val="24"/>
                <w:szCs w:val="24"/>
                <w:color w:val="auto"/>
              </w:rPr>
            </w:pPr>
          </w:p>
        </w:tc>
      </w:tr>
      <w:tr>
        <w:trPr>
          <w:trHeight w:val="210"/>
        </w:trPr>
        <w:tc>
          <w:tcPr>
            <w:tcW w:w="3060" w:type="dxa"/>
            <w:vAlign w:val="bottom"/>
          </w:tcPr>
          <w:p>
            <w:pPr>
              <w:spacing w:after="0"/>
              <w:rPr>
                <w:sz w:val="18"/>
                <w:szCs w:val="18"/>
                <w:color w:val="auto"/>
              </w:rPr>
            </w:pPr>
          </w:p>
        </w:tc>
        <w:tc>
          <w:tcPr>
            <w:tcW w:w="8360" w:type="dxa"/>
            <w:vAlign w:val="bottom"/>
            <w:gridSpan w:val="4"/>
          </w:tcPr>
          <w:p>
            <w:pPr>
              <w:ind w:left="2860"/>
              <w:spacing w:after="0"/>
              <w:rPr>
                <w:sz w:val="20"/>
                <w:szCs w:val="20"/>
                <w:color w:val="auto"/>
              </w:rPr>
            </w:pPr>
            <w:r>
              <w:rPr>
                <w:rFonts w:ascii="Arial" w:cs="Arial" w:eastAsia="Arial" w:hAnsi="Arial"/>
                <w:sz w:val="18"/>
                <w:szCs w:val="18"/>
                <w:color w:val="auto"/>
              </w:rPr>
              <w:t>Name:</w:t>
            </w:r>
          </w:p>
        </w:tc>
      </w:tr>
      <w:tr>
        <w:trPr>
          <w:trHeight w:val="210"/>
        </w:trPr>
        <w:tc>
          <w:tcPr>
            <w:tcW w:w="3060" w:type="dxa"/>
            <w:vAlign w:val="bottom"/>
          </w:tcPr>
          <w:p>
            <w:pPr>
              <w:spacing w:after="0"/>
              <w:rPr>
                <w:sz w:val="18"/>
                <w:szCs w:val="18"/>
                <w:color w:val="auto"/>
              </w:rPr>
            </w:pPr>
          </w:p>
        </w:tc>
        <w:tc>
          <w:tcPr>
            <w:tcW w:w="3240" w:type="dxa"/>
            <w:vAlign w:val="bottom"/>
            <w:gridSpan w:val="2"/>
          </w:tcPr>
          <w:p>
            <w:pPr>
              <w:ind w:left="2800"/>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8"/>
                <w:szCs w:val="18"/>
                <w:color w:val="auto"/>
              </w:rPr>
            </w:pPr>
          </w:p>
        </w:tc>
        <w:tc>
          <w:tcPr>
            <w:tcW w:w="5020" w:type="dxa"/>
            <w:vAlign w:val="bottom"/>
            <w:tcBorders>
              <w:top w:val="single" w:sz="8" w:color="auto"/>
              <w:bottom w:val="single" w:sz="8" w:color="auto"/>
            </w:tcBorders>
          </w:tcPr>
          <w:p>
            <w:pPr>
              <w:spacing w:after="0"/>
              <w:rPr>
                <w:sz w:val="18"/>
                <w:szCs w:val="18"/>
                <w:color w:val="auto"/>
              </w:rPr>
            </w:pPr>
          </w:p>
        </w:tc>
      </w:tr>
      <w:tr>
        <w:trPr>
          <w:trHeight w:val="426"/>
        </w:trPr>
        <w:tc>
          <w:tcPr>
            <w:tcW w:w="3060" w:type="dxa"/>
            <w:vAlign w:val="bottom"/>
          </w:tcPr>
          <w:p>
            <w:pPr>
              <w:spacing w:after="0"/>
              <w:rPr>
                <w:sz w:val="24"/>
                <w:szCs w:val="24"/>
                <w:color w:val="auto"/>
              </w:rPr>
            </w:pPr>
          </w:p>
        </w:tc>
        <w:tc>
          <w:tcPr>
            <w:tcW w:w="8360" w:type="dxa"/>
            <w:vAlign w:val="bottom"/>
            <w:gridSpan w:val="4"/>
          </w:tcPr>
          <w:p>
            <w:pPr>
              <w:ind w:left="1080"/>
              <w:spacing w:after="0"/>
              <w:rPr>
                <w:sz w:val="20"/>
                <w:szCs w:val="20"/>
                <w:color w:val="auto"/>
              </w:rPr>
            </w:pPr>
            <w:r>
              <w:rPr>
                <w:rFonts w:ascii="Arial" w:cs="Arial" w:eastAsia="Arial" w:hAnsi="Arial"/>
                <w:sz w:val="18"/>
                <w:szCs w:val="18"/>
                <w:color w:val="auto"/>
              </w:rPr>
              <w:t>[SIGNATURE PAGE TO LOAN NOTICE]</w:t>
            </w:r>
          </w:p>
        </w:tc>
      </w:tr>
    </w:tbl>
    <w:p>
      <w:pPr>
        <w:sectPr>
          <w:pgSz w:w="11900" w:h="16838" w:orient="portrait"/>
          <w:cols w:equalWidth="0" w:num="1">
            <w:col w:w="11420"/>
          </w:cols>
          <w:pgMar w:left="240" w:top="270" w:right="239" w:bottom="1440" w:gutter="0" w:footer="0" w:header="0"/>
        </w:sectPr>
      </w:pPr>
    </w:p>
    <w:bookmarkStart w:id="194" w:name="page195"/>
    <w:bookmarkEnd w:id="194"/>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K</w:t>
      </w:r>
    </w:p>
    <w:p>
      <w:pPr>
        <w:spacing w:after="0" w:line="11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Note</w:t>
      </w:r>
    </w:p>
    <w:p>
      <w:pPr>
        <w:spacing w:after="0" w:line="319" w:lineRule="exact"/>
        <w:rPr>
          <w:sz w:val="20"/>
          <w:szCs w:val="20"/>
          <w:color w:val="auto"/>
        </w:rPr>
      </w:pPr>
    </w:p>
    <w:p>
      <w:pPr>
        <w:ind w:left="9860"/>
        <w:spacing w:after="0"/>
        <w:rPr>
          <w:sz w:val="20"/>
          <w:szCs w:val="20"/>
          <w:color w:val="auto"/>
        </w:rPr>
      </w:pPr>
      <w:r>
        <w:rPr>
          <w:rFonts w:ascii="Arial" w:cs="Arial" w:eastAsia="Arial" w:hAnsi="Arial"/>
          <w:sz w:val="16"/>
          <w:szCs w:val="16"/>
          <w:color w:val="auto"/>
        </w:rPr>
        <w:t>[___________, ____]</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VALUE RECEIVED, the undersigned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promises to pay to [_____________________] or its registered assigns (the</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in accordance with the provisions of the Credit Agreement (as hereinafter defined), the principal amount of the Term Loan from time to time made by the Lender to the Borrower under that certain Credit Agreement, dated as of May 22, 2014 (as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terms defined therein being used herein as therein defined), among the Borrower, the Guarantors, the Lenders from time to time party thereto, and Bank of America, N.A., as Administrative Agent.</w:t>
      </w:r>
    </w:p>
    <w:p>
      <w:pPr>
        <w:spacing w:after="0" w:line="17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Borrower promises to pay interest on the unpaid principal amount of the Term Loan made by the Lender from the date of such Term Loan until such principal amount is paid in full, at such interest rates and at such times as provided in the Credit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73"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This Term Note is one of the Term Notes referred to in the Credit Agreement and the holder is entitled to the benefits thereof. The Term Loan made by the Lender shall be evidenced by one or more loan accounts or records maintained by the Lender in the ordinary course of business. The Lender may also attach schedules to this Term Note and endorse thereon the date, amount and maturity of its Loans and payments with respect thereto.</w:t>
      </w:r>
    </w:p>
    <w:p>
      <w:pPr>
        <w:spacing w:after="0" w:line="14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Borrower, for itself, its successors and assigns, hereby waives, to the extent permitted by law, diligence, presentment, protest and demand and notice of protest, demand, dishonor and non-payment of this Term Note.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Delivery of an executed counterpart of a signature page of this Term Note by fax transmission or other electronic mail transmission (e.g. “pdf” or “tif”) shall be effective as delivery of a manually executed counterpart of this Term Note.</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THIS NOTE SHALL BE GOVERNED BY AND CONSTRUED IN ACCORDANCE WITH THE LAWS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420"/>
          </w:cols>
          <w:pgMar w:left="240" w:top="270" w:right="239" w:bottom="1440" w:gutter="0" w:footer="0" w:header="0"/>
        </w:sectPr>
      </w:pPr>
    </w:p>
    <w:bookmarkStart w:id="195" w:name="page196"/>
    <w:bookmarkEnd w:id="195"/>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has caused this Term Note to be duly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780" w:type="dxa"/>
            <w:vAlign w:val="bottom"/>
            <w:gridSpan w:val="2"/>
          </w:tcPr>
          <w:p>
            <w:pPr>
              <w:ind w:left="2820"/>
              <w:spacing w:after="0"/>
              <w:rPr>
                <w:sz w:val="20"/>
                <w:szCs w:val="20"/>
                <w:color w:val="auto"/>
              </w:rPr>
            </w:pPr>
            <w:r>
              <w:rPr>
                <w:rFonts w:ascii="Arial" w:cs="Arial" w:eastAsia="Arial" w:hAnsi="Arial"/>
                <w:sz w:val="18"/>
                <w:szCs w:val="18"/>
                <w:b w:val="1"/>
                <w:bCs w:val="1"/>
                <w:color w:val="auto"/>
              </w:rPr>
              <w:t>FABRINET,</w:t>
            </w:r>
          </w:p>
        </w:tc>
      </w:tr>
      <w:tr>
        <w:trPr>
          <w:trHeight w:val="230"/>
        </w:trPr>
        <w:tc>
          <w:tcPr>
            <w:tcW w:w="2640" w:type="dxa"/>
            <w:vAlign w:val="bottom"/>
          </w:tcPr>
          <w:p>
            <w:pPr>
              <w:spacing w:after="0"/>
              <w:rPr>
                <w:sz w:val="20"/>
                <w:szCs w:val="20"/>
                <w:color w:val="auto"/>
              </w:rPr>
            </w:pPr>
          </w:p>
        </w:tc>
        <w:tc>
          <w:tcPr>
            <w:tcW w:w="8780" w:type="dxa"/>
            <w:vAlign w:val="bottom"/>
            <w:gridSpan w:val="2"/>
          </w:tcPr>
          <w:p>
            <w:pPr>
              <w:ind w:left="2820"/>
              <w:spacing w:after="0"/>
              <w:rPr>
                <w:sz w:val="20"/>
                <w:szCs w:val="20"/>
                <w:color w:val="auto"/>
              </w:rPr>
            </w:pPr>
            <w:r>
              <w:rPr>
                <w:rFonts w:ascii="Arial" w:cs="Arial" w:eastAsia="Arial" w:hAnsi="Arial"/>
                <w:sz w:val="18"/>
                <w:szCs w:val="18"/>
                <w:color w:val="auto"/>
                <w:w w:val="95"/>
              </w:rPr>
              <w:t>an exempted company incorporated with limited liability in the Cayman Islands</w:t>
            </w:r>
          </w:p>
        </w:tc>
      </w:tr>
      <w:tr>
        <w:trPr>
          <w:trHeight w:val="432"/>
        </w:trPr>
        <w:tc>
          <w:tcPr>
            <w:tcW w:w="2640" w:type="dxa"/>
            <w:vAlign w:val="bottom"/>
          </w:tcPr>
          <w:p>
            <w:pPr>
              <w:spacing w:after="0"/>
              <w:rPr>
                <w:sz w:val="24"/>
                <w:szCs w:val="24"/>
                <w:color w:val="auto"/>
              </w:rPr>
            </w:pPr>
          </w:p>
        </w:tc>
        <w:tc>
          <w:tcPr>
            <w:tcW w:w="8780" w:type="dxa"/>
            <w:vAlign w:val="bottom"/>
            <w:gridSpan w:val="2"/>
          </w:tcPr>
          <w:p>
            <w:pPr>
              <w:ind w:left="2820"/>
              <w:spacing w:after="0"/>
              <w:rPr>
                <w:sz w:val="20"/>
                <w:szCs w:val="20"/>
                <w:color w:val="auto"/>
              </w:rPr>
            </w:pPr>
            <w:r>
              <w:rPr>
                <w:rFonts w:ascii="Arial" w:cs="Arial" w:eastAsia="Arial" w:hAnsi="Arial"/>
                <w:sz w:val="18"/>
                <w:szCs w:val="18"/>
                <w:color w:val="auto"/>
              </w:rPr>
              <w:t>By:</w:t>
            </w:r>
          </w:p>
        </w:tc>
      </w:tr>
      <w:tr>
        <w:trPr>
          <w:trHeight w:val="210"/>
        </w:trPr>
        <w:tc>
          <w:tcPr>
            <w:tcW w:w="2640" w:type="dxa"/>
            <w:vAlign w:val="bottom"/>
          </w:tcPr>
          <w:p>
            <w:pPr>
              <w:spacing w:after="0"/>
              <w:rPr>
                <w:sz w:val="18"/>
                <w:szCs w:val="18"/>
                <w:color w:val="auto"/>
              </w:rPr>
            </w:pPr>
          </w:p>
        </w:tc>
        <w:tc>
          <w:tcPr>
            <w:tcW w:w="3320" w:type="dxa"/>
            <w:vAlign w:val="bottom"/>
          </w:tcPr>
          <w:p>
            <w:pPr>
              <w:ind w:left="2820"/>
              <w:spacing w:after="0"/>
              <w:rPr>
                <w:sz w:val="20"/>
                <w:szCs w:val="20"/>
                <w:color w:val="auto"/>
              </w:rPr>
            </w:pPr>
            <w:r>
              <w:rPr>
                <w:rFonts w:ascii="Arial" w:cs="Arial" w:eastAsia="Arial" w:hAnsi="Arial"/>
                <w:sz w:val="18"/>
                <w:szCs w:val="18"/>
                <w:color w:val="auto"/>
                <w:w w:val="90"/>
              </w:rPr>
              <w:t>Name:</w:t>
            </w:r>
          </w:p>
        </w:tc>
        <w:tc>
          <w:tcPr>
            <w:tcW w:w="5460" w:type="dxa"/>
            <w:vAlign w:val="bottom"/>
            <w:tcBorders>
              <w:top w:val="single" w:sz="8" w:color="auto"/>
              <w:bottom w:val="single" w:sz="8" w:color="auto"/>
            </w:tcBorders>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3320" w:type="dxa"/>
            <w:vAlign w:val="bottom"/>
          </w:tcPr>
          <w:p>
            <w:pPr>
              <w:ind w:left="2820"/>
              <w:spacing w:after="0"/>
              <w:rPr>
                <w:sz w:val="20"/>
                <w:szCs w:val="20"/>
                <w:color w:val="auto"/>
              </w:rPr>
            </w:pPr>
            <w:r>
              <w:rPr>
                <w:rFonts w:ascii="Arial" w:cs="Arial" w:eastAsia="Arial" w:hAnsi="Arial"/>
                <w:sz w:val="18"/>
                <w:szCs w:val="18"/>
                <w:color w:val="auto"/>
              </w:rPr>
              <w:t>Title:</w:t>
            </w:r>
          </w:p>
        </w:tc>
        <w:tc>
          <w:tcPr>
            <w:tcW w:w="5460" w:type="dxa"/>
            <w:vAlign w:val="bottom"/>
            <w:tcBorders>
              <w:bottom w:val="single" w:sz="8" w:color="auto"/>
            </w:tcBorders>
          </w:tcPr>
          <w:p>
            <w:pPr>
              <w:spacing w:after="0"/>
              <w:rPr>
                <w:sz w:val="18"/>
                <w:szCs w:val="18"/>
                <w:color w:val="auto"/>
              </w:rPr>
            </w:pPr>
          </w:p>
        </w:tc>
      </w:tr>
      <w:tr>
        <w:trPr>
          <w:trHeight w:val="426"/>
        </w:trPr>
        <w:tc>
          <w:tcPr>
            <w:tcW w:w="2640" w:type="dxa"/>
            <w:vAlign w:val="bottom"/>
          </w:tcPr>
          <w:p>
            <w:pPr>
              <w:spacing w:after="0"/>
              <w:rPr>
                <w:sz w:val="24"/>
                <w:szCs w:val="24"/>
                <w:color w:val="auto"/>
              </w:rPr>
            </w:pPr>
          </w:p>
        </w:tc>
        <w:tc>
          <w:tcPr>
            <w:tcW w:w="8780" w:type="dxa"/>
            <w:vAlign w:val="bottom"/>
            <w:gridSpan w:val="2"/>
          </w:tcPr>
          <w:p>
            <w:pPr>
              <w:ind w:left="1500"/>
              <w:spacing w:after="0"/>
              <w:rPr>
                <w:sz w:val="20"/>
                <w:szCs w:val="20"/>
                <w:color w:val="auto"/>
              </w:rPr>
            </w:pPr>
            <w:r>
              <w:rPr>
                <w:rFonts w:ascii="Arial" w:cs="Arial" w:eastAsia="Arial" w:hAnsi="Arial"/>
                <w:sz w:val="18"/>
                <w:szCs w:val="18"/>
                <w:color w:val="auto"/>
              </w:rPr>
              <w:t>[SIGNATURE PAGE TO LOAN NOTICE]</w:t>
            </w:r>
          </w:p>
        </w:tc>
      </w:tr>
    </w:tbl>
    <w:p>
      <w:pPr>
        <w:sectPr>
          <w:pgSz w:w="11900" w:h="16838" w:orient="portrait"/>
          <w:cols w:equalWidth="0" w:num="1">
            <w:col w:w="11420"/>
          </w:cols>
          <w:pgMar w:left="240" w:top="270" w:right="239" w:bottom="1440" w:gutter="0" w:footer="0" w:header="0"/>
        </w:sectPr>
      </w:pPr>
    </w:p>
    <w:bookmarkStart w:id="196" w:name="page197"/>
    <w:bookmarkEnd w:id="196"/>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L</w:t>
      </w:r>
    </w:p>
    <w:p>
      <w:pPr>
        <w:spacing w:after="0" w:line="11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 Credit Agreement, dated as of May 22, 2014, by and among Fabrinet, an exempted company incorporated with limited liability in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the Guarantors, the Designated Borrowers, the Lenders and Bank of America, N.A., as Administrative Agent (as amended, modified, extended, restated, replaced, or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shall have the meanings set forth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Responsible Officer of [LOAN PARTY]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as follows:</w:t>
      </w:r>
    </w:p>
    <w:p>
      <w:pPr>
        <w:spacing w:after="0" w:line="117" w:lineRule="exact"/>
        <w:rPr>
          <w:sz w:val="20"/>
          <w:szCs w:val="20"/>
          <w:color w:val="auto"/>
        </w:rPr>
      </w:pPr>
    </w:p>
    <w:p>
      <w:pPr>
        <w:ind w:right="20" w:firstLine="464"/>
        <w:spacing w:after="0" w:line="264" w:lineRule="auto"/>
        <w:tabs>
          <w:tab w:leader="none" w:pos="63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true and complete copy of the [certificate of incorporation] [list of shareholders] [specimen of seal (if any)] [specimen signatures of its authorized director(s)] [tax certificate (if any)] of the Company and all amendments thereto as in effect on the date hereof certified and/or issued as a recent date by the appropriate Governmental Authorities of the state of incorporation of the Company.</w:t>
      </w:r>
    </w:p>
    <w:p>
      <w:pPr>
        <w:spacing w:after="0" w:line="181" w:lineRule="exact"/>
        <w:rPr>
          <w:rFonts w:ascii="Arial" w:cs="Arial" w:eastAsia="Arial" w:hAnsi="Arial"/>
          <w:sz w:val="18"/>
          <w:szCs w:val="18"/>
          <w:color w:val="auto"/>
        </w:rPr>
      </w:pPr>
    </w:p>
    <w:p>
      <w:pPr>
        <w:ind w:right="80" w:firstLine="464"/>
        <w:spacing w:after="0" w:line="342" w:lineRule="auto"/>
        <w:tabs>
          <w:tab w:leader="none" w:pos="63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is a true and complete copy of the [memorandum and articles of association][articles of association][bylaws][operating agreement] (if any) [power of attorney dated [_____] (if any)] of the Company and all amendments thereto as in effect on the date hereof.</w:t>
      </w:r>
    </w:p>
    <w:p>
      <w:pPr>
        <w:spacing w:after="0" w:line="123" w:lineRule="exact"/>
        <w:rPr>
          <w:rFonts w:ascii="Arial" w:cs="Arial" w:eastAsia="Arial" w:hAnsi="Arial"/>
          <w:sz w:val="16"/>
          <w:szCs w:val="16"/>
          <w:color w:val="auto"/>
        </w:rPr>
      </w:pPr>
    </w:p>
    <w:p>
      <w:pPr>
        <w:ind w:left="640" w:hanging="176"/>
        <w:spacing w:after="0"/>
        <w:tabs>
          <w:tab w:leader="none" w:pos="6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is a true and complete copy of resolutions duly adopted by the [board of directors] of the Company on [___________</w:t>
      </w:r>
    </w:p>
    <w:p>
      <w:pPr>
        <w:spacing w:after="0" w:line="46"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____] authorizing, among others, (i) the execution and delivery of the Credit Agreement and the Loan Documents to which the Company is a party, (ii) the consummation of the transactions contemplated by the Credit Agreement and the Loan Documents to which the Company is a partyand (iii) the execution and delivery by the [directors or officers] of the Company of such other agreements, certificates or instruments and such other actions as such [directors or officers] may consider necessary or appropriate to carry out the foregoing resolutions and the transactions contemplated thereby. Such resolutions have not in any way been rescinded or modified and have been in full force and effect since their adoption to and including the date hereof, and such resolutions are the only corporate proceedings of the Company now in force relating to or affecting the matters referred to therein.</w:t>
      </w:r>
    </w:p>
    <w:p>
      <w:pPr>
        <w:spacing w:after="0" w:line="178" w:lineRule="exact"/>
        <w:rPr>
          <w:rFonts w:ascii="Arial" w:cs="Arial" w:eastAsia="Arial" w:hAnsi="Arial"/>
          <w:sz w:val="16"/>
          <w:szCs w:val="16"/>
          <w:color w:val="auto"/>
        </w:rPr>
      </w:pPr>
    </w:p>
    <w:p>
      <w:pPr>
        <w:ind w:right="80" w:firstLine="464"/>
        <w:spacing w:after="0" w:line="277" w:lineRule="auto"/>
        <w:tabs>
          <w:tab w:leader="none" w:pos="63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are true and complete copies of the certificate[s] of good standing, existence or its equivalent of the Company certified as of a recent date by the appropriate Governmental Authorities of the state of incorporation of the Company.</w:t>
      </w:r>
    </w:p>
    <w:p>
      <w:pPr>
        <w:spacing w:after="0" w:line="170" w:lineRule="exact"/>
        <w:rPr>
          <w:rFonts w:ascii="Arial" w:cs="Arial" w:eastAsia="Arial" w:hAnsi="Arial"/>
          <w:sz w:val="18"/>
          <w:szCs w:val="18"/>
          <w:color w:val="auto"/>
        </w:rPr>
      </w:pPr>
    </w:p>
    <w:p>
      <w:pPr>
        <w:jc w:val="both"/>
        <w:ind w:right="200" w:firstLine="464"/>
        <w:spacing w:after="0" w:line="259" w:lineRule="auto"/>
        <w:tabs>
          <w:tab w:leader="none" w:pos="63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The persons named on the schedule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are the duly elected and qualified [directors officers] of the Company, holding the [offices] set forth opposite their respective names on the date hereof, and the signatures appearing opposite the names of the [directors or officers] are their true and genuine signatures, and each of such officers is duly authorized to execute and deliver, on behalf of the Company, the Credit Agreement, the Notes and the other Loan Documents to be issued pursuant thereto.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400"/>
          </w:cols>
          <w:pgMar w:left="240" w:top="270" w:right="259" w:bottom="1440" w:gutter="0" w:footer="0" w:header="0"/>
        </w:sectPr>
      </w:pPr>
    </w:p>
    <w:bookmarkStart w:id="197" w:name="page198"/>
    <w:bookmarkEnd w:id="19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are the Company’s copy registers listing the directors, members, mortgages and charges, as of a recent date.</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260"/>
          </w:cols>
          <w:pgMar w:left="240" w:top="274" w:right="399" w:bottom="1440" w:gutter="0" w:footer="0" w:header="0"/>
        </w:sectPr>
      </w:pPr>
    </w:p>
    <w:bookmarkStart w:id="198" w:name="page199"/>
    <w:bookmarkEnd w:id="198"/>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I hereunder subscribe my name effective as of the day and year set forth above.</w:t>
      </w: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14605</wp:posOffset>
            </wp:positionV>
            <wp:extent cx="255587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 _______________________, the _______________________ of the Company, hereby certify that ____________________ is the duly elected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qualified _______________________ of the Company and that his/her true and genuine signature is set forth above.</w:t>
      </w:r>
    </w:p>
    <w:p>
      <w:pPr>
        <w:spacing w:after="0" w:line="200" w:lineRule="exact"/>
        <w:rPr>
          <w:sz w:val="20"/>
          <w:szCs w:val="20"/>
          <w:color w:val="auto"/>
        </w:rPr>
      </w:pPr>
    </w:p>
    <w:p>
      <w:pPr>
        <w:spacing w:after="0" w:line="37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14605</wp:posOffset>
            </wp:positionV>
            <wp:extent cx="255587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360"/>
          </w:cols>
          <w:pgMar w:left="240" w:top="270" w:right="29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180" w:type="dxa"/>
            <w:vAlign w:val="bottom"/>
            <w:gridSpan w:val="4"/>
          </w:tcPr>
          <w:p>
            <w:pPr>
              <w:jc w:val="center"/>
              <w:ind w:right="5200"/>
              <w:spacing w:after="0"/>
              <w:rPr>
                <w:sz w:val="20"/>
                <w:szCs w:val="20"/>
                <w:color w:val="auto"/>
              </w:rPr>
            </w:pPr>
            <w:r>
              <w:rPr>
                <w:rFonts w:ascii="Arial" w:cs="Arial" w:eastAsia="Arial" w:hAnsi="Arial"/>
                <w:sz w:val="18"/>
                <w:szCs w:val="18"/>
                <w:b w:val="1"/>
                <w:bCs w:val="1"/>
                <w:color w:val="auto"/>
              </w:rPr>
              <w:t>EXHIBIT M</w:t>
            </w:r>
          </w:p>
        </w:tc>
      </w:tr>
      <w:tr>
        <w:trPr>
          <w:trHeight w:val="326"/>
        </w:trPr>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Form of</w:t>
            </w:r>
          </w:p>
        </w:tc>
        <w:tc>
          <w:tcPr>
            <w:tcW w:w="5200" w:type="dxa"/>
            <w:vAlign w:val="bottom"/>
            <w:gridSpan w:val="3"/>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40" w:type="dxa"/>
            <w:vAlign w:val="bottom"/>
            <w:gridSpan w:val="5"/>
          </w:tcPr>
          <w:p>
            <w:pPr>
              <w:jc w:val="center"/>
              <w:ind w:right="3520"/>
              <w:spacing w:after="0"/>
              <w:rPr>
                <w:sz w:val="20"/>
                <w:szCs w:val="20"/>
                <w:color w:val="auto"/>
              </w:rPr>
            </w:pPr>
            <w:r>
              <w:rPr>
                <w:rFonts w:ascii="Arial" w:cs="Arial" w:eastAsia="Arial" w:hAnsi="Arial"/>
                <w:sz w:val="18"/>
                <w:szCs w:val="18"/>
                <w:b w:val="1"/>
                <w:bCs w:val="1"/>
                <w:color w:val="auto"/>
                <w:w w:val="92"/>
              </w:rPr>
              <w:t>Financial Condition Certificate</w:t>
            </w:r>
          </w:p>
        </w:tc>
      </w:tr>
      <w:tr>
        <w:trPr>
          <w:trHeight w:val="581"/>
        </w:trPr>
        <w:tc>
          <w:tcPr>
            <w:tcW w:w="900" w:type="dxa"/>
            <w:vAlign w:val="bottom"/>
          </w:tcPr>
          <w:p>
            <w:pPr>
              <w:spacing w:after="0"/>
              <w:rPr>
                <w:sz w:val="20"/>
                <w:szCs w:val="20"/>
                <w:color w:val="auto"/>
              </w:rPr>
            </w:pPr>
            <w:r>
              <w:rPr>
                <w:rFonts w:ascii="Arial" w:cs="Arial" w:eastAsia="Arial" w:hAnsi="Arial"/>
                <w:sz w:val="18"/>
                <w:szCs w:val="18"/>
                <w:color w:val="auto"/>
              </w:rPr>
              <w:t>TO:</w:t>
            </w:r>
          </w:p>
        </w:tc>
        <w:tc>
          <w:tcPr>
            <w:tcW w:w="10500" w:type="dxa"/>
            <w:vAlign w:val="bottom"/>
            <w:gridSpan w:val="7"/>
          </w:tcPr>
          <w:p>
            <w:pPr>
              <w:ind w:left="360"/>
              <w:spacing w:after="0"/>
              <w:rPr>
                <w:sz w:val="20"/>
                <w:szCs w:val="20"/>
                <w:color w:val="auto"/>
              </w:rPr>
            </w:pPr>
            <w:r>
              <w:rPr>
                <w:rFonts w:ascii="Arial" w:cs="Arial" w:eastAsia="Arial" w:hAnsi="Arial"/>
                <w:sz w:val="18"/>
                <w:szCs w:val="18"/>
                <w:color w:val="auto"/>
              </w:rPr>
              <w:t>Bank of America, N.A., as Administrative Agent</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RE:</w:t>
            </w:r>
          </w:p>
        </w:tc>
        <w:tc>
          <w:tcPr>
            <w:tcW w:w="10500" w:type="dxa"/>
            <w:vAlign w:val="bottom"/>
            <w:gridSpan w:val="7"/>
          </w:tcPr>
          <w:p>
            <w:pPr>
              <w:ind w:left="360"/>
              <w:spacing w:after="0"/>
              <w:rPr>
                <w:sz w:val="20"/>
                <w:szCs w:val="20"/>
                <w:color w:val="auto"/>
              </w:rPr>
            </w:pPr>
            <w:r>
              <w:rPr>
                <w:rFonts w:ascii="Arial" w:cs="Arial" w:eastAsia="Arial" w:hAnsi="Arial"/>
                <w:sz w:val="18"/>
                <w:szCs w:val="18"/>
                <w:color w:val="auto"/>
                <w:w w:val="96"/>
              </w:rPr>
              <w:t>Credit Agreement, dated as of May 22, 2014, by and among Fabrinet, an exempted company incorporated with limited liability in the</w:t>
            </w:r>
          </w:p>
        </w:tc>
      </w:tr>
      <w:tr>
        <w:trPr>
          <w:trHeight w:val="190"/>
        </w:trPr>
        <w:tc>
          <w:tcPr>
            <w:tcW w:w="900" w:type="dxa"/>
            <w:vAlign w:val="bottom"/>
          </w:tcPr>
          <w:p>
            <w:pPr>
              <w:spacing w:after="0"/>
              <w:rPr>
                <w:sz w:val="16"/>
                <w:szCs w:val="16"/>
                <w:color w:val="auto"/>
              </w:rPr>
            </w:pPr>
          </w:p>
        </w:tc>
        <w:tc>
          <w:tcPr>
            <w:tcW w:w="10500" w:type="dxa"/>
            <w:vAlign w:val="bottom"/>
            <w:gridSpan w:val="7"/>
          </w:tcPr>
          <w:p>
            <w:pPr>
              <w:ind w:left="360"/>
              <w:spacing w:after="0" w:line="190" w:lineRule="exact"/>
              <w:rPr>
                <w:sz w:val="20"/>
                <w:szCs w:val="20"/>
                <w:color w:val="auto"/>
              </w:rPr>
            </w:pPr>
            <w:r>
              <w:rPr>
                <w:rFonts w:ascii="Arial" w:cs="Arial" w:eastAsia="Arial" w:hAnsi="Arial"/>
                <w:sz w:val="18"/>
                <w:szCs w:val="18"/>
                <w:color w:val="auto"/>
                <w:w w:val="91"/>
              </w:rPr>
              <w:t>Cayman Islands (the “Borrower”), the Guarantors, the Lenders and Bank of America, N.A., as Administrative Agent (as amended, modified,</w:t>
            </w:r>
          </w:p>
        </w:tc>
      </w:tr>
      <w:tr>
        <w:trPr>
          <w:trHeight w:val="20"/>
        </w:trPr>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0500" w:type="dxa"/>
            <w:vAlign w:val="bottom"/>
            <w:gridSpan w:val="7"/>
          </w:tcPr>
          <w:p>
            <w:pPr>
              <w:ind w:left="360"/>
              <w:spacing w:after="0" w:line="196" w:lineRule="exact"/>
              <w:rPr>
                <w:sz w:val="20"/>
                <w:szCs w:val="20"/>
                <w:color w:val="auto"/>
              </w:rPr>
            </w:pPr>
            <w:r>
              <w:rPr>
                <w:rFonts w:ascii="Arial" w:cs="Arial" w:eastAsia="Arial" w:hAnsi="Arial"/>
                <w:sz w:val="18"/>
                <w:szCs w:val="18"/>
                <w:color w:val="auto"/>
                <w:w w:val="92"/>
              </w:rPr>
              <w:t>extended, restated, replaced, or supplemented from time to time, the “Credit Agreement”; capitalized terms used herein and not otherwise</w:t>
            </w:r>
          </w:p>
        </w:tc>
      </w:tr>
      <w:tr>
        <w:trPr>
          <w:trHeight w:val="237"/>
        </w:trPr>
        <w:tc>
          <w:tcPr>
            <w:tcW w:w="900" w:type="dxa"/>
            <w:vAlign w:val="bottom"/>
          </w:tcPr>
          <w:p>
            <w:pPr>
              <w:spacing w:after="0"/>
              <w:rPr>
                <w:sz w:val="20"/>
                <w:szCs w:val="20"/>
                <w:color w:val="auto"/>
              </w:rPr>
            </w:pPr>
          </w:p>
        </w:tc>
        <w:tc>
          <w:tcPr>
            <w:tcW w:w="5400" w:type="dxa"/>
            <w:vAlign w:val="bottom"/>
            <w:gridSpan w:val="5"/>
          </w:tcPr>
          <w:p>
            <w:pPr>
              <w:ind w:left="360"/>
              <w:spacing w:after="0"/>
              <w:rPr>
                <w:sz w:val="20"/>
                <w:szCs w:val="20"/>
                <w:color w:val="auto"/>
              </w:rPr>
            </w:pPr>
            <w:r>
              <w:rPr>
                <w:rFonts w:ascii="Arial" w:cs="Arial" w:eastAsia="Arial" w:hAnsi="Arial"/>
                <w:sz w:val="18"/>
                <w:szCs w:val="18"/>
                <w:color w:val="auto"/>
                <w:w w:val="94"/>
              </w:rPr>
              <w:t>defined shall have the meanings set forth in the Credit Agreement)</w:t>
            </w:r>
          </w:p>
        </w:tc>
        <w:tc>
          <w:tcPr>
            <w:tcW w:w="1280" w:type="dxa"/>
            <w:vAlign w:val="bottom"/>
            <w:tcBorders>
              <w:top w:val="single" w:sz="8" w:color="auto"/>
            </w:tcBorders>
          </w:tcPr>
          <w:p>
            <w:pPr>
              <w:spacing w:after="0"/>
              <w:rPr>
                <w:sz w:val="20"/>
                <w:szCs w:val="20"/>
                <w:color w:val="auto"/>
              </w:rPr>
            </w:pPr>
          </w:p>
        </w:tc>
        <w:tc>
          <w:tcPr>
            <w:tcW w:w="382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10500" w:type="dxa"/>
            <w:vAlign w:val="bottom"/>
            <w:gridSpan w:val="7"/>
          </w:tcPr>
          <w:p>
            <w:pPr>
              <w:ind w:left="36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Pursuant to the terms of Section 4.01 of the Credit Agreement, a Responsible Officer of the Borrower hereby certifies on behalf of the Loan Parties and not in any individual capacity that, as of the date hereof, the statements below are accurate and complete in all respects:</w:t>
      </w:r>
    </w:p>
    <w:p>
      <w:pPr>
        <w:spacing w:after="0" w:line="62" w:lineRule="exact"/>
        <w:rPr>
          <w:sz w:val="20"/>
          <w:szCs w:val="20"/>
          <w:color w:val="auto"/>
        </w:rPr>
      </w:pPr>
    </w:p>
    <w:p>
      <w:pPr>
        <w:ind w:right="340" w:firstLine="921"/>
        <w:spacing w:after="0" w:line="279" w:lineRule="auto"/>
        <w:tabs>
          <w:tab w:leader="none" w:pos="115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There are no actions, suits, investigations, proceedings, claims or disputes pending or, to the knowledge of the Loan Parties, threatened in writing, at law, in equity, in arbitration or before any other Governmental Authority against any Loan Party or any Subsidiary or against any of their properties or revenues that (a) purport to affect or pertain to the Credit Agreement or any other Loan Document or any of the transactions contemplated hereby, or (b) either individually or in the aggregate could reasonably be expected to have a Material Adverse Effect.</w:t>
      </w:r>
    </w:p>
    <w:p>
      <w:pPr>
        <w:spacing w:after="0" w:line="171" w:lineRule="exact"/>
        <w:rPr>
          <w:rFonts w:ascii="Arial" w:cs="Arial" w:eastAsia="Arial" w:hAnsi="Arial"/>
          <w:sz w:val="17"/>
          <w:szCs w:val="17"/>
          <w:color w:val="auto"/>
        </w:rPr>
      </w:pPr>
    </w:p>
    <w:p>
      <w:pPr>
        <w:ind w:right="100" w:firstLine="921"/>
        <w:spacing w:after="0" w:line="271" w:lineRule="auto"/>
        <w:tabs>
          <w:tab w:leader="none" w:pos="116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Immediately after giving effect to the Credit Agreement, the other Loan Documents and all transactions contemplated by the Credit Agreement to occur on the Closing Date, (i) no Default or Event of Default exists, (ii) all representations and warranties contained in the Credit Agreement and in the other Loan Documents are true and correct in the case of representations and warranties that contain a materiality qualification, or true and correct in all material respects in the case of representations and warranties that do not contain a materiality qualification, on and as of the date hereof (except to the extent such representations and warranties relate to an earlier date, in which case such representations and warranties shall be true and correct, or true and correct in all material respects, as applicable, as of such earlier date), and (iii) the Loan Parties are in pro forma compliance with each of the initial financial covenants set forth in Section 7.11 of the Credit Agreement, as demonstrated by the financial covenant calculations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attached hereto, as of the last day of the quarter ending at least twenty (20) days preceding the Closing Date.</w:t>
      </w:r>
    </w:p>
    <w:p>
      <w:pPr>
        <w:spacing w:after="0" w:line="178" w:lineRule="exact"/>
        <w:rPr>
          <w:rFonts w:ascii="Arial" w:cs="Arial" w:eastAsia="Arial" w:hAnsi="Arial"/>
          <w:sz w:val="17"/>
          <w:szCs w:val="17"/>
          <w:color w:val="auto"/>
        </w:rPr>
      </w:pPr>
    </w:p>
    <w:p>
      <w:pPr>
        <w:ind w:right="760" w:firstLine="921"/>
        <w:spacing w:after="0" w:line="277" w:lineRule="auto"/>
        <w:tabs>
          <w:tab w:leader="none" w:pos="115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Immediately after giving effect to the Credit Agreement, the other Loan Documents and all transactions contemplated by the Credit Agreement to occur on the Closing Date, each of the conditions precedent in Section 4.01 have been satisfied.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LOAN NOTICE]</w:t>
      </w:r>
    </w:p>
    <w:p>
      <w:pPr>
        <w:sectPr>
          <w:pgSz w:w="11900" w:h="16838" w:orient="portrait"/>
          <w:cols w:equalWidth="0" w:num="1">
            <w:col w:w="11400"/>
          </w:cols>
          <w:pgMar w:left="240" w:top="257" w:right="259" w:bottom="1440" w:gutter="0" w:footer="0" w:header="0"/>
        </w:sectPr>
      </w:pPr>
    </w:p>
    <w:bookmarkStart w:id="200" w:name="page201"/>
    <w:bookmarkEnd w:id="200"/>
    <w:p>
      <w:pPr>
        <w:ind w:left="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undersigned has caused this Financial Condition Certificate to be duly executed as of the date first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780" w:type="dxa"/>
            <w:vAlign w:val="bottom"/>
            <w:gridSpan w:val="2"/>
          </w:tcPr>
          <w:p>
            <w:pPr>
              <w:ind w:left="2820"/>
              <w:spacing w:after="0"/>
              <w:rPr>
                <w:sz w:val="20"/>
                <w:szCs w:val="20"/>
                <w:color w:val="auto"/>
              </w:rPr>
            </w:pPr>
            <w:r>
              <w:rPr>
                <w:rFonts w:ascii="Arial" w:cs="Arial" w:eastAsia="Arial" w:hAnsi="Arial"/>
                <w:sz w:val="18"/>
                <w:szCs w:val="18"/>
                <w:b w:val="1"/>
                <w:bCs w:val="1"/>
                <w:color w:val="auto"/>
              </w:rPr>
              <w:t>FABRINET</w:t>
            </w:r>
            <w:r>
              <w:rPr>
                <w:rFonts w:ascii="Arial" w:cs="Arial" w:eastAsia="Arial" w:hAnsi="Arial"/>
                <w:sz w:val="18"/>
                <w:szCs w:val="18"/>
                <w:color w:val="auto"/>
              </w:rPr>
              <w:t>,</w:t>
            </w:r>
          </w:p>
        </w:tc>
      </w:tr>
      <w:tr>
        <w:trPr>
          <w:trHeight w:val="230"/>
        </w:trPr>
        <w:tc>
          <w:tcPr>
            <w:tcW w:w="2640" w:type="dxa"/>
            <w:vAlign w:val="bottom"/>
          </w:tcPr>
          <w:p>
            <w:pPr>
              <w:spacing w:after="0"/>
              <w:rPr>
                <w:sz w:val="20"/>
                <w:szCs w:val="20"/>
                <w:color w:val="auto"/>
              </w:rPr>
            </w:pPr>
          </w:p>
        </w:tc>
        <w:tc>
          <w:tcPr>
            <w:tcW w:w="8780" w:type="dxa"/>
            <w:vAlign w:val="bottom"/>
            <w:gridSpan w:val="2"/>
          </w:tcPr>
          <w:p>
            <w:pPr>
              <w:ind w:left="2820"/>
              <w:spacing w:after="0"/>
              <w:rPr>
                <w:sz w:val="20"/>
                <w:szCs w:val="20"/>
                <w:color w:val="auto"/>
              </w:rPr>
            </w:pPr>
            <w:r>
              <w:rPr>
                <w:rFonts w:ascii="Arial" w:cs="Arial" w:eastAsia="Arial" w:hAnsi="Arial"/>
                <w:sz w:val="18"/>
                <w:szCs w:val="18"/>
                <w:color w:val="auto"/>
                <w:w w:val="95"/>
              </w:rPr>
              <w:t>an exempted company incorporated with limited liability in the Cayman Islands</w:t>
            </w:r>
          </w:p>
        </w:tc>
      </w:tr>
      <w:tr>
        <w:trPr>
          <w:trHeight w:val="432"/>
        </w:trPr>
        <w:tc>
          <w:tcPr>
            <w:tcW w:w="2640" w:type="dxa"/>
            <w:vAlign w:val="bottom"/>
          </w:tcPr>
          <w:p>
            <w:pPr>
              <w:spacing w:after="0"/>
              <w:rPr>
                <w:sz w:val="24"/>
                <w:szCs w:val="24"/>
                <w:color w:val="auto"/>
              </w:rPr>
            </w:pPr>
          </w:p>
        </w:tc>
        <w:tc>
          <w:tcPr>
            <w:tcW w:w="8780" w:type="dxa"/>
            <w:vAlign w:val="bottom"/>
            <w:gridSpan w:val="2"/>
          </w:tcPr>
          <w:p>
            <w:pPr>
              <w:ind w:left="2820"/>
              <w:spacing w:after="0"/>
              <w:rPr>
                <w:sz w:val="20"/>
                <w:szCs w:val="20"/>
                <w:color w:val="auto"/>
              </w:rPr>
            </w:pPr>
            <w:r>
              <w:rPr>
                <w:rFonts w:ascii="Arial" w:cs="Arial" w:eastAsia="Arial" w:hAnsi="Arial"/>
                <w:sz w:val="18"/>
                <w:szCs w:val="18"/>
                <w:color w:val="auto"/>
              </w:rPr>
              <w:t>By:</w:t>
            </w:r>
          </w:p>
        </w:tc>
      </w:tr>
      <w:tr>
        <w:trPr>
          <w:trHeight w:val="210"/>
        </w:trPr>
        <w:tc>
          <w:tcPr>
            <w:tcW w:w="2640" w:type="dxa"/>
            <w:vAlign w:val="bottom"/>
          </w:tcPr>
          <w:p>
            <w:pPr>
              <w:spacing w:after="0"/>
              <w:rPr>
                <w:sz w:val="18"/>
                <w:szCs w:val="18"/>
                <w:color w:val="auto"/>
              </w:rPr>
            </w:pPr>
          </w:p>
        </w:tc>
        <w:tc>
          <w:tcPr>
            <w:tcW w:w="3320" w:type="dxa"/>
            <w:vAlign w:val="bottom"/>
          </w:tcPr>
          <w:p>
            <w:pPr>
              <w:ind w:left="2820"/>
              <w:spacing w:after="0"/>
              <w:rPr>
                <w:sz w:val="20"/>
                <w:szCs w:val="20"/>
                <w:color w:val="auto"/>
              </w:rPr>
            </w:pPr>
            <w:r>
              <w:rPr>
                <w:rFonts w:ascii="Arial" w:cs="Arial" w:eastAsia="Arial" w:hAnsi="Arial"/>
                <w:sz w:val="18"/>
                <w:szCs w:val="18"/>
                <w:color w:val="auto"/>
                <w:w w:val="90"/>
              </w:rPr>
              <w:t>Name:</w:t>
            </w:r>
          </w:p>
        </w:tc>
        <w:tc>
          <w:tcPr>
            <w:tcW w:w="5460" w:type="dxa"/>
            <w:vAlign w:val="bottom"/>
            <w:tcBorders>
              <w:top w:val="single" w:sz="8" w:color="auto"/>
              <w:bottom w:val="single" w:sz="8" w:color="auto"/>
            </w:tcBorders>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3320" w:type="dxa"/>
            <w:vAlign w:val="bottom"/>
          </w:tcPr>
          <w:p>
            <w:pPr>
              <w:ind w:left="2820"/>
              <w:spacing w:after="0"/>
              <w:rPr>
                <w:sz w:val="20"/>
                <w:szCs w:val="20"/>
                <w:color w:val="auto"/>
              </w:rPr>
            </w:pPr>
            <w:r>
              <w:rPr>
                <w:rFonts w:ascii="Arial" w:cs="Arial" w:eastAsia="Arial" w:hAnsi="Arial"/>
                <w:sz w:val="18"/>
                <w:szCs w:val="18"/>
                <w:color w:val="auto"/>
              </w:rPr>
              <w:t>Title:</w:t>
            </w:r>
          </w:p>
        </w:tc>
        <w:tc>
          <w:tcPr>
            <w:tcW w:w="5460" w:type="dxa"/>
            <w:vAlign w:val="bottom"/>
            <w:tcBorders>
              <w:bottom w:val="single" w:sz="8" w:color="auto"/>
            </w:tcBorders>
          </w:tcPr>
          <w:p>
            <w:pPr>
              <w:spacing w:after="0"/>
              <w:rPr>
                <w:sz w:val="18"/>
                <w:szCs w:val="18"/>
                <w:color w:val="auto"/>
              </w:rPr>
            </w:pPr>
          </w:p>
        </w:tc>
      </w:tr>
      <w:tr>
        <w:trPr>
          <w:trHeight w:val="426"/>
        </w:trPr>
        <w:tc>
          <w:tcPr>
            <w:tcW w:w="2640" w:type="dxa"/>
            <w:vAlign w:val="bottom"/>
          </w:tcPr>
          <w:p>
            <w:pPr>
              <w:spacing w:after="0"/>
              <w:rPr>
                <w:sz w:val="24"/>
                <w:szCs w:val="24"/>
                <w:color w:val="auto"/>
              </w:rPr>
            </w:pPr>
          </w:p>
        </w:tc>
        <w:tc>
          <w:tcPr>
            <w:tcW w:w="8780" w:type="dxa"/>
            <w:vAlign w:val="bottom"/>
            <w:gridSpan w:val="2"/>
          </w:tcPr>
          <w:p>
            <w:pPr>
              <w:ind w:left="1500"/>
              <w:spacing w:after="0"/>
              <w:rPr>
                <w:sz w:val="20"/>
                <w:szCs w:val="20"/>
                <w:color w:val="auto"/>
              </w:rPr>
            </w:pPr>
            <w:r>
              <w:rPr>
                <w:rFonts w:ascii="Arial" w:cs="Arial" w:eastAsia="Arial" w:hAnsi="Arial"/>
                <w:sz w:val="18"/>
                <w:szCs w:val="18"/>
                <w:color w:val="auto"/>
              </w:rPr>
              <w:t>[SIGNATURE PAGE TO LOAN NOTICE]</w:t>
            </w:r>
          </w:p>
        </w:tc>
      </w:tr>
    </w:tbl>
    <w:p>
      <w:pPr>
        <w:sectPr>
          <w:pgSz w:w="11900" w:h="16838" w:orient="portrait"/>
          <w:cols w:equalWidth="0" w:num="1">
            <w:col w:w="11420"/>
          </w:cols>
          <w:pgMar w:left="240" w:top="270"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Covenant Calculations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COMPLETED BY BORROWER]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LOAN NOTICE]</w:t>
      </w:r>
    </w:p>
    <w:p>
      <w:pPr>
        <w:sectPr>
          <w:pgSz w:w="11900" w:h="16838" w:orient="portrait"/>
          <w:cols w:equalWidth="0" w:num="1">
            <w:col w:w="9019"/>
          </w:cols>
          <w:pgMar w:left="1440" w:top="270" w:right="1440"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5700" w:type="dxa"/>
            <w:vAlign w:val="bottom"/>
            <w:gridSpan w:val="2"/>
          </w:tcPr>
          <w:p>
            <w:pPr>
              <w:jc w:val="center"/>
              <w:ind w:right="4760"/>
              <w:spacing w:after="0"/>
              <w:rPr>
                <w:sz w:val="20"/>
                <w:szCs w:val="20"/>
                <w:color w:val="auto"/>
              </w:rPr>
            </w:pPr>
            <w:r>
              <w:rPr>
                <w:rFonts w:ascii="Arial" w:cs="Arial" w:eastAsia="Arial" w:hAnsi="Arial"/>
                <w:sz w:val="18"/>
                <w:szCs w:val="18"/>
                <w:b w:val="1"/>
                <w:bCs w:val="1"/>
                <w:color w:val="auto"/>
              </w:rPr>
              <w:t>EXHIBIT N</w:t>
            </w:r>
          </w:p>
        </w:tc>
      </w:tr>
      <w:tr>
        <w:trPr>
          <w:trHeight w:val="434"/>
        </w:trPr>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Form of</w:t>
            </w:r>
          </w:p>
        </w:tc>
        <w:tc>
          <w:tcPr>
            <w:tcW w:w="476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0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Authorization to Share Insurance Information</w:t>
            </w: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TO:</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Bank of America, N.A., as Administrative Agent</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RE:</w:t>
            </w:r>
          </w:p>
        </w:tc>
        <w:tc>
          <w:tcPr>
            <w:tcW w:w="10440" w:type="dxa"/>
            <w:vAlign w:val="bottom"/>
            <w:gridSpan w:val="3"/>
          </w:tcPr>
          <w:p>
            <w:pPr>
              <w:ind w:left="200"/>
              <w:spacing w:after="0"/>
              <w:rPr>
                <w:sz w:val="20"/>
                <w:szCs w:val="20"/>
                <w:color w:val="auto"/>
              </w:rPr>
            </w:pPr>
            <w:r>
              <w:rPr>
                <w:rFonts w:ascii="Arial" w:cs="Arial" w:eastAsia="Arial" w:hAnsi="Arial"/>
                <w:sz w:val="18"/>
                <w:szCs w:val="18"/>
                <w:color w:val="auto"/>
                <w:w w:val="91"/>
              </w:rPr>
              <w:t>Credit Agreement, dated as of May 22, 2014, by and among Fabrinet, an exempted company incorporated with limited liability in the Cayman</w:t>
            </w:r>
          </w:p>
        </w:tc>
      </w:tr>
    </w:tbl>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Islands (the “</w:t>
      </w:r>
      <w:r>
        <w:rPr>
          <w:rFonts w:ascii="Arial" w:cs="Arial" w:eastAsia="Arial" w:hAnsi="Arial"/>
          <w:sz w:val="18"/>
          <w:szCs w:val="18"/>
          <w:u w:val="single" w:color="auto"/>
          <w:color w:val="auto"/>
        </w:rPr>
        <w:t>Company</w:t>
      </w:r>
      <w:r>
        <w:rPr>
          <w:rFonts w:ascii="Arial" w:cs="Arial" w:eastAsia="Arial" w:hAnsi="Arial"/>
          <w:sz w:val="18"/>
          <w:szCs w:val="18"/>
          <w:color w:val="auto"/>
        </w:rPr>
        <w:t>”), the Guarantors, the Designated Borrowers, the Lenders and Bank of America, N.A., as Administrative Agent (as amended, modified, extended, restated, replaced, or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shall have the meanings set forth in the Credit Agreement)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10800" w:type="dxa"/>
            <w:vAlign w:val="bottom"/>
            <w:gridSpan w:val="3"/>
          </w:tcPr>
          <w:p>
            <w:pPr>
              <w:ind w:left="420"/>
              <w:spacing w:after="0"/>
              <w:rPr>
                <w:sz w:val="20"/>
                <w:szCs w:val="20"/>
                <w:color w:val="auto"/>
              </w:rPr>
            </w:pPr>
            <w:r>
              <w:rPr>
                <w:rFonts w:ascii="Arial" w:cs="Arial" w:eastAsia="Arial" w:hAnsi="Arial"/>
                <w:sz w:val="18"/>
                <w:szCs w:val="18"/>
                <w:color w:val="auto"/>
              </w:rPr>
              <w:t>[Date]</w:t>
            </w:r>
          </w:p>
        </w:tc>
      </w:tr>
      <w:tr>
        <w:trPr>
          <w:trHeight w:val="257"/>
        </w:trPr>
        <w:tc>
          <w:tcPr>
            <w:tcW w:w="620" w:type="dxa"/>
            <w:vAlign w:val="bottom"/>
            <w:tcBorders>
              <w:bottom w:val="single" w:sz="8" w:color="auto"/>
            </w:tcBorders>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040" w:type="dxa"/>
            <w:vAlign w:val="bottom"/>
            <w:tcBorders>
              <w:bottom w:val="single" w:sz="8" w:color="auto"/>
            </w:tcBorders>
          </w:tcPr>
          <w:p>
            <w:pPr>
              <w:spacing w:after="0"/>
              <w:rPr>
                <w:sz w:val="22"/>
                <w:szCs w:val="22"/>
                <w:color w:val="auto"/>
              </w:rPr>
            </w:pPr>
          </w:p>
        </w:tc>
      </w:tr>
      <w:tr>
        <w:trPr>
          <w:trHeight w:val="453"/>
        </w:trPr>
        <w:tc>
          <w:tcPr>
            <w:tcW w:w="620" w:type="dxa"/>
            <w:vAlign w:val="bottom"/>
          </w:tcPr>
          <w:p>
            <w:pPr>
              <w:spacing w:after="0"/>
              <w:rPr>
                <w:sz w:val="20"/>
                <w:szCs w:val="20"/>
                <w:color w:val="auto"/>
              </w:rPr>
            </w:pPr>
            <w:r>
              <w:rPr>
                <w:rFonts w:ascii="Arial" w:cs="Arial" w:eastAsia="Arial" w:hAnsi="Arial"/>
                <w:sz w:val="18"/>
                <w:szCs w:val="18"/>
                <w:color w:val="auto"/>
                <w:w w:val="90"/>
              </w:rPr>
              <w:t>Grantor:</w:t>
            </w:r>
          </w:p>
        </w:tc>
        <w:tc>
          <w:tcPr>
            <w:tcW w:w="10800" w:type="dxa"/>
            <w:vAlign w:val="bottom"/>
            <w:gridSpan w:val="3"/>
          </w:tcPr>
          <w:p>
            <w:pPr>
              <w:ind w:left="3160"/>
              <w:spacing w:after="0"/>
              <w:rPr>
                <w:sz w:val="20"/>
                <w:szCs w:val="20"/>
                <w:color w:val="auto"/>
              </w:rPr>
            </w:pPr>
            <w:r>
              <w:rPr>
                <w:rFonts w:ascii="Arial" w:cs="Arial" w:eastAsia="Arial" w:hAnsi="Arial"/>
                <w:sz w:val="18"/>
                <w:szCs w:val="18"/>
                <w:color w:val="auto"/>
              </w:rPr>
              <w:t>Fabrinet (the “Grantor”)</w:t>
            </w:r>
          </w:p>
        </w:tc>
      </w:tr>
      <w:tr>
        <w:trPr>
          <w:trHeight w:val="20"/>
        </w:trPr>
        <w:tc>
          <w:tcPr>
            <w:tcW w:w="6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Administrative Agent</w:t>
      </w:r>
      <w:r>
        <w:rPr>
          <w:rFonts w:ascii="Arial" w:cs="Arial" w:eastAsia="Arial" w:hAnsi="Arial"/>
          <w:sz w:val="17"/>
          <w:szCs w:val="17"/>
          <w:color w:val="auto"/>
        </w:rPr>
        <w:t>: Bank of America, N.A., as Administrative Agent for the Secured Parties, I.S.A.O.A., A.T.I.M.A. *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00" w:type="dxa"/>
            <w:vAlign w:val="bottom"/>
            <w:gridSpan w:val="3"/>
          </w:tcPr>
          <w:p>
            <w:pPr>
              <w:ind w:left="580"/>
              <w:spacing w:after="0"/>
              <w:rPr>
                <w:sz w:val="20"/>
                <w:szCs w:val="20"/>
                <w:color w:val="auto"/>
              </w:rPr>
            </w:pPr>
            <w:r>
              <w:rPr>
                <w:rFonts w:ascii="Arial" w:cs="Arial" w:eastAsia="Arial" w:hAnsi="Arial"/>
                <w:sz w:val="18"/>
                <w:szCs w:val="18"/>
                <w:color w:val="auto"/>
              </w:rPr>
              <w:t>Attn: MAC Legal Collateral Administration</w:t>
            </w:r>
          </w:p>
        </w:tc>
      </w:tr>
      <w:tr>
        <w:trPr>
          <w:trHeight w:val="432"/>
        </w:trPr>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00" w:type="dxa"/>
            <w:vAlign w:val="bottom"/>
            <w:gridSpan w:val="3"/>
          </w:tcPr>
          <w:p>
            <w:pPr>
              <w:ind w:left="580"/>
              <w:spacing w:after="0"/>
              <w:rPr>
                <w:sz w:val="20"/>
                <w:szCs w:val="20"/>
                <w:color w:val="auto"/>
              </w:rPr>
            </w:pPr>
            <w:r>
              <w:rPr>
                <w:rFonts w:ascii="Arial" w:cs="Arial" w:eastAsia="Arial" w:hAnsi="Arial"/>
                <w:sz w:val="18"/>
                <w:szCs w:val="18"/>
                <w:color w:val="auto"/>
              </w:rPr>
              <w:t>Mail Code CA4-702-02-25</w:t>
            </w:r>
          </w:p>
        </w:tc>
      </w:tr>
      <w:tr>
        <w:trPr>
          <w:trHeight w:val="459"/>
        </w:trPr>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00" w:type="dxa"/>
            <w:vAlign w:val="bottom"/>
            <w:gridSpan w:val="3"/>
          </w:tcPr>
          <w:p>
            <w:pPr>
              <w:ind w:left="580"/>
              <w:spacing w:after="0"/>
              <w:rPr>
                <w:sz w:val="20"/>
                <w:szCs w:val="20"/>
                <w:color w:val="auto"/>
              </w:rPr>
            </w:pPr>
            <w:r>
              <w:rPr>
                <w:rFonts w:ascii="Arial" w:cs="Arial" w:eastAsia="Arial" w:hAnsi="Arial"/>
                <w:sz w:val="18"/>
                <w:szCs w:val="18"/>
                <w:color w:val="auto"/>
              </w:rPr>
              <w:t>2001 Clayton Road, 2nd Floor</w:t>
            </w:r>
          </w:p>
        </w:tc>
      </w:tr>
      <w:tr>
        <w:trPr>
          <w:trHeight w:val="446"/>
        </w:trPr>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00" w:type="dxa"/>
            <w:vAlign w:val="bottom"/>
            <w:gridSpan w:val="3"/>
          </w:tcPr>
          <w:p>
            <w:pPr>
              <w:ind w:left="580"/>
              <w:spacing w:after="0"/>
              <w:rPr>
                <w:sz w:val="20"/>
                <w:szCs w:val="20"/>
                <w:color w:val="auto"/>
              </w:rPr>
            </w:pPr>
            <w:r>
              <w:rPr>
                <w:rFonts w:ascii="Arial" w:cs="Arial" w:eastAsia="Arial" w:hAnsi="Arial"/>
                <w:sz w:val="18"/>
                <w:szCs w:val="18"/>
                <w:color w:val="auto"/>
              </w:rPr>
              <w:t>Concord, CA 94520</w:t>
            </w:r>
          </w:p>
        </w:tc>
      </w:tr>
      <w:tr>
        <w:trPr>
          <w:trHeight w:val="392"/>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Policy Number:</w:t>
            </w:r>
          </w:p>
        </w:tc>
        <w:tc>
          <w:tcPr>
            <w:tcW w:w="2040" w:type="dxa"/>
            <w:vAlign w:val="bottom"/>
            <w:gridSpan w:val="5"/>
          </w:tcPr>
          <w:p>
            <w:pPr>
              <w:spacing w:after="0"/>
              <w:rPr>
                <w:sz w:val="24"/>
                <w:szCs w:val="24"/>
                <w:color w:val="auto"/>
              </w:rPr>
            </w:pPr>
          </w:p>
        </w:tc>
        <w:tc>
          <w:tcPr>
            <w:tcW w:w="5700" w:type="dxa"/>
            <w:vAlign w:val="bottom"/>
            <w:gridSpan w:val="3"/>
          </w:tcPr>
          <w:p>
            <w:pPr>
              <w:ind w:left="580"/>
              <w:spacing w:after="0"/>
              <w:rPr>
                <w:sz w:val="20"/>
                <w:szCs w:val="20"/>
                <w:color w:val="auto"/>
              </w:rPr>
            </w:pPr>
            <w:r>
              <w:rPr>
                <w:rFonts w:ascii="Arial" w:cs="Arial" w:eastAsia="Arial" w:hAnsi="Arial"/>
                <w:sz w:val="18"/>
                <w:szCs w:val="18"/>
                <w:color w:val="auto"/>
              </w:rPr>
              <w:t>[Insert Applicable Policy Number]</w:t>
            </w:r>
          </w:p>
        </w:tc>
      </w:tr>
      <w:tr>
        <w:trPr>
          <w:trHeight w:val="412"/>
        </w:trPr>
        <w:tc>
          <w:tcPr>
            <w:tcW w:w="2000" w:type="dxa"/>
            <w:vAlign w:val="bottom"/>
            <w:gridSpan w:val="2"/>
          </w:tcPr>
          <w:p>
            <w:pPr>
              <w:spacing w:after="0"/>
              <w:rPr>
                <w:sz w:val="20"/>
                <w:szCs w:val="20"/>
                <w:color w:val="auto"/>
              </w:rPr>
            </w:pPr>
            <w:r>
              <w:rPr>
                <w:rFonts w:ascii="Arial" w:cs="Arial" w:eastAsia="Arial" w:hAnsi="Arial"/>
                <w:sz w:val="18"/>
                <w:szCs w:val="18"/>
                <w:color w:val="auto"/>
                <w:w w:val="90"/>
              </w:rPr>
              <w:t>Insurance Company/Agent:</w:t>
            </w:r>
          </w:p>
        </w:tc>
        <w:tc>
          <w:tcPr>
            <w:tcW w:w="1200" w:type="dxa"/>
            <w:vAlign w:val="bottom"/>
            <w:gridSpan w:val="4"/>
          </w:tcPr>
          <w:p>
            <w:pPr>
              <w:spacing w:after="0"/>
              <w:rPr>
                <w:sz w:val="24"/>
                <w:szCs w:val="24"/>
                <w:color w:val="auto"/>
              </w:rPr>
            </w:pPr>
          </w:p>
        </w:tc>
        <w:tc>
          <w:tcPr>
            <w:tcW w:w="5700" w:type="dxa"/>
            <w:vAlign w:val="bottom"/>
            <w:gridSpan w:val="3"/>
          </w:tcPr>
          <w:p>
            <w:pPr>
              <w:ind w:left="580"/>
              <w:spacing w:after="0"/>
              <w:rPr>
                <w:sz w:val="20"/>
                <w:szCs w:val="20"/>
                <w:color w:val="auto"/>
              </w:rPr>
            </w:pPr>
            <w:r>
              <w:rPr>
                <w:rFonts w:ascii="Arial" w:cs="Arial" w:eastAsia="Arial" w:hAnsi="Arial"/>
                <w:sz w:val="18"/>
                <w:szCs w:val="18"/>
                <w:color w:val="auto"/>
                <w:w w:val="92"/>
              </w:rPr>
              <w:t>[Insert Applicable Insurance Company/Agent] (the “Insurance Agent”)</w:t>
            </w:r>
          </w:p>
        </w:tc>
      </w:tr>
      <w:tr>
        <w:trPr>
          <w:trHeight w:val="20"/>
        </w:trPr>
        <w:tc>
          <w:tcPr>
            <w:tcW w:w="20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Insurance Company Address:</w:t>
            </w:r>
          </w:p>
        </w:tc>
        <w:tc>
          <w:tcPr>
            <w:tcW w:w="1060" w:type="dxa"/>
            <w:vAlign w:val="bottom"/>
            <w:gridSpan w:val="2"/>
          </w:tcPr>
          <w:p>
            <w:pPr>
              <w:spacing w:after="0"/>
              <w:rPr>
                <w:sz w:val="24"/>
                <w:szCs w:val="24"/>
                <w:color w:val="auto"/>
              </w:rPr>
            </w:pPr>
          </w:p>
        </w:tc>
        <w:tc>
          <w:tcPr>
            <w:tcW w:w="5700" w:type="dxa"/>
            <w:vAlign w:val="bottom"/>
            <w:gridSpan w:val="3"/>
          </w:tcPr>
          <w:p>
            <w:pPr>
              <w:ind w:left="580"/>
              <w:spacing w:after="0"/>
              <w:rPr>
                <w:sz w:val="20"/>
                <w:szCs w:val="20"/>
                <w:color w:val="auto"/>
              </w:rPr>
            </w:pPr>
            <w:r>
              <w:rPr>
                <w:rFonts w:ascii="Arial" w:cs="Arial" w:eastAsia="Arial" w:hAnsi="Arial"/>
                <w:sz w:val="18"/>
                <w:szCs w:val="18"/>
                <w:color w:val="auto"/>
              </w:rPr>
              <w:t>[Insert Insurance Company’s Address]</w:t>
            </w:r>
          </w:p>
        </w:tc>
      </w:tr>
      <w:tr>
        <w:trPr>
          <w:trHeight w:val="412"/>
        </w:trPr>
        <w:tc>
          <w:tcPr>
            <w:tcW w:w="3200" w:type="dxa"/>
            <w:vAlign w:val="bottom"/>
            <w:gridSpan w:val="6"/>
          </w:tcPr>
          <w:p>
            <w:pPr>
              <w:spacing w:after="0"/>
              <w:rPr>
                <w:sz w:val="20"/>
                <w:szCs w:val="20"/>
                <w:color w:val="auto"/>
              </w:rPr>
            </w:pPr>
            <w:r>
              <w:rPr>
                <w:rFonts w:ascii="Arial" w:cs="Arial" w:eastAsia="Arial" w:hAnsi="Arial"/>
                <w:sz w:val="18"/>
                <w:szCs w:val="18"/>
                <w:color w:val="auto"/>
              </w:rPr>
              <w:t>Insurance Company Telephone No.:</w:t>
            </w:r>
          </w:p>
        </w:tc>
        <w:tc>
          <w:tcPr>
            <w:tcW w:w="5700" w:type="dxa"/>
            <w:vAlign w:val="bottom"/>
            <w:gridSpan w:val="3"/>
          </w:tcPr>
          <w:p>
            <w:pPr>
              <w:ind w:left="580"/>
              <w:spacing w:after="0"/>
              <w:rPr>
                <w:sz w:val="20"/>
                <w:szCs w:val="20"/>
                <w:color w:val="auto"/>
              </w:rPr>
            </w:pPr>
            <w:r>
              <w:rPr>
                <w:rFonts w:ascii="Arial" w:cs="Arial" w:eastAsia="Arial" w:hAnsi="Arial"/>
                <w:sz w:val="18"/>
                <w:szCs w:val="18"/>
                <w:color w:val="auto"/>
              </w:rPr>
              <w:t>[Insert Insurance Company’s Telephone No.]</w:t>
            </w:r>
          </w:p>
        </w:tc>
      </w:tr>
      <w:tr>
        <w:trPr>
          <w:trHeight w:val="412"/>
        </w:trPr>
        <w:tc>
          <w:tcPr>
            <w:tcW w:w="26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Insurance Company Fax No.:</w:t>
            </w:r>
          </w:p>
        </w:tc>
        <w:tc>
          <w:tcPr>
            <w:tcW w:w="600" w:type="dxa"/>
            <w:vAlign w:val="bottom"/>
          </w:tcPr>
          <w:p>
            <w:pPr>
              <w:spacing w:after="0"/>
              <w:rPr>
                <w:sz w:val="24"/>
                <w:szCs w:val="24"/>
                <w:color w:val="auto"/>
              </w:rPr>
            </w:pPr>
          </w:p>
        </w:tc>
        <w:tc>
          <w:tcPr>
            <w:tcW w:w="5700" w:type="dxa"/>
            <w:vAlign w:val="bottom"/>
            <w:gridSpan w:val="3"/>
          </w:tcPr>
          <w:p>
            <w:pPr>
              <w:ind w:left="580"/>
              <w:spacing w:after="0"/>
              <w:rPr>
                <w:sz w:val="20"/>
                <w:szCs w:val="20"/>
                <w:color w:val="auto"/>
              </w:rPr>
            </w:pPr>
            <w:r>
              <w:rPr>
                <w:rFonts w:ascii="Arial" w:cs="Arial" w:eastAsia="Arial" w:hAnsi="Arial"/>
                <w:sz w:val="18"/>
                <w:szCs w:val="18"/>
                <w:color w:val="auto"/>
              </w:rPr>
              <w:t>[Insert Insurance Company’s Fax No.]</w:t>
            </w:r>
          </w:p>
        </w:tc>
      </w:tr>
      <w:tr>
        <w:trPr>
          <w:trHeight w:val="20"/>
        </w:trPr>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Grantor hereby authorizes the Insurance Agent to send evidence of all insurance to the Administrative Agent, as may be requested by the Administrative Agent, together with requested copies of insurance policies and certificates of insurance.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I.S.A.O.A. stands for “its successors and/or assigns.” A.T.I.M.A. stands for “as their interest may appear.”</w:t>
      </w:r>
    </w:p>
    <w:p>
      <w:pPr>
        <w:spacing w:after="0" w:line="225" w:lineRule="exact"/>
        <w:rPr>
          <w:rFonts w:ascii="Arial" w:cs="Arial" w:eastAsia="Arial" w:hAnsi="Arial"/>
          <w:sz w:val="18"/>
          <w:szCs w:val="18"/>
          <w:color w:val="auto"/>
        </w:rPr>
      </w:pPr>
    </w:p>
    <w:p>
      <w:pPr>
        <w:ind w:left="4140"/>
        <w:spacing w:after="0"/>
        <w:rPr>
          <w:rFonts w:ascii="Arial" w:cs="Arial" w:eastAsia="Arial" w:hAnsi="Arial"/>
          <w:sz w:val="18"/>
          <w:szCs w:val="18"/>
          <w:color w:val="auto"/>
        </w:rPr>
      </w:pPr>
      <w:r>
        <w:rPr>
          <w:rFonts w:ascii="Arial" w:cs="Arial" w:eastAsia="Arial" w:hAnsi="Arial"/>
          <w:sz w:val="18"/>
          <w:szCs w:val="18"/>
          <w:color w:val="auto"/>
        </w:rPr>
        <w:t>[SIGNATURE PAGE TO LOAN NOTICE]</w:t>
      </w:r>
    </w:p>
    <w:p>
      <w:pPr>
        <w:sectPr>
          <w:pgSz w:w="11900" w:h="16838" w:orient="portrait"/>
          <w:cols w:equalWidth="0" w:num="1">
            <w:col w:w="11420"/>
          </w:cols>
          <w:pgMar w:left="240" w:top="257" w:right="239" w:bottom="1440" w:gutter="0" w:footer="0" w:header="0"/>
        </w:sectPr>
      </w:pPr>
    </w:p>
    <w:bookmarkStart w:id="203" w:name="page204"/>
    <w:bookmarkEnd w:id="203"/>
    <w:p>
      <w:pPr>
        <w:ind w:right="300"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has caused this Authorization to Share Insurance Information to be duly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780" w:type="dxa"/>
            <w:vAlign w:val="bottom"/>
            <w:gridSpan w:val="2"/>
          </w:tcPr>
          <w:p>
            <w:pPr>
              <w:ind w:left="2820"/>
              <w:spacing w:after="0"/>
              <w:rPr>
                <w:sz w:val="20"/>
                <w:szCs w:val="20"/>
                <w:color w:val="auto"/>
              </w:rPr>
            </w:pPr>
            <w:r>
              <w:rPr>
                <w:rFonts w:ascii="Arial" w:cs="Arial" w:eastAsia="Arial" w:hAnsi="Arial"/>
                <w:sz w:val="18"/>
                <w:szCs w:val="18"/>
                <w:b w:val="1"/>
                <w:bCs w:val="1"/>
                <w:color w:val="auto"/>
              </w:rPr>
              <w:t>FABRINET</w:t>
            </w:r>
            <w:r>
              <w:rPr>
                <w:rFonts w:ascii="Arial" w:cs="Arial" w:eastAsia="Arial" w:hAnsi="Arial"/>
                <w:sz w:val="18"/>
                <w:szCs w:val="18"/>
                <w:color w:val="auto"/>
              </w:rPr>
              <w:t>,</w:t>
            </w:r>
          </w:p>
        </w:tc>
      </w:tr>
      <w:tr>
        <w:trPr>
          <w:trHeight w:val="230"/>
        </w:trPr>
        <w:tc>
          <w:tcPr>
            <w:tcW w:w="2640" w:type="dxa"/>
            <w:vAlign w:val="bottom"/>
          </w:tcPr>
          <w:p>
            <w:pPr>
              <w:spacing w:after="0"/>
              <w:rPr>
                <w:sz w:val="20"/>
                <w:szCs w:val="20"/>
                <w:color w:val="auto"/>
              </w:rPr>
            </w:pPr>
          </w:p>
        </w:tc>
        <w:tc>
          <w:tcPr>
            <w:tcW w:w="8780" w:type="dxa"/>
            <w:vAlign w:val="bottom"/>
            <w:gridSpan w:val="2"/>
          </w:tcPr>
          <w:p>
            <w:pPr>
              <w:ind w:left="2820"/>
              <w:spacing w:after="0"/>
              <w:rPr>
                <w:sz w:val="20"/>
                <w:szCs w:val="20"/>
                <w:color w:val="auto"/>
              </w:rPr>
            </w:pPr>
            <w:r>
              <w:rPr>
                <w:rFonts w:ascii="Arial" w:cs="Arial" w:eastAsia="Arial" w:hAnsi="Arial"/>
                <w:sz w:val="18"/>
                <w:szCs w:val="18"/>
                <w:color w:val="auto"/>
                <w:w w:val="95"/>
              </w:rPr>
              <w:t>an exempted company incorporated with limited liability in the Cayman Islands</w:t>
            </w:r>
          </w:p>
        </w:tc>
      </w:tr>
      <w:tr>
        <w:trPr>
          <w:trHeight w:val="432"/>
        </w:trPr>
        <w:tc>
          <w:tcPr>
            <w:tcW w:w="2640" w:type="dxa"/>
            <w:vAlign w:val="bottom"/>
          </w:tcPr>
          <w:p>
            <w:pPr>
              <w:spacing w:after="0"/>
              <w:rPr>
                <w:sz w:val="24"/>
                <w:szCs w:val="24"/>
                <w:color w:val="auto"/>
              </w:rPr>
            </w:pPr>
          </w:p>
        </w:tc>
        <w:tc>
          <w:tcPr>
            <w:tcW w:w="8780" w:type="dxa"/>
            <w:vAlign w:val="bottom"/>
            <w:gridSpan w:val="2"/>
          </w:tcPr>
          <w:p>
            <w:pPr>
              <w:ind w:left="2820"/>
              <w:spacing w:after="0"/>
              <w:rPr>
                <w:sz w:val="20"/>
                <w:szCs w:val="20"/>
                <w:color w:val="auto"/>
              </w:rPr>
            </w:pPr>
            <w:r>
              <w:rPr>
                <w:rFonts w:ascii="Arial" w:cs="Arial" w:eastAsia="Arial" w:hAnsi="Arial"/>
                <w:sz w:val="18"/>
                <w:szCs w:val="18"/>
                <w:color w:val="auto"/>
              </w:rPr>
              <w:t>By:</w:t>
            </w:r>
          </w:p>
        </w:tc>
      </w:tr>
      <w:tr>
        <w:trPr>
          <w:trHeight w:val="210"/>
        </w:trPr>
        <w:tc>
          <w:tcPr>
            <w:tcW w:w="2640" w:type="dxa"/>
            <w:vAlign w:val="bottom"/>
          </w:tcPr>
          <w:p>
            <w:pPr>
              <w:spacing w:after="0"/>
              <w:rPr>
                <w:sz w:val="18"/>
                <w:szCs w:val="18"/>
                <w:color w:val="auto"/>
              </w:rPr>
            </w:pPr>
          </w:p>
        </w:tc>
        <w:tc>
          <w:tcPr>
            <w:tcW w:w="3320" w:type="dxa"/>
            <w:vAlign w:val="bottom"/>
          </w:tcPr>
          <w:p>
            <w:pPr>
              <w:ind w:left="2820"/>
              <w:spacing w:after="0"/>
              <w:rPr>
                <w:sz w:val="20"/>
                <w:szCs w:val="20"/>
                <w:color w:val="auto"/>
              </w:rPr>
            </w:pPr>
            <w:r>
              <w:rPr>
                <w:rFonts w:ascii="Arial" w:cs="Arial" w:eastAsia="Arial" w:hAnsi="Arial"/>
                <w:sz w:val="18"/>
                <w:szCs w:val="18"/>
                <w:color w:val="auto"/>
                <w:w w:val="90"/>
              </w:rPr>
              <w:t>Name:</w:t>
            </w:r>
          </w:p>
        </w:tc>
        <w:tc>
          <w:tcPr>
            <w:tcW w:w="5460" w:type="dxa"/>
            <w:vAlign w:val="bottom"/>
            <w:tcBorders>
              <w:top w:val="single" w:sz="8" w:color="auto"/>
              <w:bottom w:val="single" w:sz="8" w:color="auto"/>
            </w:tcBorders>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3320" w:type="dxa"/>
            <w:vAlign w:val="bottom"/>
          </w:tcPr>
          <w:p>
            <w:pPr>
              <w:ind w:left="2820"/>
              <w:spacing w:after="0"/>
              <w:rPr>
                <w:sz w:val="20"/>
                <w:szCs w:val="20"/>
                <w:color w:val="auto"/>
              </w:rPr>
            </w:pPr>
            <w:r>
              <w:rPr>
                <w:rFonts w:ascii="Arial" w:cs="Arial" w:eastAsia="Arial" w:hAnsi="Arial"/>
                <w:sz w:val="18"/>
                <w:szCs w:val="18"/>
                <w:color w:val="auto"/>
              </w:rPr>
              <w:t>Title:</w:t>
            </w:r>
          </w:p>
        </w:tc>
        <w:tc>
          <w:tcPr>
            <w:tcW w:w="5460" w:type="dxa"/>
            <w:vAlign w:val="bottom"/>
            <w:tcBorders>
              <w:bottom w:val="single" w:sz="8" w:color="auto"/>
            </w:tcBorders>
          </w:tcPr>
          <w:p>
            <w:pPr>
              <w:spacing w:after="0"/>
              <w:rPr>
                <w:sz w:val="18"/>
                <w:szCs w:val="18"/>
                <w:color w:val="auto"/>
              </w:rPr>
            </w:pPr>
          </w:p>
        </w:tc>
      </w:tr>
      <w:tr>
        <w:trPr>
          <w:trHeight w:val="642"/>
        </w:trPr>
        <w:tc>
          <w:tcPr>
            <w:tcW w:w="2640" w:type="dxa"/>
            <w:vAlign w:val="bottom"/>
          </w:tcPr>
          <w:p>
            <w:pPr>
              <w:spacing w:after="0"/>
              <w:rPr>
                <w:sz w:val="24"/>
                <w:szCs w:val="24"/>
                <w:color w:val="auto"/>
              </w:rPr>
            </w:pPr>
          </w:p>
        </w:tc>
        <w:tc>
          <w:tcPr>
            <w:tcW w:w="8780" w:type="dxa"/>
            <w:vAlign w:val="bottom"/>
            <w:gridSpan w:val="2"/>
          </w:tcPr>
          <w:p>
            <w:pPr>
              <w:ind w:left="1500"/>
              <w:spacing w:after="0"/>
              <w:rPr>
                <w:sz w:val="20"/>
                <w:szCs w:val="20"/>
                <w:color w:val="auto"/>
              </w:rPr>
            </w:pPr>
            <w:r>
              <w:rPr>
                <w:rFonts w:ascii="Arial" w:cs="Arial" w:eastAsia="Arial" w:hAnsi="Arial"/>
                <w:sz w:val="18"/>
                <w:szCs w:val="18"/>
                <w:color w:val="auto"/>
              </w:rPr>
              <w:t>[SIGNATURE PAGE TO LOAN NOTICE]</w:t>
            </w:r>
          </w:p>
        </w:tc>
      </w:tr>
    </w:tbl>
    <w:p>
      <w:pPr>
        <w:sectPr>
          <w:pgSz w:w="11900" w:h="16838" w:orient="portrait"/>
          <w:cols w:equalWidth="0" w:num="1">
            <w:col w:w="11420"/>
          </w:cols>
          <w:pgMar w:left="240" w:top="270" w:right="239" w:bottom="1440" w:gutter="0" w:footer="0" w:header="0"/>
        </w:sectPr>
      </w:pPr>
    </w:p>
    <w:bookmarkStart w:id="204" w:name="page205"/>
    <w:bookmarkEnd w:id="2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0" w:type="dxa"/>
            <w:vAlign w:val="bottom"/>
            <w:gridSpan w:val="5"/>
          </w:tcPr>
          <w:p>
            <w:pPr>
              <w:jc w:val="center"/>
              <w:ind w:right="2560"/>
              <w:spacing w:after="0"/>
              <w:rPr>
                <w:sz w:val="20"/>
                <w:szCs w:val="20"/>
                <w:color w:val="auto"/>
              </w:rPr>
            </w:pPr>
            <w:r>
              <w:rPr>
                <w:rFonts w:ascii="Arial" w:cs="Arial" w:eastAsia="Arial" w:hAnsi="Arial"/>
                <w:sz w:val="18"/>
                <w:szCs w:val="18"/>
                <w:b w:val="1"/>
                <w:bCs w:val="1"/>
                <w:color w:val="auto"/>
              </w:rPr>
              <w:t>EXHIBIT O</w:t>
            </w:r>
          </w:p>
        </w:tc>
      </w:tr>
      <w:tr>
        <w:trPr>
          <w:trHeight w:val="326"/>
        </w:trPr>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Form of</w:t>
            </w:r>
          </w:p>
        </w:tc>
        <w:tc>
          <w:tcPr>
            <w:tcW w:w="5100" w:type="dxa"/>
            <w:vAlign w:val="bottom"/>
            <w:gridSpan w:val="3"/>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0" w:type="dxa"/>
            <w:vAlign w:val="bottom"/>
            <w:gridSpan w:val="5"/>
          </w:tcPr>
          <w:p>
            <w:pPr>
              <w:jc w:val="center"/>
              <w:ind w:right="2580"/>
              <w:spacing w:after="0"/>
              <w:rPr>
                <w:sz w:val="20"/>
                <w:szCs w:val="20"/>
                <w:color w:val="auto"/>
              </w:rPr>
            </w:pPr>
            <w:r>
              <w:rPr>
                <w:rFonts w:ascii="Arial" w:cs="Arial" w:eastAsia="Arial" w:hAnsi="Arial"/>
                <w:sz w:val="18"/>
                <w:szCs w:val="18"/>
                <w:b w:val="1"/>
                <w:bCs w:val="1"/>
                <w:color w:val="auto"/>
                <w:w w:val="90"/>
              </w:rPr>
              <w:t>Notice of Loan Prepayment</w:t>
            </w:r>
          </w:p>
        </w:tc>
      </w:tr>
      <w:tr>
        <w:trPr>
          <w:trHeight w:val="675"/>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10520" w:type="dxa"/>
            <w:vAlign w:val="bottom"/>
            <w:gridSpan w:val="7"/>
          </w:tcPr>
          <w:p>
            <w:pPr>
              <w:ind w:left="260"/>
              <w:spacing w:after="0"/>
              <w:rPr>
                <w:sz w:val="20"/>
                <w:szCs w:val="20"/>
                <w:color w:val="auto"/>
              </w:rPr>
            </w:pPr>
            <w:r>
              <w:rPr>
                <w:rFonts w:ascii="Arial" w:cs="Arial" w:eastAsia="Arial" w:hAnsi="Arial"/>
                <w:sz w:val="18"/>
                <w:szCs w:val="18"/>
                <w:color w:val="auto"/>
              </w:rPr>
              <w:t>Bank of America, N.A., as Administrative Agent</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RE:</w:t>
            </w:r>
          </w:p>
        </w:tc>
        <w:tc>
          <w:tcPr>
            <w:tcW w:w="10520" w:type="dxa"/>
            <w:vAlign w:val="bottom"/>
            <w:gridSpan w:val="7"/>
          </w:tcPr>
          <w:p>
            <w:pPr>
              <w:ind w:left="260"/>
              <w:spacing w:after="0"/>
              <w:rPr>
                <w:sz w:val="20"/>
                <w:szCs w:val="20"/>
                <w:color w:val="auto"/>
              </w:rPr>
            </w:pPr>
            <w:r>
              <w:rPr>
                <w:rFonts w:ascii="Arial" w:cs="Arial" w:eastAsia="Arial" w:hAnsi="Arial"/>
                <w:sz w:val="18"/>
                <w:szCs w:val="18"/>
                <w:color w:val="auto"/>
                <w:w w:val="91"/>
              </w:rPr>
              <w:t>Credit Agreement, dated as of May 22, 2014, by and among Fabrinet, an exempted company incorporated with limited liability in the Cayman</w:t>
            </w:r>
          </w:p>
        </w:tc>
      </w:tr>
      <w:tr>
        <w:trPr>
          <w:trHeight w:val="190"/>
        </w:trPr>
        <w:tc>
          <w:tcPr>
            <w:tcW w:w="780" w:type="dxa"/>
            <w:vAlign w:val="bottom"/>
          </w:tcPr>
          <w:p>
            <w:pPr>
              <w:spacing w:after="0"/>
              <w:rPr>
                <w:sz w:val="16"/>
                <w:szCs w:val="16"/>
                <w:color w:val="auto"/>
              </w:rPr>
            </w:pPr>
          </w:p>
        </w:tc>
        <w:tc>
          <w:tcPr>
            <w:tcW w:w="10520" w:type="dxa"/>
            <w:vAlign w:val="bottom"/>
            <w:gridSpan w:val="7"/>
          </w:tcPr>
          <w:p>
            <w:pPr>
              <w:ind w:left="260"/>
              <w:spacing w:after="0" w:line="190" w:lineRule="exact"/>
              <w:rPr>
                <w:sz w:val="20"/>
                <w:szCs w:val="20"/>
                <w:color w:val="auto"/>
              </w:rPr>
            </w:pPr>
            <w:r>
              <w:rPr>
                <w:rFonts w:ascii="Arial" w:cs="Arial" w:eastAsia="Arial" w:hAnsi="Arial"/>
                <w:sz w:val="18"/>
                <w:szCs w:val="18"/>
                <w:color w:val="auto"/>
                <w:w w:val="93"/>
              </w:rPr>
              <w:t>Islands (the “Company”), the Guarantors, the Designated Borrowers, the Lenders and Bank of America, N.A., as Administrative Agent (as</w:t>
            </w:r>
          </w:p>
        </w:tc>
      </w:tr>
      <w:tr>
        <w:trPr>
          <w:trHeight w:val="20"/>
        </w:trPr>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520" w:type="dxa"/>
            <w:vAlign w:val="bottom"/>
            <w:gridSpan w:val="7"/>
          </w:tcPr>
          <w:p>
            <w:pPr>
              <w:ind w:left="260"/>
              <w:spacing w:after="0" w:line="196" w:lineRule="exact"/>
              <w:rPr>
                <w:sz w:val="20"/>
                <w:szCs w:val="20"/>
                <w:color w:val="auto"/>
              </w:rPr>
            </w:pPr>
            <w:r>
              <w:rPr>
                <w:rFonts w:ascii="Arial" w:cs="Arial" w:eastAsia="Arial" w:hAnsi="Arial"/>
                <w:sz w:val="18"/>
                <w:szCs w:val="18"/>
                <w:color w:val="auto"/>
                <w:w w:val="92"/>
              </w:rPr>
              <w:t>amended, modified, extended, restated, replaced, or supplemented from time to time, the “Credit Agreement”; capitalized terms used herein</w:t>
            </w:r>
          </w:p>
        </w:tc>
      </w:tr>
      <w:tr>
        <w:trPr>
          <w:trHeight w:val="237"/>
        </w:trPr>
        <w:tc>
          <w:tcPr>
            <w:tcW w:w="780" w:type="dxa"/>
            <w:vAlign w:val="bottom"/>
          </w:tcPr>
          <w:p>
            <w:pPr>
              <w:spacing w:after="0"/>
              <w:rPr>
                <w:sz w:val="20"/>
                <w:szCs w:val="20"/>
                <w:color w:val="auto"/>
              </w:rPr>
            </w:pP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96"/>
              </w:rPr>
              <w:t>and not otherwise defined shall have the meanings set forth in the Credit Agreement)</w:t>
            </w:r>
          </w:p>
        </w:tc>
        <w:tc>
          <w:tcPr>
            <w:tcW w:w="1280" w:type="dxa"/>
            <w:vAlign w:val="bottom"/>
            <w:tcBorders>
              <w:top w:val="single" w:sz="8" w:color="auto"/>
            </w:tcBorders>
          </w:tcPr>
          <w:p>
            <w:pPr>
              <w:spacing w:after="0"/>
              <w:rPr>
                <w:sz w:val="20"/>
                <w:szCs w:val="20"/>
                <w:color w:val="auto"/>
              </w:rPr>
            </w:pPr>
          </w:p>
        </w:tc>
        <w:tc>
          <w:tcPr>
            <w:tcW w:w="246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0520" w:type="dxa"/>
            <w:vAlign w:val="bottom"/>
            <w:gridSpan w:val="7"/>
          </w:tcPr>
          <w:p>
            <w:pPr>
              <w:ind w:left="26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Borrower hereby notifies the Administrative Agent that on </w:t>
      </w:r>
      <w:r>
        <w:rPr>
          <w:rFonts w:ascii="Arial" w:cs="Arial" w:eastAsia="Arial" w:hAnsi="Arial"/>
          <w:sz w:val="17"/>
          <w:szCs w:val="17"/>
          <w:b w:val="1"/>
          <w:bCs w:val="1"/>
          <w:color w:val="auto"/>
        </w:rPr>
        <w:t>_____________</w:t>
      </w:r>
      <w:r>
        <w:rPr>
          <w:rFonts w:ascii="Arial" w:cs="Arial" w:eastAsia="Arial" w:hAnsi="Arial"/>
          <w:sz w:val="14"/>
          <w:szCs w:val="14"/>
          <w:color w:val="auto"/>
        </w:rPr>
        <w:t>1</w:t>
      </w:r>
      <w:r>
        <w:rPr>
          <w:rFonts w:ascii="Arial" w:cs="Arial" w:eastAsia="Arial" w:hAnsi="Arial"/>
          <w:sz w:val="17"/>
          <w:szCs w:val="17"/>
          <w:color w:val="auto"/>
        </w:rPr>
        <w:t xml:space="preserve"> pursuant to the terms of Section 2.03 (Prepayments) of the Credit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the Borrower intends to prepay/repay the following Loans as more specifically set forth below:</w:t>
      </w:r>
    </w:p>
    <w:p>
      <w:pPr>
        <w:spacing w:after="0" w:line="103" w:lineRule="exact"/>
        <w:rPr>
          <w:sz w:val="20"/>
          <w:szCs w:val="20"/>
          <w:color w:val="auto"/>
        </w:rPr>
      </w:pPr>
    </w:p>
    <w:p>
      <w:pPr>
        <w:ind w:left="1700" w:hanging="208"/>
        <w:spacing w:after="0"/>
        <w:tabs>
          <w:tab w:leader="none" w:pos="1700" w:val="left"/>
        </w:tabs>
        <w:numPr>
          <w:ilvl w:val="0"/>
          <w:numId w:val="220"/>
        </w:numPr>
        <w:rPr>
          <w:rFonts w:ascii="MS PGothic" w:cs="MS PGothic" w:eastAsia="MS PGothic" w:hAnsi="MS PGothic"/>
          <w:sz w:val="18"/>
          <w:szCs w:val="18"/>
          <w:color w:val="auto"/>
        </w:rPr>
      </w:pPr>
      <w:r>
        <w:rPr>
          <w:rFonts w:ascii="Arial" w:cs="Arial" w:eastAsia="Arial" w:hAnsi="Arial"/>
          <w:sz w:val="18"/>
          <w:szCs w:val="18"/>
          <w:color w:val="auto"/>
        </w:rPr>
        <w:t>Optional prepayment of [Revolving][Term Loans] in the following amount(s):</w:t>
      </w:r>
    </w:p>
    <w:p>
      <w:pPr>
        <w:spacing w:after="0" w:line="84" w:lineRule="exact"/>
        <w:rPr>
          <w:sz w:val="20"/>
          <w:szCs w:val="20"/>
          <w:color w:val="auto"/>
        </w:rPr>
      </w:pPr>
    </w:p>
    <w:tbl>
      <w:tblPr>
        <w:tblLayout w:type="fixed"/>
        <w:tblInd w:w="1500" w:type="dxa"/>
        <w:tblCellMar>
          <w:top w:w="0" w:type="dxa"/>
          <w:left w:w="0" w:type="dxa"/>
          <w:bottom w:w="0" w:type="dxa"/>
          <w:right w:w="0" w:type="dxa"/>
        </w:tblCellMar>
      </w:tblPr>
      <w:tr>
        <w:trPr>
          <w:trHeight w:val="223"/>
        </w:trPr>
        <w:tc>
          <w:tcPr>
            <w:tcW w:w="202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Eurodollar Rate Loans: $</w:t>
            </w:r>
          </w:p>
        </w:tc>
        <w:tc>
          <w:tcPr>
            <w:tcW w:w="3000" w:type="dxa"/>
            <w:vAlign w:val="bottom"/>
            <w:gridSpan w:val="4"/>
          </w:tcPr>
          <w:p>
            <w:pPr>
              <w:jc w:val="right"/>
              <w:ind w:right="1440"/>
              <w:spacing w:after="0"/>
              <w:rPr>
                <w:sz w:val="20"/>
                <w:szCs w:val="20"/>
                <w:color w:val="auto"/>
              </w:rPr>
            </w:pPr>
            <w:r>
              <w:rPr>
                <w:rFonts w:ascii="Arial" w:cs="Arial" w:eastAsia="Arial" w:hAnsi="Arial"/>
                <w:sz w:val="15"/>
                <w:szCs w:val="15"/>
                <w:color w:val="auto"/>
              </w:rPr>
              <w:t>2</w:t>
            </w:r>
          </w:p>
        </w:tc>
      </w:tr>
      <w:tr>
        <w:trPr>
          <w:trHeight w:val="20"/>
        </w:trPr>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5020" w:type="dxa"/>
            <w:vAlign w:val="bottom"/>
            <w:gridSpan w:val="6"/>
          </w:tcPr>
          <w:p>
            <w:pPr>
              <w:ind w:left="1280"/>
              <w:spacing w:after="0"/>
              <w:rPr>
                <w:sz w:val="20"/>
                <w:szCs w:val="20"/>
                <w:color w:val="auto"/>
              </w:rPr>
            </w:pPr>
            <w:r>
              <w:rPr>
                <w:rFonts w:ascii="Arial" w:cs="Arial" w:eastAsia="Arial" w:hAnsi="Arial"/>
                <w:sz w:val="18"/>
                <w:szCs w:val="18"/>
                <w:color w:val="auto"/>
              </w:rPr>
              <w:t>Applicable Interest Period:</w:t>
            </w:r>
          </w:p>
        </w:tc>
      </w:tr>
      <w:tr>
        <w:trPr>
          <w:trHeight w:val="304"/>
        </w:trPr>
        <w:tc>
          <w:tcPr>
            <w:tcW w:w="1600" w:type="dxa"/>
            <w:vAlign w:val="bottom"/>
          </w:tcPr>
          <w:p>
            <w:pPr>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 xml:space="preserve"> Base Rate Loans: $</w:t>
            </w:r>
          </w:p>
        </w:tc>
        <w:tc>
          <w:tcPr>
            <w:tcW w:w="42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3</w:t>
            </w:r>
          </w:p>
        </w:tc>
        <w:tc>
          <w:tcPr>
            <w:tcW w:w="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0"/>
        </w:trPr>
        <w:tc>
          <w:tcPr>
            <w:tcW w:w="1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notice is conditioned upon [______________] and may be revoked by the Borrower (by notice to the Administrative Agent on or prior to the date</w:t>
      </w:r>
    </w:p>
    <w:p>
      <w:pPr>
        <w:spacing w:after="0" w:line="4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specified above) if such condition is not satisfied, and upon such revocation, the Borrower shall not be required to make the prepayment specified in this notice.]</w:t>
      </w:r>
      <w:r>
        <w:rPr>
          <w:rFonts w:ascii="Arial" w:cs="Arial" w:eastAsia="Arial" w:hAnsi="Arial"/>
          <w:sz w:val="15"/>
          <w:szCs w:val="15"/>
          <w:color w:val="auto"/>
        </w:rPr>
        <w:t>4</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5"/>
          <w:szCs w:val="15"/>
          <w:color w:val="auto"/>
        </w:rPr>
      </w:pPr>
      <w:r>
        <w:rPr>
          <w:rFonts w:ascii="Arial" w:cs="Arial" w:eastAsia="Arial" w:hAnsi="Arial"/>
          <w:sz w:val="18"/>
          <w:szCs w:val="18"/>
          <w:color w:val="auto"/>
        </w:rPr>
        <w:t>Specify date of such prepayment.</w:t>
      </w:r>
    </w:p>
    <w:p>
      <w:pPr>
        <w:spacing w:after="0" w:line="22"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5"/>
          <w:szCs w:val="15"/>
          <w:color w:val="auto"/>
        </w:rPr>
      </w:pPr>
      <w:r>
        <w:rPr>
          <w:rFonts w:ascii="Arial" w:cs="Arial" w:eastAsia="Arial" w:hAnsi="Arial"/>
          <w:sz w:val="18"/>
          <w:szCs w:val="18"/>
          <w:color w:val="auto"/>
        </w:rPr>
        <w:t>Any prepayment of Eurodollar Rate Loans shall be in a minimum principal amount of $1,000,000.</w:t>
      </w:r>
    </w:p>
    <w:p>
      <w:pPr>
        <w:spacing w:after="0" w:line="9"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5"/>
          <w:szCs w:val="15"/>
          <w:color w:val="auto"/>
        </w:rPr>
      </w:pPr>
      <w:r>
        <w:rPr>
          <w:rFonts w:ascii="Arial" w:cs="Arial" w:eastAsia="Arial" w:hAnsi="Arial"/>
          <w:sz w:val="18"/>
          <w:szCs w:val="18"/>
          <w:color w:val="auto"/>
        </w:rPr>
        <w:t>Any prepayment of Base Rate Loans shall be in a minimum principal amount of $500,000.</w:t>
      </w:r>
    </w:p>
    <w:p>
      <w:pPr>
        <w:spacing w:after="0" w:line="9"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5"/>
          <w:szCs w:val="15"/>
          <w:color w:val="auto"/>
        </w:rPr>
      </w:pPr>
      <w:r>
        <w:rPr>
          <w:rFonts w:ascii="Arial" w:cs="Arial" w:eastAsia="Arial" w:hAnsi="Arial"/>
          <w:sz w:val="18"/>
          <w:szCs w:val="18"/>
          <w:color w:val="auto"/>
        </w:rPr>
        <w:t>Include if prepayment is conditional, pursuant to Section 2.03(a) of the Credit Agreement.</w:t>
      </w:r>
    </w:p>
    <w:p>
      <w:pPr>
        <w:spacing w:after="0" w:line="212" w:lineRule="exact"/>
        <w:rPr>
          <w:rFonts w:ascii="Arial" w:cs="Arial" w:eastAsia="Arial" w:hAnsi="Arial"/>
          <w:sz w:val="15"/>
          <w:szCs w:val="15"/>
          <w:color w:val="auto"/>
        </w:rPr>
      </w:pPr>
    </w:p>
    <w:p>
      <w:pPr>
        <w:ind w:left="4140"/>
        <w:spacing w:after="0"/>
        <w:rPr>
          <w:rFonts w:ascii="Arial" w:cs="Arial" w:eastAsia="Arial" w:hAnsi="Arial"/>
          <w:sz w:val="15"/>
          <w:szCs w:val="15"/>
          <w:color w:val="auto"/>
        </w:rPr>
      </w:pPr>
      <w:r>
        <w:rPr>
          <w:rFonts w:ascii="Arial" w:cs="Arial" w:eastAsia="Arial" w:hAnsi="Arial"/>
          <w:sz w:val="18"/>
          <w:szCs w:val="18"/>
          <w:color w:val="auto"/>
        </w:rPr>
        <w:t>[SIGNATURE PAGE TO LOAN NOTICE]</w:t>
      </w:r>
    </w:p>
    <w:p>
      <w:pPr>
        <w:sectPr>
          <w:pgSz w:w="11900" w:h="16838" w:orient="portrait"/>
          <w:cols w:equalWidth="0" w:num="1">
            <w:col w:w="11380"/>
          </w:cols>
          <w:pgMar w:left="240" w:top="257" w:right="27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has caused this Notice of Loan Prepayment to be duly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780" w:type="dxa"/>
            <w:vAlign w:val="bottom"/>
            <w:gridSpan w:val="2"/>
          </w:tcPr>
          <w:p>
            <w:pPr>
              <w:ind w:left="2820"/>
              <w:spacing w:after="0"/>
              <w:rPr>
                <w:sz w:val="20"/>
                <w:szCs w:val="20"/>
                <w:color w:val="auto"/>
              </w:rPr>
            </w:pPr>
            <w:r>
              <w:rPr>
                <w:rFonts w:ascii="Arial" w:cs="Arial" w:eastAsia="Arial" w:hAnsi="Arial"/>
                <w:sz w:val="18"/>
                <w:szCs w:val="18"/>
                <w:b w:val="1"/>
                <w:bCs w:val="1"/>
                <w:color w:val="auto"/>
              </w:rPr>
              <w:t>FABRINET</w:t>
            </w:r>
            <w:r>
              <w:rPr>
                <w:rFonts w:ascii="Arial" w:cs="Arial" w:eastAsia="Arial" w:hAnsi="Arial"/>
                <w:sz w:val="18"/>
                <w:szCs w:val="18"/>
                <w:color w:val="auto"/>
              </w:rPr>
              <w:t>,</w:t>
            </w:r>
          </w:p>
        </w:tc>
      </w:tr>
      <w:tr>
        <w:trPr>
          <w:trHeight w:val="230"/>
        </w:trPr>
        <w:tc>
          <w:tcPr>
            <w:tcW w:w="2640" w:type="dxa"/>
            <w:vAlign w:val="bottom"/>
          </w:tcPr>
          <w:p>
            <w:pPr>
              <w:spacing w:after="0"/>
              <w:rPr>
                <w:sz w:val="20"/>
                <w:szCs w:val="20"/>
                <w:color w:val="auto"/>
              </w:rPr>
            </w:pPr>
          </w:p>
        </w:tc>
        <w:tc>
          <w:tcPr>
            <w:tcW w:w="8780" w:type="dxa"/>
            <w:vAlign w:val="bottom"/>
            <w:gridSpan w:val="2"/>
          </w:tcPr>
          <w:p>
            <w:pPr>
              <w:ind w:left="2820"/>
              <w:spacing w:after="0"/>
              <w:rPr>
                <w:sz w:val="20"/>
                <w:szCs w:val="20"/>
                <w:color w:val="auto"/>
              </w:rPr>
            </w:pPr>
            <w:r>
              <w:rPr>
                <w:rFonts w:ascii="Arial" w:cs="Arial" w:eastAsia="Arial" w:hAnsi="Arial"/>
                <w:sz w:val="18"/>
                <w:szCs w:val="18"/>
                <w:color w:val="auto"/>
                <w:w w:val="95"/>
              </w:rPr>
              <w:t>an exempted company incorporated with limited liability in the Cayman Islands</w:t>
            </w:r>
          </w:p>
        </w:tc>
      </w:tr>
      <w:tr>
        <w:trPr>
          <w:trHeight w:val="432"/>
        </w:trPr>
        <w:tc>
          <w:tcPr>
            <w:tcW w:w="2640" w:type="dxa"/>
            <w:vAlign w:val="bottom"/>
          </w:tcPr>
          <w:p>
            <w:pPr>
              <w:spacing w:after="0"/>
              <w:rPr>
                <w:sz w:val="24"/>
                <w:szCs w:val="24"/>
                <w:color w:val="auto"/>
              </w:rPr>
            </w:pPr>
          </w:p>
        </w:tc>
        <w:tc>
          <w:tcPr>
            <w:tcW w:w="8780" w:type="dxa"/>
            <w:vAlign w:val="bottom"/>
            <w:gridSpan w:val="2"/>
          </w:tcPr>
          <w:p>
            <w:pPr>
              <w:ind w:left="2820"/>
              <w:spacing w:after="0"/>
              <w:rPr>
                <w:sz w:val="20"/>
                <w:szCs w:val="20"/>
                <w:color w:val="auto"/>
              </w:rPr>
            </w:pPr>
            <w:r>
              <w:rPr>
                <w:rFonts w:ascii="Arial" w:cs="Arial" w:eastAsia="Arial" w:hAnsi="Arial"/>
                <w:sz w:val="18"/>
                <w:szCs w:val="18"/>
                <w:color w:val="auto"/>
              </w:rPr>
              <w:t>By:</w:t>
            </w:r>
          </w:p>
        </w:tc>
      </w:tr>
      <w:tr>
        <w:trPr>
          <w:trHeight w:val="210"/>
        </w:trPr>
        <w:tc>
          <w:tcPr>
            <w:tcW w:w="2640" w:type="dxa"/>
            <w:vAlign w:val="bottom"/>
          </w:tcPr>
          <w:p>
            <w:pPr>
              <w:spacing w:after="0"/>
              <w:rPr>
                <w:sz w:val="18"/>
                <w:szCs w:val="18"/>
                <w:color w:val="auto"/>
              </w:rPr>
            </w:pPr>
          </w:p>
        </w:tc>
        <w:tc>
          <w:tcPr>
            <w:tcW w:w="3320" w:type="dxa"/>
            <w:vAlign w:val="bottom"/>
          </w:tcPr>
          <w:p>
            <w:pPr>
              <w:ind w:left="2820"/>
              <w:spacing w:after="0"/>
              <w:rPr>
                <w:sz w:val="20"/>
                <w:szCs w:val="20"/>
                <w:color w:val="auto"/>
              </w:rPr>
            </w:pPr>
            <w:r>
              <w:rPr>
                <w:rFonts w:ascii="Arial" w:cs="Arial" w:eastAsia="Arial" w:hAnsi="Arial"/>
                <w:sz w:val="18"/>
                <w:szCs w:val="18"/>
                <w:color w:val="auto"/>
                <w:w w:val="90"/>
              </w:rPr>
              <w:t>Name:</w:t>
            </w:r>
          </w:p>
        </w:tc>
        <w:tc>
          <w:tcPr>
            <w:tcW w:w="5460" w:type="dxa"/>
            <w:vAlign w:val="bottom"/>
            <w:tcBorders>
              <w:top w:val="single" w:sz="8" w:color="auto"/>
              <w:bottom w:val="single" w:sz="8" w:color="auto"/>
            </w:tcBorders>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3320" w:type="dxa"/>
            <w:vAlign w:val="bottom"/>
          </w:tcPr>
          <w:p>
            <w:pPr>
              <w:ind w:left="2820"/>
              <w:spacing w:after="0"/>
              <w:rPr>
                <w:sz w:val="20"/>
                <w:szCs w:val="20"/>
                <w:color w:val="auto"/>
              </w:rPr>
            </w:pPr>
            <w:r>
              <w:rPr>
                <w:rFonts w:ascii="Arial" w:cs="Arial" w:eastAsia="Arial" w:hAnsi="Arial"/>
                <w:sz w:val="18"/>
                <w:szCs w:val="18"/>
                <w:color w:val="auto"/>
              </w:rPr>
              <w:t>Title:</w:t>
            </w:r>
          </w:p>
        </w:tc>
        <w:tc>
          <w:tcPr>
            <w:tcW w:w="5460" w:type="dxa"/>
            <w:vAlign w:val="bottom"/>
            <w:tcBorders>
              <w:bottom w:val="single" w:sz="8" w:color="auto"/>
            </w:tcBorders>
          </w:tcPr>
          <w:p>
            <w:pPr>
              <w:spacing w:after="0"/>
              <w:rPr>
                <w:sz w:val="18"/>
                <w:szCs w:val="18"/>
                <w:color w:val="auto"/>
              </w:rPr>
            </w:pPr>
          </w:p>
        </w:tc>
      </w:tr>
      <w:tr>
        <w:trPr>
          <w:trHeight w:val="642"/>
        </w:trPr>
        <w:tc>
          <w:tcPr>
            <w:tcW w:w="2640" w:type="dxa"/>
            <w:vAlign w:val="bottom"/>
          </w:tcPr>
          <w:p>
            <w:pPr>
              <w:spacing w:after="0"/>
              <w:rPr>
                <w:sz w:val="24"/>
                <w:szCs w:val="24"/>
                <w:color w:val="auto"/>
              </w:rPr>
            </w:pPr>
          </w:p>
        </w:tc>
        <w:tc>
          <w:tcPr>
            <w:tcW w:w="8780" w:type="dxa"/>
            <w:vAlign w:val="bottom"/>
            <w:gridSpan w:val="2"/>
          </w:tcPr>
          <w:p>
            <w:pPr>
              <w:ind w:left="1500"/>
              <w:spacing w:after="0"/>
              <w:rPr>
                <w:sz w:val="20"/>
                <w:szCs w:val="20"/>
                <w:color w:val="auto"/>
              </w:rPr>
            </w:pPr>
            <w:r>
              <w:rPr>
                <w:rFonts w:ascii="Arial" w:cs="Arial" w:eastAsia="Arial" w:hAnsi="Arial"/>
                <w:sz w:val="18"/>
                <w:szCs w:val="18"/>
                <w:color w:val="auto"/>
              </w:rPr>
              <w:t>[SIGNATURE PAGE TO LOAN NOTICE]</w:t>
            </w:r>
          </w:p>
        </w:tc>
      </w:tr>
    </w:tbl>
    <w:p>
      <w:pPr>
        <w:sectPr>
          <w:pgSz w:w="11900" w:h="16838" w:orient="portrait"/>
          <w:cols w:equalWidth="0" w:num="1">
            <w:col w:w="11420"/>
          </w:cols>
          <w:pgMar w:left="240" w:top="270" w:right="239" w:bottom="1440" w:gutter="0" w:footer="0" w:header="0"/>
        </w:sectPr>
      </w:pPr>
    </w:p>
    <w:bookmarkStart w:id="206" w:name="page207"/>
    <w:bookmarkEnd w:id="2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900" w:type="dxa"/>
            <w:vAlign w:val="bottom"/>
            <w:gridSpan w:val="2"/>
          </w:tcPr>
          <w:p>
            <w:pPr>
              <w:jc w:val="center"/>
              <w:ind w:right="4260"/>
              <w:spacing w:after="0"/>
              <w:rPr>
                <w:sz w:val="20"/>
                <w:szCs w:val="20"/>
                <w:color w:val="auto"/>
              </w:rPr>
            </w:pPr>
            <w:r>
              <w:rPr>
                <w:rFonts w:ascii="Arial" w:cs="Arial" w:eastAsia="Arial" w:hAnsi="Arial"/>
                <w:sz w:val="18"/>
                <w:szCs w:val="18"/>
                <w:b w:val="1"/>
                <w:bCs w:val="1"/>
                <w:color w:val="auto"/>
              </w:rPr>
              <w:t>EXHIBIT P</w:t>
            </w:r>
          </w:p>
        </w:tc>
      </w:tr>
      <w:tr>
        <w:trPr>
          <w:trHeight w:val="324"/>
        </w:trPr>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90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w w:val="92"/>
              </w:rPr>
              <w:t>Form of</w:t>
            </w:r>
          </w:p>
        </w:tc>
      </w:tr>
      <w:tr>
        <w:trPr>
          <w:trHeight w:val="324"/>
        </w:trPr>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0" w:type="dxa"/>
            <w:vAlign w:val="bottom"/>
            <w:gridSpan w:val="3"/>
          </w:tcPr>
          <w:p>
            <w:pPr>
              <w:jc w:val="center"/>
              <w:ind w:right="2580"/>
              <w:spacing w:after="0"/>
              <w:rPr>
                <w:sz w:val="20"/>
                <w:szCs w:val="20"/>
                <w:color w:val="auto"/>
              </w:rPr>
            </w:pPr>
            <w:r>
              <w:rPr>
                <w:rFonts w:ascii="Arial" w:cs="Arial" w:eastAsia="Arial" w:hAnsi="Arial"/>
                <w:sz w:val="18"/>
                <w:szCs w:val="18"/>
                <w:b w:val="1"/>
                <w:bCs w:val="1"/>
                <w:color w:val="auto"/>
                <w:w w:val="89"/>
              </w:rPr>
              <w:t>Designated Borrower Request and Assumption Agreement</w:t>
            </w:r>
          </w:p>
        </w:tc>
      </w:tr>
      <w:tr>
        <w:trPr>
          <w:trHeight w:val="675"/>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10520" w:type="dxa"/>
            <w:vAlign w:val="bottom"/>
            <w:gridSpan w:val="5"/>
          </w:tcPr>
          <w:p>
            <w:pPr>
              <w:ind w:left="260"/>
              <w:spacing w:after="0"/>
              <w:rPr>
                <w:sz w:val="20"/>
                <w:szCs w:val="20"/>
                <w:color w:val="auto"/>
              </w:rPr>
            </w:pPr>
            <w:r>
              <w:rPr>
                <w:rFonts w:ascii="Arial" w:cs="Arial" w:eastAsia="Arial" w:hAnsi="Arial"/>
                <w:sz w:val="18"/>
                <w:szCs w:val="18"/>
                <w:color w:val="auto"/>
              </w:rPr>
              <w:t>Bank of America, N.A., as Administrative Agent</w:t>
            </w:r>
          </w:p>
        </w:tc>
      </w:tr>
      <w:tr>
        <w:trPr>
          <w:trHeight w:val="414"/>
        </w:trPr>
        <w:tc>
          <w:tcPr>
            <w:tcW w:w="780" w:type="dxa"/>
            <w:vAlign w:val="bottom"/>
          </w:tcPr>
          <w:p>
            <w:pPr>
              <w:spacing w:after="0"/>
              <w:rPr>
                <w:sz w:val="20"/>
                <w:szCs w:val="20"/>
                <w:color w:val="auto"/>
              </w:rPr>
            </w:pPr>
            <w:r>
              <w:rPr>
                <w:rFonts w:ascii="Arial" w:cs="Arial" w:eastAsia="Arial" w:hAnsi="Arial"/>
                <w:sz w:val="18"/>
                <w:szCs w:val="18"/>
                <w:color w:val="auto"/>
              </w:rPr>
              <w:t>RE:</w:t>
            </w:r>
          </w:p>
        </w:tc>
        <w:tc>
          <w:tcPr>
            <w:tcW w:w="10520" w:type="dxa"/>
            <w:vAlign w:val="bottom"/>
            <w:gridSpan w:val="5"/>
          </w:tcPr>
          <w:p>
            <w:pPr>
              <w:ind w:left="260"/>
              <w:spacing w:after="0"/>
              <w:rPr>
                <w:sz w:val="20"/>
                <w:szCs w:val="20"/>
                <w:color w:val="auto"/>
              </w:rPr>
            </w:pPr>
            <w:r>
              <w:rPr>
                <w:rFonts w:ascii="Arial" w:cs="Arial" w:eastAsia="Arial" w:hAnsi="Arial"/>
                <w:sz w:val="18"/>
                <w:szCs w:val="18"/>
                <w:color w:val="auto"/>
                <w:w w:val="94"/>
              </w:rPr>
              <w:t xml:space="preserve">Credit Agreement, dated as of May 22, 2014, among </w:t>
            </w:r>
            <w:r>
              <w:rPr>
                <w:rFonts w:ascii="Arial" w:cs="Arial" w:eastAsia="Arial" w:hAnsi="Arial"/>
                <w:sz w:val="18"/>
                <w:szCs w:val="18"/>
                <w:b w:val="1"/>
                <w:bCs w:val="1"/>
                <w:color w:val="auto"/>
                <w:w w:val="94"/>
              </w:rPr>
              <w:t>FABRINET</w:t>
            </w:r>
            <w:r>
              <w:rPr>
                <w:rFonts w:ascii="Arial" w:cs="Arial" w:eastAsia="Arial" w:hAnsi="Arial"/>
                <w:sz w:val="18"/>
                <w:szCs w:val="18"/>
                <w:color w:val="auto"/>
                <w:w w:val="94"/>
              </w:rPr>
              <w:t>, an exempted company incorporated with limited liability in the Cayman</w:t>
            </w:r>
          </w:p>
        </w:tc>
      </w:tr>
      <w:tr>
        <w:trPr>
          <w:trHeight w:val="194"/>
        </w:trPr>
        <w:tc>
          <w:tcPr>
            <w:tcW w:w="780" w:type="dxa"/>
            <w:vAlign w:val="bottom"/>
          </w:tcPr>
          <w:p>
            <w:pPr>
              <w:spacing w:after="0"/>
              <w:rPr>
                <w:sz w:val="16"/>
                <w:szCs w:val="16"/>
                <w:color w:val="auto"/>
              </w:rPr>
            </w:pPr>
          </w:p>
        </w:tc>
        <w:tc>
          <w:tcPr>
            <w:tcW w:w="10520" w:type="dxa"/>
            <w:vAlign w:val="bottom"/>
            <w:gridSpan w:val="5"/>
          </w:tcPr>
          <w:p>
            <w:pPr>
              <w:ind w:left="260"/>
              <w:spacing w:after="0" w:line="194" w:lineRule="exact"/>
              <w:rPr>
                <w:sz w:val="20"/>
                <w:szCs w:val="20"/>
                <w:color w:val="auto"/>
              </w:rPr>
            </w:pPr>
            <w:r>
              <w:rPr>
                <w:rFonts w:ascii="Arial" w:cs="Arial" w:eastAsia="Arial" w:hAnsi="Arial"/>
                <w:sz w:val="18"/>
                <w:szCs w:val="18"/>
                <w:color w:val="auto"/>
                <w:w w:val="92"/>
              </w:rPr>
              <w:t xml:space="preserve">Islands (the “Company”), the Guarantors party hereto, the Designated Borrowers, the Lenders party hereto and </w:t>
            </w:r>
            <w:r>
              <w:rPr>
                <w:rFonts w:ascii="Arial" w:cs="Arial" w:eastAsia="Arial" w:hAnsi="Arial"/>
                <w:sz w:val="18"/>
                <w:szCs w:val="18"/>
                <w:b w:val="1"/>
                <w:bCs w:val="1"/>
                <w:color w:val="auto"/>
                <w:w w:val="92"/>
              </w:rPr>
              <w:t>BANK OF AMERICA, N.A.</w:t>
            </w:r>
            <w:r>
              <w:rPr>
                <w:rFonts w:ascii="Arial" w:cs="Arial" w:eastAsia="Arial" w:hAnsi="Arial"/>
                <w:sz w:val="18"/>
                <w:szCs w:val="18"/>
                <w:color w:val="auto"/>
                <w:w w:val="92"/>
              </w:rPr>
              <w:t>,</w:t>
            </w:r>
          </w:p>
        </w:tc>
      </w:tr>
      <w:tr>
        <w:trPr>
          <w:trHeight w:val="20"/>
        </w:trPr>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520" w:type="dxa"/>
            <w:vAlign w:val="bottom"/>
            <w:gridSpan w:val="5"/>
          </w:tcPr>
          <w:p>
            <w:pPr>
              <w:ind w:left="260"/>
              <w:spacing w:after="0" w:line="196" w:lineRule="exact"/>
              <w:rPr>
                <w:sz w:val="20"/>
                <w:szCs w:val="20"/>
                <w:color w:val="auto"/>
              </w:rPr>
            </w:pPr>
            <w:r>
              <w:rPr>
                <w:rFonts w:ascii="Arial" w:cs="Arial" w:eastAsia="Arial" w:hAnsi="Arial"/>
                <w:sz w:val="18"/>
                <w:szCs w:val="18"/>
                <w:color w:val="auto"/>
                <w:w w:val="91"/>
              </w:rPr>
              <w:t>as administrative agent (in such capacity, the “Administrative Agent”); capitalized terms used herein and not otherwise defined shall have the</w:t>
            </w:r>
          </w:p>
        </w:tc>
      </w:tr>
      <w:tr>
        <w:trPr>
          <w:trHeight w:val="237"/>
        </w:trPr>
        <w:tc>
          <w:tcPr>
            <w:tcW w:w="780" w:type="dxa"/>
            <w:vAlign w:val="bottom"/>
          </w:tcPr>
          <w:p>
            <w:pPr>
              <w:spacing w:after="0"/>
              <w:rPr>
                <w:sz w:val="20"/>
                <w:szCs w:val="20"/>
                <w:color w:val="auto"/>
              </w:rPr>
            </w:pPr>
          </w:p>
        </w:tc>
        <w:tc>
          <w:tcPr>
            <w:tcW w:w="3620" w:type="dxa"/>
            <w:vAlign w:val="bottom"/>
            <w:gridSpan w:val="3"/>
          </w:tcPr>
          <w:p>
            <w:pPr>
              <w:ind w:left="260"/>
              <w:spacing w:after="0"/>
              <w:rPr>
                <w:sz w:val="20"/>
                <w:szCs w:val="20"/>
                <w:color w:val="auto"/>
              </w:rPr>
            </w:pPr>
            <w:r>
              <w:rPr>
                <w:rFonts w:ascii="Arial" w:cs="Arial" w:eastAsia="Arial" w:hAnsi="Arial"/>
                <w:sz w:val="18"/>
                <w:szCs w:val="18"/>
                <w:color w:val="auto"/>
                <w:w w:val="95"/>
              </w:rPr>
              <w:t>meanings set forth in the Credit Agreement)</w:t>
            </w:r>
          </w:p>
        </w:tc>
        <w:tc>
          <w:tcPr>
            <w:tcW w:w="1560" w:type="dxa"/>
            <w:vAlign w:val="bottom"/>
            <w:tcBorders>
              <w:top w:val="single" w:sz="8" w:color="auto"/>
            </w:tcBorders>
          </w:tcPr>
          <w:p>
            <w:pPr>
              <w:spacing w:after="0"/>
              <w:rPr>
                <w:sz w:val="20"/>
                <w:szCs w:val="20"/>
                <w:color w:val="auto"/>
              </w:rPr>
            </w:pPr>
          </w:p>
        </w:tc>
        <w:tc>
          <w:tcPr>
            <w:tcW w:w="534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0520" w:type="dxa"/>
            <w:vAlign w:val="bottom"/>
            <w:gridSpan w:val="5"/>
          </w:tcPr>
          <w:p>
            <w:pPr>
              <w:ind w:left="26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Each of ______________________ (the “</w:t>
      </w:r>
      <w:r>
        <w:rPr>
          <w:rFonts w:ascii="Arial" w:cs="Arial" w:eastAsia="Arial" w:hAnsi="Arial"/>
          <w:sz w:val="16"/>
          <w:szCs w:val="16"/>
          <w:u w:val="single" w:color="auto"/>
          <w:color w:val="auto"/>
        </w:rPr>
        <w:t>Designated Borrower</w:t>
      </w:r>
      <w:r>
        <w:rPr>
          <w:rFonts w:ascii="Arial" w:cs="Arial" w:eastAsia="Arial" w:hAnsi="Arial"/>
          <w:sz w:val="16"/>
          <w:szCs w:val="16"/>
          <w:color w:val="auto"/>
        </w:rPr>
        <w:t>”) and the Company hereby confirms, represents and warrants to the Administrative Agent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Lenders that the Designated Borrower is a Subsidiary of the Company.</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documents required to be delivered to the Administrative Agent under Section 2.15 of the Credit Agreement will be furnished to the Administrative Agent in accordance with the requirements of the Credit Agreement.</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parties hereto hereby confirm that, with effect from the date of the Designated Borrower Notice for the Designated Borrower, except as expressly set forth in the Credit Agreement, the Designated Borrower shall have obligations, duties and liabilities toward each of the other parties to the Credit Agreement and other Loan Documents identical to those which the Designated Borrower would have had if the Designated Borrower had been an original party to the Loan Documents as a Borrower. Effective as of the date of the Designated Borrower Notice for the Designated Borrower, the Designated Borrower hereby ratifies, and agrees to be bound by, all representations and warranties, covenants, and other terms, conditions and provisions of the Credit Agreement and the other applicable Loan Documents.</w:t>
      </w:r>
    </w:p>
    <w:p>
      <w:pPr>
        <w:spacing w:after="0" w:line="19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parties hereto hereby request that the Designated Borrower be entitled to receive Loans under the Credit Agreement, and understand, acknowledge and agree that neither the Designated Borrower nor the Company on its behalf shall have any right to request any Loans for its account unless and until the date five (5) Business Days after the effective date designated by the Administrative Agent in a Designated Borrower Notice delivered to the Company and the Lenders pursuant to Section 2.15 of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foregoing, the Designated Borrower and the Company hereby agree as follows with the Administrative Agent, for the benefit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Secured Parties:</w:t>
      </w:r>
    </w:p>
    <w:p>
      <w:pPr>
        <w:spacing w:after="0" w:line="103" w:lineRule="exact"/>
        <w:rPr>
          <w:sz w:val="20"/>
          <w:szCs w:val="20"/>
          <w:color w:val="auto"/>
        </w:rPr>
      </w:pPr>
    </w:p>
    <w:p>
      <w:pPr>
        <w:ind w:right="120" w:firstLine="8"/>
        <w:spacing w:after="0" w:line="259" w:lineRule="auto"/>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Designated Borrower acknowledges and confirms that it has received a copy of the Credit Agreement and the schedules and exhibits thereto and each Collateral Document and the schedules and exhibits thereto. The information on the schedules to the Credit Agreement and the Collateral Documents are hereby supplemented (to the extent permitted under the Credit Agreement or Collateral Documents) to reflect the information shown on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07" w:name="page208"/>
    <w:bookmarkEnd w:id="207"/>
    <w:p>
      <w:pPr>
        <w:ind w:right="260" w:firstLine="8"/>
        <w:spacing w:after="0" w:line="312" w:lineRule="auto"/>
        <w:tabs>
          <w:tab w:leader="none" w:pos="1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confirms that the Credit Agreement is, and upon the Designated Borrower becoming a party thereto, shall continue to be, in full force and effect. The parties hereto confirm and agree that immediately upon the Designated Borrower becoming a Borrower, the term “Obligations,” as used in the Credit Agreement, shall include all obligations of the Designated Borrower under the Credit Agreement and under each other Loan Document.</w:t>
      </w:r>
    </w:p>
    <w:p>
      <w:pPr>
        <w:spacing w:after="0" w:line="146" w:lineRule="exact"/>
        <w:rPr>
          <w:rFonts w:ascii="Arial" w:cs="Arial" w:eastAsia="Arial" w:hAnsi="Arial"/>
          <w:sz w:val="16"/>
          <w:szCs w:val="16"/>
          <w:color w:val="auto"/>
        </w:rPr>
      </w:pPr>
    </w:p>
    <w:p>
      <w:pPr>
        <w:jc w:val="both"/>
        <w:ind w:right="60" w:firstLine="8"/>
        <w:spacing w:after="0" w:line="257" w:lineRule="auto"/>
        <w:tabs>
          <w:tab w:leader="none" w:pos="1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Each Designated Borrower covenants and agrees to execute and deliver a Security Agreement in favor of the Administrative Agent, for the benefit of the Secured Parties, concurrently herewith. Each of the Company and the Designated Borrower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Designated Borrower Request and Assumption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Designated Borrower Request and Assumption Agreement shall constitute a Loan Document under the Credit Agreement.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DESIGNATED BORROWER REQUEST AND ASSUMPTION AGREEMENT SHALL BE GOVERNED BY, AND CONSTRUED AND ENFORCED IN ACCORDANCE WITH, THE LAWS OF THE STATE OF NEW YORK. The terms of Sections 11.14 and 11.15 of the Credit Agreement are incorporated herein by reference, mutatis mutandis, and the parties hereto agree to such terms.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Designated Borrower Request and Assumption Agreement may be executed in any number of counterparts, which together shall constitute one instrument. Delivery of an executed counterpart of a signature page of this Agreement by fax transmission or other electronic mail transmission (e.g. “pdf” or “tif”) shall be effective as delivery of a manually executed counterpart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20"/>
          </w:cols>
          <w:pgMar w:left="240" w:top="274" w:right="239" w:bottom="1440" w:gutter="0" w:footer="0" w:header="0"/>
        </w:sectPr>
      </w:pPr>
    </w:p>
    <w:bookmarkStart w:id="208" w:name="page209"/>
    <w:bookmarkEnd w:id="20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Designated Borrower Request and Assumption Agreement to be duly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their proper and duly authorized officers as of the day and year first above written.</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[DESIGNATED BORROWER]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14605</wp:posOffset>
            </wp:positionV>
            <wp:extent cx="25558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FABRINET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14605</wp:posOffset>
            </wp:positionV>
            <wp:extent cx="25558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8"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[SIGNATURE PAGE TO DESIGNATED BORROWER REQUEST AND ASSUMPTION AGREEMENT]</w:t>
      </w:r>
    </w:p>
    <w:p>
      <w:pPr>
        <w:sectPr>
          <w:pgSz w:w="11900" w:h="16838" w:orient="portrait"/>
          <w:cols w:equalWidth="0" w:num="1">
            <w:col w:w="11100"/>
          </w:cols>
          <w:pgMar w:left="240" w:top="270" w:right="55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Schedules to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COMPLETED BY DESIGNATED BORROWER]]</w:t>
      </w:r>
    </w:p>
    <w:p>
      <w:pPr>
        <w:sectPr>
          <w:pgSz w:w="11900" w:h="16838" w:orient="portrait"/>
          <w:cols w:equalWidth="0" w:num="1">
            <w:col w:w="9019"/>
          </w:cols>
          <w:pgMar w:left="1440" w:top="270" w:right="1440"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900" w:type="dxa"/>
            <w:vAlign w:val="bottom"/>
            <w:gridSpan w:val="2"/>
          </w:tcPr>
          <w:p>
            <w:pPr>
              <w:jc w:val="center"/>
              <w:ind w:right="4260"/>
              <w:spacing w:after="0"/>
              <w:rPr>
                <w:sz w:val="20"/>
                <w:szCs w:val="20"/>
                <w:color w:val="auto"/>
              </w:rPr>
            </w:pPr>
            <w:r>
              <w:rPr>
                <w:rFonts w:ascii="Arial" w:cs="Arial" w:eastAsia="Arial" w:hAnsi="Arial"/>
                <w:sz w:val="18"/>
                <w:szCs w:val="18"/>
                <w:b w:val="1"/>
                <w:bCs w:val="1"/>
                <w:color w:val="auto"/>
              </w:rPr>
              <w:t>EXHIBIT Q</w:t>
            </w:r>
          </w:p>
        </w:tc>
      </w:tr>
      <w:tr>
        <w:trPr>
          <w:trHeight w:val="324"/>
        </w:trPr>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90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w w:val="92"/>
              </w:rPr>
              <w:t>Form of</w:t>
            </w:r>
          </w:p>
        </w:tc>
      </w:tr>
      <w:tr>
        <w:trPr>
          <w:trHeight w:val="324"/>
        </w:trPr>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90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w w:val="90"/>
              </w:rPr>
              <w:t>Designated Borrower Notice</w:t>
            </w:r>
          </w:p>
        </w:tc>
      </w:tr>
      <w:tr>
        <w:trPr>
          <w:trHeight w:val="675"/>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10520" w:type="dxa"/>
            <w:vAlign w:val="bottom"/>
            <w:gridSpan w:val="5"/>
          </w:tcPr>
          <w:p>
            <w:pPr>
              <w:ind w:left="260"/>
              <w:spacing w:after="0"/>
              <w:rPr>
                <w:sz w:val="20"/>
                <w:szCs w:val="20"/>
                <w:color w:val="auto"/>
              </w:rPr>
            </w:pPr>
            <w:r>
              <w:rPr>
                <w:rFonts w:ascii="Arial" w:cs="Arial" w:eastAsia="Arial" w:hAnsi="Arial"/>
                <w:sz w:val="18"/>
                <w:szCs w:val="18"/>
                <w:color w:val="auto"/>
              </w:rPr>
              <w:t>Bank of America, N.A., as Administrative Agent</w:t>
            </w:r>
          </w:p>
        </w:tc>
      </w:tr>
      <w:tr>
        <w:trPr>
          <w:trHeight w:val="414"/>
        </w:trPr>
        <w:tc>
          <w:tcPr>
            <w:tcW w:w="780" w:type="dxa"/>
            <w:vAlign w:val="bottom"/>
          </w:tcPr>
          <w:p>
            <w:pPr>
              <w:spacing w:after="0"/>
              <w:rPr>
                <w:sz w:val="20"/>
                <w:szCs w:val="20"/>
                <w:color w:val="auto"/>
              </w:rPr>
            </w:pPr>
            <w:r>
              <w:rPr>
                <w:rFonts w:ascii="Arial" w:cs="Arial" w:eastAsia="Arial" w:hAnsi="Arial"/>
                <w:sz w:val="18"/>
                <w:szCs w:val="18"/>
                <w:color w:val="auto"/>
              </w:rPr>
              <w:t>RE:</w:t>
            </w:r>
          </w:p>
        </w:tc>
        <w:tc>
          <w:tcPr>
            <w:tcW w:w="10520" w:type="dxa"/>
            <w:vAlign w:val="bottom"/>
            <w:gridSpan w:val="5"/>
          </w:tcPr>
          <w:p>
            <w:pPr>
              <w:ind w:left="260"/>
              <w:spacing w:after="0"/>
              <w:rPr>
                <w:sz w:val="20"/>
                <w:szCs w:val="20"/>
                <w:color w:val="auto"/>
              </w:rPr>
            </w:pPr>
            <w:r>
              <w:rPr>
                <w:rFonts w:ascii="Arial" w:cs="Arial" w:eastAsia="Arial" w:hAnsi="Arial"/>
                <w:sz w:val="18"/>
                <w:szCs w:val="18"/>
                <w:color w:val="auto"/>
                <w:w w:val="94"/>
              </w:rPr>
              <w:t xml:space="preserve">Credit Agreement, dated as of May 22, 2014, among </w:t>
            </w:r>
            <w:r>
              <w:rPr>
                <w:rFonts w:ascii="Arial" w:cs="Arial" w:eastAsia="Arial" w:hAnsi="Arial"/>
                <w:sz w:val="18"/>
                <w:szCs w:val="18"/>
                <w:b w:val="1"/>
                <w:bCs w:val="1"/>
                <w:color w:val="auto"/>
                <w:w w:val="94"/>
              </w:rPr>
              <w:t>FABRINET</w:t>
            </w:r>
            <w:r>
              <w:rPr>
                <w:rFonts w:ascii="Arial" w:cs="Arial" w:eastAsia="Arial" w:hAnsi="Arial"/>
                <w:sz w:val="18"/>
                <w:szCs w:val="18"/>
                <w:color w:val="auto"/>
                <w:w w:val="94"/>
              </w:rPr>
              <w:t>, an exempted company incorporated with limited liability in the Cayman</w:t>
            </w:r>
          </w:p>
        </w:tc>
      </w:tr>
      <w:tr>
        <w:trPr>
          <w:trHeight w:val="194"/>
        </w:trPr>
        <w:tc>
          <w:tcPr>
            <w:tcW w:w="780" w:type="dxa"/>
            <w:vAlign w:val="bottom"/>
          </w:tcPr>
          <w:p>
            <w:pPr>
              <w:spacing w:after="0"/>
              <w:rPr>
                <w:sz w:val="16"/>
                <w:szCs w:val="16"/>
                <w:color w:val="auto"/>
              </w:rPr>
            </w:pPr>
          </w:p>
        </w:tc>
        <w:tc>
          <w:tcPr>
            <w:tcW w:w="10520" w:type="dxa"/>
            <w:vAlign w:val="bottom"/>
            <w:gridSpan w:val="5"/>
          </w:tcPr>
          <w:p>
            <w:pPr>
              <w:ind w:left="260"/>
              <w:spacing w:after="0" w:line="194" w:lineRule="exact"/>
              <w:rPr>
                <w:sz w:val="20"/>
                <w:szCs w:val="20"/>
                <w:color w:val="auto"/>
              </w:rPr>
            </w:pPr>
            <w:r>
              <w:rPr>
                <w:rFonts w:ascii="Arial" w:cs="Arial" w:eastAsia="Arial" w:hAnsi="Arial"/>
                <w:sz w:val="18"/>
                <w:szCs w:val="18"/>
                <w:color w:val="auto"/>
                <w:w w:val="92"/>
              </w:rPr>
              <w:t xml:space="preserve">Islands (the “Company”), the Guarantors party hereto, the Designated Borrowers, the Lenders party hereto and </w:t>
            </w:r>
            <w:r>
              <w:rPr>
                <w:rFonts w:ascii="Arial" w:cs="Arial" w:eastAsia="Arial" w:hAnsi="Arial"/>
                <w:sz w:val="18"/>
                <w:szCs w:val="18"/>
                <w:b w:val="1"/>
                <w:bCs w:val="1"/>
                <w:color w:val="auto"/>
                <w:w w:val="92"/>
              </w:rPr>
              <w:t>BANK OF AMERICA, N.A.</w:t>
            </w:r>
            <w:r>
              <w:rPr>
                <w:rFonts w:ascii="Arial" w:cs="Arial" w:eastAsia="Arial" w:hAnsi="Arial"/>
                <w:sz w:val="18"/>
                <w:szCs w:val="18"/>
                <w:color w:val="auto"/>
                <w:w w:val="92"/>
              </w:rPr>
              <w:t>,</w:t>
            </w:r>
          </w:p>
        </w:tc>
      </w:tr>
      <w:tr>
        <w:trPr>
          <w:trHeight w:val="20"/>
        </w:trPr>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520" w:type="dxa"/>
            <w:vAlign w:val="bottom"/>
            <w:gridSpan w:val="5"/>
          </w:tcPr>
          <w:p>
            <w:pPr>
              <w:ind w:left="260"/>
              <w:spacing w:after="0" w:line="196" w:lineRule="exact"/>
              <w:rPr>
                <w:sz w:val="20"/>
                <w:szCs w:val="20"/>
                <w:color w:val="auto"/>
              </w:rPr>
            </w:pPr>
            <w:r>
              <w:rPr>
                <w:rFonts w:ascii="Arial" w:cs="Arial" w:eastAsia="Arial" w:hAnsi="Arial"/>
                <w:sz w:val="18"/>
                <w:szCs w:val="18"/>
                <w:color w:val="auto"/>
                <w:w w:val="91"/>
              </w:rPr>
              <w:t>as administrative agent (in such capacity, the “Administrative Agent”); capitalized terms used herein and not otherwise defined shall have the</w:t>
            </w:r>
          </w:p>
        </w:tc>
      </w:tr>
      <w:tr>
        <w:trPr>
          <w:trHeight w:val="237"/>
        </w:trPr>
        <w:tc>
          <w:tcPr>
            <w:tcW w:w="780" w:type="dxa"/>
            <w:vAlign w:val="bottom"/>
          </w:tcPr>
          <w:p>
            <w:pPr>
              <w:spacing w:after="0"/>
              <w:rPr>
                <w:sz w:val="20"/>
                <w:szCs w:val="20"/>
                <w:color w:val="auto"/>
              </w:rPr>
            </w:pPr>
          </w:p>
        </w:tc>
        <w:tc>
          <w:tcPr>
            <w:tcW w:w="3620" w:type="dxa"/>
            <w:vAlign w:val="bottom"/>
            <w:gridSpan w:val="3"/>
          </w:tcPr>
          <w:p>
            <w:pPr>
              <w:ind w:left="260"/>
              <w:spacing w:after="0"/>
              <w:rPr>
                <w:sz w:val="20"/>
                <w:szCs w:val="20"/>
                <w:color w:val="auto"/>
              </w:rPr>
            </w:pPr>
            <w:r>
              <w:rPr>
                <w:rFonts w:ascii="Arial" w:cs="Arial" w:eastAsia="Arial" w:hAnsi="Arial"/>
                <w:sz w:val="18"/>
                <w:szCs w:val="18"/>
                <w:color w:val="auto"/>
                <w:w w:val="95"/>
              </w:rPr>
              <w:t>meanings set forth in the Credit Agreement)</w:t>
            </w:r>
          </w:p>
        </w:tc>
        <w:tc>
          <w:tcPr>
            <w:tcW w:w="1560" w:type="dxa"/>
            <w:vAlign w:val="bottom"/>
            <w:tcBorders>
              <w:top w:val="single" w:sz="8" w:color="auto"/>
            </w:tcBorders>
          </w:tcPr>
          <w:p>
            <w:pPr>
              <w:spacing w:after="0"/>
              <w:rPr>
                <w:sz w:val="20"/>
                <w:szCs w:val="20"/>
                <w:color w:val="auto"/>
              </w:rPr>
            </w:pPr>
          </w:p>
        </w:tc>
        <w:tc>
          <w:tcPr>
            <w:tcW w:w="534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0520" w:type="dxa"/>
            <w:vAlign w:val="bottom"/>
            <w:gridSpan w:val="5"/>
          </w:tcPr>
          <w:p>
            <w:pPr>
              <w:ind w:left="26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Administrative Agent hereby notifies Company and the Lenders that effective as of the date hereof [_________________________] shall be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Designated Borrower and may receive Loans for its account on the terms and conditions set forth in the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Designated Borrower Notice shall constitute a Loan Document under the Credit Agreement.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14605</wp:posOffset>
            </wp:positionV>
            <wp:extent cx="25558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sectPr>
      <w:pgSz w:w="11900" w:h="16838" w:orient="portrait"/>
      <w:cols w:equalWidth="0" w:num="1">
        <w:col w:w="11300"/>
      </w:cols>
      <w:pgMar w:left="24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abstractNum>
  <w:abstractNum w:abstractNumId="1">
    <w:nsid w:val="E7FFA2B"/>
    <w:multiLevelType w:val="hybridMultilevel"/>
    <w:lvl w:ilvl="0">
      <w:lvlJc w:val="left"/>
      <w:lvlText w:val="(%1)"/>
      <w:numFmt w:val="lowerLetter"/>
      <w:start w:val="1"/>
    </w:lvl>
  </w:abstractNum>
  <w:abstractNum w:abstractNumId="2">
    <w:nsid w:val="3C5991AA"/>
    <w:multiLevelType w:val="hybridMultilevel"/>
    <w:lvl w:ilvl="0">
      <w:lvlJc w:val="left"/>
      <w:lvlText w:val="%1"/>
      <w:numFmt w:val="lowerLetter"/>
      <w:start w:val="1"/>
    </w:lvl>
    <w:lvl w:ilvl="1">
      <w:lvlJc w:val="left"/>
      <w:lvlText w:val="(%2)"/>
      <w:numFmt w:val="lowerLetter"/>
      <w:start w:val="2"/>
    </w:lvl>
  </w:abstractNum>
  <w:abstractNum w:abstractNumId="3">
    <w:nsid w:val="4BD8591A"/>
    <w:multiLevelType w:val="hybridMultilevel"/>
    <w:lvl w:ilvl="0">
      <w:lvlJc w:val="left"/>
      <w:lvlText w:val="(%1)"/>
      <w:numFmt w:val="lowerLetter"/>
      <w:start w:val="35"/>
    </w:lvl>
    <w:lvl w:ilvl="1">
      <w:lvlJc w:val="left"/>
      <w:lvlText w:val="%2"/>
      <w:numFmt w:val="lowerLetter"/>
      <w:start w:val="1"/>
    </w:lvl>
  </w:abstractNum>
  <w:abstractNum w:abstractNumId="4">
    <w:nsid w:val="78DF6A55"/>
    <w:multiLevelType w:val="hybridMultilevel"/>
    <w:lvl w:ilvl="0">
      <w:lvlJc w:val="left"/>
      <w:lvlText w:val="(%1)"/>
      <w:numFmt w:val="lowerLetter"/>
      <w:start w:val="1"/>
    </w:lvl>
  </w:abstractNum>
  <w:abstractNum w:abstractNumId="5">
    <w:nsid w:val="39B7AAA2"/>
    <w:multiLevelType w:val="hybridMultilevel"/>
    <w:lvl w:ilvl="0">
      <w:lvlJc w:val="left"/>
      <w:lvlText w:val="(%1)"/>
      <w:numFmt w:val="lowerLetter"/>
      <w:start w:val="3"/>
    </w:lvl>
  </w:abstractNum>
  <w:abstractNum w:abstractNumId="6">
    <w:nsid w:val="2B0D8DBE"/>
    <w:multiLevelType w:val="hybridMultilevel"/>
    <w:lvl w:ilvl="0">
      <w:lvlJc w:val="left"/>
      <w:lvlText w:val="(%1)"/>
      <w:numFmt w:val="lowerLetter"/>
      <w:start w:val="1"/>
    </w:lvl>
  </w:abstractNum>
  <w:abstractNum w:abstractNumId="7">
    <w:nsid w:val="6C80EC70"/>
    <w:multiLevelType w:val="hybridMultilevel"/>
    <w:lvl w:ilvl="0">
      <w:lvlJc w:val="left"/>
      <w:lvlText w:val="(%1)"/>
      <w:numFmt w:val="lowerLetter"/>
      <w:start w:val="3"/>
    </w:lvl>
  </w:abstractNum>
  <w:abstractNum w:abstractNumId="8">
    <w:nsid w:val="379E21B5"/>
    <w:multiLevelType w:val="hybridMultilevel"/>
    <w:lvl w:ilvl="0">
      <w:lvlJc w:val="left"/>
      <w:lvlText w:val="(%1)"/>
      <w:numFmt w:val="lowerLetter"/>
      <w:start w:val="2"/>
    </w:lvl>
  </w:abstractNum>
  <w:abstractNum w:abstractNumId="9">
    <w:nsid w:val="69E373"/>
    <w:multiLevelType w:val="hybridMultilevel"/>
    <w:lvl w:ilvl="0">
      <w:lvlJc w:val="left"/>
      <w:lvlText w:val="%1"/>
      <w:numFmt w:val="decimal"/>
      <w:start w:val="1"/>
    </w:lvl>
    <w:lvl w:ilvl="1">
      <w:lvlJc w:val="left"/>
      <w:lvlText w:val="(%2)"/>
      <w:numFmt w:val="lowerLetter"/>
      <w:start w:val="1"/>
    </w:lvl>
  </w:abstractNum>
  <w:abstractNum w:abstractNumId="10">
    <w:nsid w:val="2C27173B"/>
    <w:multiLevelType w:val="hybridMultilevel"/>
    <w:lvl w:ilvl="0">
      <w:lvlJc w:val="left"/>
      <w:lvlText w:val="(%1)"/>
      <w:numFmt w:val="decimal"/>
      <w:start w:val="180"/>
    </w:lvl>
    <w:lvl w:ilvl="1">
      <w:lvlJc w:val="left"/>
      <w:lvlText w:val="%2"/>
      <w:numFmt w:val="lowerLetter"/>
      <w:start w:val="1"/>
    </w:lvl>
  </w:abstractNum>
  <w:abstractNum w:abstractNumId="11">
    <w:nsid w:val="4C9B0904"/>
    <w:multiLevelType w:val="hybridMultilevel"/>
    <w:lvl w:ilvl="0">
      <w:lvlJc w:val="left"/>
      <w:lvlText w:val="%1"/>
      <w:numFmt w:val="lowerLetter"/>
      <w:start w:val="1"/>
    </w:lvl>
    <w:lvl w:ilvl="1">
      <w:lvlJc w:val="left"/>
      <w:lvlText w:val="(%2)"/>
      <w:numFmt w:val="lowerLetter"/>
      <w:start w:val="4"/>
    </w:lvl>
  </w:abstractNum>
  <w:abstractNum w:abstractNumId="12">
    <w:nsid w:val="6AA7B75C"/>
    <w:multiLevelType w:val="hybridMultilevel"/>
    <w:lvl w:ilvl="0">
      <w:lvlJc w:val="left"/>
      <w:lvlText w:val="(%1)"/>
      <w:numFmt w:val="lowerLetter"/>
      <w:start w:val="3"/>
    </w:lvl>
    <w:lvl w:ilvl="1">
      <w:lvlJc w:val="left"/>
      <w:lvlText w:val="(%2)"/>
      <w:numFmt w:val="lowerLetter"/>
      <w:start w:val="5"/>
    </w:lvl>
  </w:abstractNum>
  <w:abstractNum w:abstractNumId="13">
    <w:nsid w:val="1DF029D3"/>
    <w:multiLevelType w:val="hybridMultilevel"/>
    <w:lvl w:ilvl="0">
      <w:lvlJc w:val="left"/>
      <w:lvlText w:val="(%1)"/>
      <w:numFmt w:val="lowerLetter"/>
      <w:start w:val="1"/>
    </w:lvl>
  </w:abstractNum>
  <w:abstractNum w:abstractNumId="14">
    <w:nsid w:val="5675FF36"/>
    <w:multiLevelType w:val="hybridMultilevel"/>
    <w:lvl w:ilvl="0">
      <w:lvlJc w:val="left"/>
      <w:lvlText w:val="(%1)"/>
      <w:numFmt w:val="lowerLetter"/>
      <w:start w:val="2"/>
    </w:lvl>
  </w:abstractNum>
  <w:abstractNum w:abstractNumId="15">
    <w:nsid w:val="3DD15094"/>
    <w:multiLevelType w:val="hybridMultilevel"/>
    <w:lvl w:ilvl="0">
      <w:lvlJc w:val="left"/>
      <w:lvlText w:val="(%1)"/>
      <w:numFmt w:val="lowerLetter"/>
      <w:start w:val="3"/>
    </w:lvl>
  </w:abstractNum>
  <w:abstractNum w:abstractNumId="16">
    <w:nsid w:val="3DB012B3"/>
    <w:multiLevelType w:val="hybridMultilevel"/>
    <w:lvl w:ilvl="0">
      <w:lvlJc w:val="left"/>
      <w:lvlText w:val="(%1)"/>
      <w:numFmt w:val="lowerLetter"/>
      <w:start w:val="1"/>
    </w:lvl>
  </w:abstractNum>
  <w:abstractNum w:abstractNumId="17">
    <w:nsid w:val="2708C9AF"/>
    <w:multiLevelType w:val="hybridMultilevel"/>
    <w:lvl w:ilvl="0">
      <w:lvlJc w:val="left"/>
      <w:lvlText w:val="(%1)"/>
      <w:numFmt w:val="lowerLetter"/>
      <w:start w:val="5"/>
    </w:lvl>
  </w:abstractNum>
  <w:abstractNum w:abstractNumId="18">
    <w:nsid w:val="5B25ACE2"/>
    <w:multiLevelType w:val="hybridMultilevel"/>
    <w:lvl w:ilvl="0">
      <w:lvlJc w:val="left"/>
      <w:lvlText w:val="(%1)"/>
      <w:numFmt w:val="lowerLetter"/>
      <w:start w:val="1"/>
    </w:lvl>
  </w:abstractNum>
  <w:abstractNum w:abstractNumId="19">
    <w:nsid w:val="175DFCF0"/>
    <w:multiLevelType w:val="hybridMultilevel"/>
    <w:lvl w:ilvl="0">
      <w:lvlJc w:val="left"/>
      <w:lvlText w:val="(%1)"/>
      <w:numFmt w:val="lowerLetter"/>
      <w:start w:val="3"/>
    </w:lvl>
  </w:abstractNum>
  <w:abstractNum w:abstractNumId="20">
    <w:nsid w:val="4F97E3E4"/>
    <w:multiLevelType w:val="hybridMultilevel"/>
    <w:lvl w:ilvl="0">
      <w:lvlJc w:val="left"/>
      <w:lvlText w:val="(%1)"/>
      <w:numFmt w:val="lowerLetter"/>
      <w:start w:val="1"/>
    </w:lvl>
  </w:abstractNum>
  <w:abstractNum w:abstractNumId="21">
    <w:nsid w:val="53B0A9E"/>
    <w:multiLevelType w:val="hybridMultilevel"/>
    <w:lvl w:ilvl="0">
      <w:lvlJc w:val="left"/>
      <w:lvlText w:val="(%1)"/>
      <w:numFmt w:val="lowerLetter"/>
      <w:start w:val="1"/>
    </w:lvl>
  </w:abstractNum>
  <w:abstractNum w:abstractNumId="22">
    <w:nsid w:val="34FD6B4F"/>
    <w:multiLevelType w:val="hybridMultilevel"/>
    <w:lvl w:ilvl="0">
      <w:lvlJc w:val="left"/>
      <w:lvlText w:val="(%1)"/>
      <w:numFmt w:val="lowerRoman"/>
      <w:start w:val="1"/>
    </w:lvl>
  </w:abstractNum>
  <w:abstractNum w:abstractNumId="23">
    <w:nsid w:val="5915FF32"/>
    <w:multiLevelType w:val="hybridMultilevel"/>
    <w:lvl w:ilvl="0">
      <w:lvlJc w:val="left"/>
      <w:lvlText w:val="(%1)"/>
      <w:numFmt w:val="lowerLetter"/>
      <w:start w:val="2"/>
    </w:lvl>
  </w:abstractNum>
  <w:abstractNum w:abstractNumId="24">
    <w:nsid w:val="56438D15"/>
    <w:multiLevelType w:val="hybridMultilevel"/>
    <w:lvl w:ilvl="0">
      <w:lvlJc w:val="left"/>
      <w:lvlText w:val="(%1)"/>
      <w:numFmt w:val="lowerLetter"/>
      <w:start w:val="1"/>
    </w:lvl>
  </w:abstractNum>
  <w:abstractNum w:abstractNumId="25">
    <w:nsid w:val="519E3149"/>
    <w:multiLevelType w:val="hybridMultilevel"/>
    <w:lvl w:ilvl="0">
      <w:lvlJc w:val="left"/>
      <w:lvlText w:val="(%1)"/>
      <w:numFmt w:val="lowerLetter"/>
      <w:start w:val="1"/>
    </w:lvl>
  </w:abstractNum>
  <w:abstractNum w:abstractNumId="26">
    <w:nsid w:val="2C6E4AFD"/>
    <w:multiLevelType w:val="hybridMultilevel"/>
    <w:lvl w:ilvl="0">
      <w:lvlJc w:val="left"/>
      <w:lvlText w:val="(%1)"/>
      <w:numFmt w:val="lowerLetter"/>
      <w:start w:val="1"/>
    </w:lvl>
  </w:abstractNum>
  <w:abstractNum w:abstractNumId="27">
    <w:nsid w:val="17A1B582"/>
    <w:multiLevelType w:val="hybridMultilevel"/>
    <w:lvl w:ilvl="0">
      <w:lvlJc w:val="left"/>
      <w:lvlText w:val="(%1)"/>
      <w:numFmt w:val="lowerLetter"/>
      <w:start w:val="1"/>
    </w:lvl>
  </w:abstractNum>
  <w:abstractNum w:abstractNumId="28">
    <w:nsid w:val="4DF72E4E"/>
    <w:multiLevelType w:val="hybridMultilevel"/>
    <w:lvl w:ilvl="0">
      <w:lvlJc w:val="left"/>
      <w:lvlText w:val="%1"/>
      <w:numFmt w:val="lowerLetter"/>
      <w:start w:val="1"/>
    </w:lvl>
    <w:lvl w:ilvl="1">
      <w:lvlJc w:val="left"/>
      <w:lvlText w:val="(%2)"/>
      <w:numFmt w:val="lowerLetter"/>
      <w:start w:val="3"/>
    </w:lvl>
  </w:abstractNum>
  <w:abstractNum w:abstractNumId="29">
    <w:nsid w:val="5046B5A9"/>
    <w:multiLevelType w:val="hybridMultilevel"/>
    <w:lvl w:ilvl="0">
      <w:lvlJc w:val="left"/>
      <w:lvlText w:val="(%1)"/>
      <w:numFmt w:val="lowerLetter"/>
      <w:start w:val="5"/>
    </w:lvl>
    <w:lvl w:ilvl="1">
      <w:lvlJc w:val="left"/>
      <w:lvlText w:val="%2"/>
      <w:numFmt w:val="lowerLetter"/>
      <w:start w:val="1"/>
    </w:lvl>
  </w:abstractNum>
  <w:abstractNum w:abstractNumId="30">
    <w:nsid w:val="5D888A08"/>
    <w:multiLevelType w:val="hybridMultilevel"/>
    <w:lvl w:ilvl="0">
      <w:lvlJc w:val="left"/>
      <w:lvlText w:val="(%1)"/>
      <w:numFmt w:val="lowerLetter"/>
      <w:start w:val="2"/>
    </w:lvl>
  </w:abstractNum>
  <w:abstractNum w:abstractNumId="31">
    <w:nsid w:val="2A082C70"/>
    <w:multiLevelType w:val="hybridMultilevel"/>
    <w:lvl w:ilvl="0">
      <w:lvlJc w:val="left"/>
      <w:lvlText w:val="("/>
      <w:numFmt w:val="bullet"/>
      <w:start w:val="1"/>
    </w:lvl>
  </w:abstractNum>
  <w:abstractNum w:abstractNumId="32">
    <w:nsid w:val="5EC6AFD4"/>
    <w:multiLevelType w:val="hybridMultilevel"/>
    <w:lvl w:ilvl="0">
      <w:lvlJc w:val="left"/>
      <w:lvlText w:val="(%1)"/>
      <w:numFmt w:val="lowerLetter"/>
      <w:start w:val="1"/>
    </w:lvl>
  </w:abstractNum>
  <w:abstractNum w:abstractNumId="33">
    <w:nsid w:val="19E21BB2"/>
    <w:multiLevelType w:val="hybridMultilevel"/>
    <w:lvl w:ilvl="0">
      <w:lvlJc w:val="left"/>
      <w:lvlText w:val="(%1)"/>
      <w:numFmt w:val="lowerLetter"/>
      <w:start w:val="2"/>
    </w:lvl>
  </w:abstractNum>
  <w:abstractNum w:abstractNumId="34">
    <w:nsid w:val="75E0858A"/>
    <w:multiLevelType w:val="hybridMultilevel"/>
    <w:lvl w:ilvl="0">
      <w:lvlJc w:val="left"/>
      <w:lvlText w:val="(%1)"/>
      <w:numFmt w:val="lowerLetter"/>
      <w:start w:val="1"/>
    </w:lvl>
  </w:abstractNum>
  <w:abstractNum w:abstractNumId="35">
    <w:nsid w:val="57A61A29"/>
    <w:multiLevelType w:val="hybridMultilevel"/>
    <w:lvl w:ilvl="0">
      <w:lvlJc w:val="left"/>
      <w:lvlText w:val="(%1)"/>
      <w:numFmt w:val="lowerLetter"/>
      <w:start w:val="4"/>
    </w:lvl>
  </w:abstractNum>
  <w:abstractNum w:abstractNumId="36">
    <w:nsid w:val="5399C654"/>
    <w:multiLevelType w:val="hybridMultilevel"/>
    <w:lvl w:ilvl="0">
      <w:lvlJc w:val="left"/>
      <w:lvlText w:val="(%1)"/>
      <w:numFmt w:val="lowerLetter"/>
      <w:start w:val="2"/>
    </w:lvl>
  </w:abstractNum>
  <w:abstractNum w:abstractNumId="37">
    <w:nsid w:val="20EE1348"/>
    <w:multiLevelType w:val="hybridMultilevel"/>
    <w:lvl w:ilvl="0">
      <w:lvlJc w:val="left"/>
      <w:lvlText w:val="(%1)"/>
      <w:numFmt w:val="lowerLetter"/>
      <w:start w:val="1"/>
    </w:lvl>
  </w:abstractNum>
  <w:abstractNum w:abstractNumId="38">
    <w:nsid w:val="4427069A"/>
    <w:multiLevelType w:val="hybridMultilevel"/>
    <w:lvl w:ilvl="0">
      <w:lvlJc w:val="left"/>
      <w:lvlText w:val="(%1)"/>
      <w:numFmt w:val="lowerLetter"/>
      <w:start w:val="3"/>
    </w:lvl>
  </w:abstractNum>
  <w:abstractNum w:abstractNumId="39">
    <w:nsid w:val="B37E80A"/>
    <w:multiLevelType w:val="hybridMultilevel"/>
    <w:lvl w:ilvl="0">
      <w:lvlJc w:val="left"/>
      <w:lvlText w:val="%1"/>
      <w:numFmt w:val="upperLetter"/>
      <w:start w:val="1"/>
    </w:lvl>
    <w:lvl w:ilvl="1">
      <w:lvlJc w:val="left"/>
      <w:lvlText w:val="(%2)"/>
      <w:numFmt w:val="lowerLetter"/>
      <w:start w:val="1"/>
    </w:lvl>
  </w:abstractNum>
  <w:abstractNum w:abstractNumId="40">
    <w:nsid w:val="2157F6BC"/>
    <w:multiLevelType w:val="hybridMultilevel"/>
    <w:lvl w:ilvl="0">
      <w:lvlJc w:val="left"/>
      <w:lvlText w:val="(%1)"/>
      <w:numFmt w:val="upperLetter"/>
      <w:start w:val="1"/>
    </w:lvl>
    <w:lvl w:ilvl="1">
      <w:lvlJc w:val="left"/>
      <w:lvlText w:val="%2"/>
      <w:numFmt w:val="lowerLetter"/>
      <w:start w:val="1"/>
    </w:lvl>
  </w:abstractNum>
  <w:abstractNum w:abstractNumId="41">
    <w:nsid w:val="704E1DD5"/>
    <w:multiLevelType w:val="hybridMultilevel"/>
    <w:lvl w:ilvl="0">
      <w:lvlJc w:val="left"/>
      <w:lvlText w:val="(%1)"/>
      <w:numFmt w:val="lowerLetter"/>
      <w:start w:val="2"/>
    </w:lvl>
    <w:lvl w:ilvl="1">
      <w:lvlJc w:val="left"/>
      <w:lvlText w:val="(%2)"/>
      <w:numFmt w:val="lowerRoman"/>
      <w:start w:val="1"/>
    </w:lvl>
  </w:abstractNum>
  <w:abstractNum w:abstractNumId="42">
    <w:nsid w:val="57D2F10E"/>
    <w:multiLevelType w:val="hybridMultilevel"/>
    <w:lvl w:ilvl="0">
      <w:lvlJc w:val="left"/>
      <w:lvlText w:val="(%1)"/>
      <w:numFmt w:val="lowerLetter"/>
      <w:start w:val="1"/>
    </w:lvl>
    <w:lvl w:ilvl="1">
      <w:lvlJc w:val="left"/>
      <w:lvlText w:val="(%2)"/>
      <w:numFmt w:val="lowerRoman"/>
      <w:start w:val="1"/>
    </w:lvl>
  </w:abstractNum>
  <w:abstractNum w:abstractNumId="43">
    <w:nsid w:val="BFFAE18"/>
    <w:multiLevelType w:val="hybridMultilevel"/>
    <w:lvl w:ilvl="0">
      <w:lvlJc w:val="left"/>
      <w:lvlText w:val="(%1)"/>
      <w:numFmt w:val="lowerLetter"/>
      <w:start w:val="1"/>
    </w:lvl>
  </w:abstractNum>
  <w:abstractNum w:abstractNumId="44">
    <w:nsid w:val="E3E47A8"/>
    <w:multiLevelType w:val="hybridMultilevel"/>
    <w:lvl w:ilvl="0">
      <w:lvlJc w:val="left"/>
      <w:lvlText w:val="(%1)"/>
      <w:numFmt w:val="lowerLetter"/>
      <w:start w:val="2"/>
    </w:lvl>
  </w:abstractNum>
  <w:abstractNum w:abstractNumId="45">
    <w:nsid w:val="2E48F044"/>
    <w:multiLevelType w:val="hybridMultilevel"/>
    <w:lvl w:ilvl="0">
      <w:lvlJc w:val="left"/>
      <w:lvlText w:val="(%1)"/>
      <w:numFmt w:val="lowerLetter"/>
      <w:start w:val="1"/>
    </w:lvl>
    <w:lvl w:ilvl="1">
      <w:lvlJc w:val="left"/>
      <w:lvlText w:val="(%2)"/>
      <w:numFmt w:val="lowerLetter"/>
      <w:start w:val="9"/>
    </w:lvl>
  </w:abstractNum>
  <w:abstractNum w:abstractNumId="46">
    <w:nsid w:val="49D0FEAC"/>
    <w:multiLevelType w:val="hybridMultilevel"/>
    <w:lvl w:ilvl="0">
      <w:lvlJc w:val="left"/>
      <w:lvlText w:val="%1"/>
      <w:numFmt w:val="lowerLetter"/>
      <w:start w:val="1"/>
    </w:lvl>
    <w:lvl w:ilvl="1">
      <w:lvlJc w:val="left"/>
      <w:lvlText w:val="(%2)"/>
      <w:numFmt w:val="lowerRoman"/>
      <w:start w:val="2"/>
    </w:lvl>
  </w:abstractNum>
  <w:abstractNum w:abstractNumId="47">
    <w:nsid w:val="4BEE5A5B"/>
    <w:multiLevelType w:val="hybridMultilevel"/>
    <w:lvl w:ilvl="0">
      <w:lvlJc w:val="left"/>
      <w:lvlText w:val="(%1)"/>
      <w:numFmt w:val="lowerLetter"/>
      <w:start w:val="3"/>
    </w:lvl>
    <w:lvl w:ilvl="1">
      <w:lvlJc w:val="left"/>
      <w:lvlText w:val="%2"/>
      <w:numFmt w:val="lowerRoman"/>
      <w:start w:val="1"/>
    </w:lvl>
  </w:abstractNum>
  <w:abstractNum w:abstractNumId="48">
    <w:nsid w:val="5551B9F3"/>
    <w:multiLevelType w:val="hybridMultilevel"/>
    <w:lvl w:ilvl="0">
      <w:lvlJc w:val="left"/>
      <w:lvlText w:val="(%1)"/>
      <w:numFmt w:val="lowerLetter"/>
      <w:start w:val="1"/>
    </w:lvl>
  </w:abstractNum>
  <w:abstractNum w:abstractNumId="49">
    <w:nsid w:val="24F6AB8E"/>
    <w:multiLevelType w:val="hybridMultilevel"/>
    <w:lvl w:ilvl="0">
      <w:lvlJc w:val="left"/>
      <w:lvlText w:val="(%1)"/>
      <w:numFmt w:val="lowerLetter"/>
      <w:start w:val="1"/>
    </w:lvl>
  </w:abstractNum>
  <w:abstractNum w:abstractNumId="50">
    <w:nsid w:val="634C574C"/>
    <w:multiLevelType w:val="hybridMultilevel"/>
    <w:lvl w:ilvl="0">
      <w:lvlJc w:val="left"/>
      <w:lvlText w:val="(%1)"/>
      <w:numFmt w:val="lowerLetter"/>
      <w:start w:val="5"/>
    </w:lvl>
  </w:abstractNum>
  <w:abstractNum w:abstractNumId="51">
    <w:nsid w:val="24E99DD7"/>
    <w:multiLevelType w:val="hybridMultilevel"/>
    <w:lvl w:ilvl="0">
      <w:lvlJc w:val="left"/>
      <w:lvlText w:val="(%1)"/>
      <w:numFmt w:val="lowerLetter"/>
      <w:start w:val="1"/>
    </w:lvl>
  </w:abstractNum>
  <w:abstractNum w:abstractNumId="52">
    <w:nsid w:val="2A31B62D"/>
    <w:multiLevelType w:val="hybridMultilevel"/>
    <w:lvl w:ilvl="0">
      <w:lvlJc w:val="left"/>
      <w:lvlText w:val="(%1)"/>
      <w:numFmt w:val="lowerLetter"/>
      <w:start w:val="1"/>
    </w:lvl>
  </w:abstractNum>
  <w:abstractNum w:abstractNumId="53">
    <w:nsid w:val="1849C29B"/>
    <w:multiLevelType w:val="hybridMultilevel"/>
    <w:lvl w:ilvl="0">
      <w:lvlJc w:val="left"/>
      <w:lvlText w:val="(%1)"/>
      <w:numFmt w:val="lowerRoman"/>
      <w:start w:val="2"/>
    </w:lvl>
  </w:abstractNum>
  <w:abstractNum w:abstractNumId="54">
    <w:nsid w:val="7DFF9D09"/>
    <w:multiLevelType w:val="hybridMultilevel"/>
    <w:lvl w:ilvl="0">
      <w:lvlJc w:val="left"/>
      <w:lvlText w:val="(%1)"/>
      <w:numFmt w:val="lowerLetter"/>
      <w:start w:val="3"/>
    </w:lvl>
  </w:abstractNum>
  <w:abstractNum w:abstractNumId="55">
    <w:nsid w:val="754342"/>
    <w:multiLevelType w:val="hybridMultilevel"/>
    <w:lvl w:ilvl="0">
      <w:lvlJc w:val="left"/>
      <w:lvlText w:val="(%1)"/>
      <w:numFmt w:val="lowerLetter"/>
      <w:start w:val="2"/>
    </w:lvl>
    <w:lvl w:ilvl="1">
      <w:lvlJc w:val="left"/>
      <w:lvlText w:val="%2"/>
      <w:numFmt w:val="decimal"/>
      <w:start w:val="1"/>
    </w:lvl>
  </w:abstractNum>
  <w:abstractNum w:abstractNumId="56">
    <w:nsid w:val="69E7F3E5"/>
    <w:multiLevelType w:val="hybridMultilevel"/>
    <w:lvl w:ilvl="0">
      <w:lvlJc w:val="left"/>
      <w:lvlText w:val="(%1)"/>
      <w:numFmt w:val="lowerLetter"/>
      <w:start w:val="35"/>
    </w:lvl>
    <w:lvl w:ilvl="1">
      <w:lvlJc w:val="left"/>
      <w:lvlText w:val="(%2)"/>
      <w:numFmt w:val="decimal"/>
      <w:start w:val="1"/>
    </w:lvl>
  </w:abstractNum>
  <w:abstractNum w:abstractNumId="57">
    <w:nsid w:val="2A6DE806"/>
    <w:multiLevelType w:val="hybridMultilevel"/>
    <w:lvl w:ilvl="0">
      <w:lvlJc w:val="left"/>
      <w:lvlText w:val="(%1)"/>
      <w:numFmt w:val="lowerLetter"/>
      <w:start w:val="1"/>
    </w:lvl>
    <w:lvl w:ilvl="1">
      <w:lvlJc w:val="left"/>
      <w:lvlText w:val="(%2)"/>
      <w:numFmt w:val="lowerRoman"/>
      <w:start w:val="1"/>
    </w:lvl>
  </w:abstractNum>
  <w:abstractNum w:abstractNumId="58">
    <w:nsid w:val="1816F8C4"/>
    <w:multiLevelType w:val="hybridMultilevel"/>
    <w:lvl w:ilvl="0">
      <w:lvlJc w:val="left"/>
      <w:lvlText w:val="(%1)"/>
      <w:numFmt w:val="lowerLetter"/>
      <w:start w:val="2"/>
    </w:lvl>
  </w:abstractNum>
  <w:abstractNum w:abstractNumId="59">
    <w:nsid w:val="37DF2233"/>
    <w:multiLevelType w:val="hybridMultilevel"/>
    <w:lvl w:ilvl="0">
      <w:lvlJc w:val="left"/>
      <w:lvlText w:val="(%1)"/>
      <w:numFmt w:val="lowerLetter"/>
      <w:start w:val="1"/>
    </w:lvl>
  </w:abstractNum>
  <w:abstractNum w:abstractNumId="60">
    <w:nsid w:val="7AB49DAF"/>
    <w:multiLevelType w:val="hybridMultilevel"/>
    <w:lvl w:ilvl="0">
      <w:lvlJc w:val="left"/>
      <w:lvlText w:val="(%1)"/>
      <w:numFmt w:val="lowerLetter"/>
      <w:start w:val="6"/>
    </w:lvl>
  </w:abstractNum>
  <w:abstractNum w:abstractNumId="61">
    <w:nsid w:val="759F82CD"/>
    <w:multiLevelType w:val="hybridMultilevel"/>
    <w:lvl w:ilvl="0">
      <w:lvlJc w:val="left"/>
      <w:lvlText w:val="(%1)"/>
      <w:numFmt w:val="lowerLetter"/>
      <w:start w:val="1"/>
    </w:lvl>
  </w:abstractNum>
  <w:abstractNum w:abstractNumId="62">
    <w:nsid w:val="61E74EA3"/>
    <w:multiLevelType w:val="hybridMultilevel"/>
    <w:lvl w:ilvl="0">
      <w:lvlJc w:val="left"/>
      <w:lvlText w:val="(%1)"/>
      <w:numFmt w:val="lowerLetter"/>
      <w:start w:val="1"/>
    </w:lvl>
    <w:lvl w:ilvl="1">
      <w:lvlJc w:val="left"/>
      <w:lvlText w:val="(%2)"/>
      <w:numFmt w:val="lowerRoman"/>
      <w:start w:val="1"/>
    </w:lvl>
  </w:abstractNum>
  <w:abstractNum w:abstractNumId="63">
    <w:nsid w:val="597B4D84"/>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64">
    <w:nsid w:val="F819E7F"/>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35"/>
    </w:lvl>
  </w:abstractNum>
  <w:abstractNum w:abstractNumId="65">
    <w:nsid w:val="57C7D42D"/>
    <w:multiLevelType w:val="hybridMultilevel"/>
    <w:lvl w:ilvl="0">
      <w:lvlJc w:val="left"/>
      <w:lvlText w:val="(%1)"/>
      <w:numFmt w:val="upperLetter"/>
      <w:start w:val="1"/>
    </w:lvl>
    <w:lvl w:ilvl="1">
      <w:lvlJc w:val="left"/>
      <w:lvlText w:val="(%2)"/>
      <w:numFmt w:val="lowerLetter"/>
      <w:start w:val="24"/>
    </w:lvl>
    <w:lvl w:ilvl="2">
      <w:lvlJc w:val="left"/>
      <w:lvlText w:val="(%3)"/>
      <w:numFmt w:val="decimal"/>
      <w:start w:val="1"/>
    </w:lvl>
  </w:abstractNum>
  <w:abstractNum w:abstractNumId="66">
    <w:nsid w:val="312167A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67">
    <w:nsid w:val="631B64D4"/>
    <w:multiLevelType w:val="hybridMultilevel"/>
    <w:lvl w:ilvl="0">
      <w:lvlJc w:val="left"/>
      <w:lvlText w:val="%1"/>
      <w:numFmt w:val="upperLetter"/>
      <w:start w:val="1"/>
    </w:lvl>
    <w:lvl w:ilvl="1">
      <w:lvlJc w:val="left"/>
      <w:lvlText w:val="(%2)"/>
      <w:numFmt w:val="lowerLetter"/>
      <w:start w:val="24"/>
    </w:lvl>
    <w:lvl w:ilvl="2">
      <w:lvlJc w:val="left"/>
      <w:lvlText w:val="(%3)"/>
      <w:numFmt w:val="decimal"/>
      <w:start w:val="4"/>
    </w:lvl>
  </w:abstractNum>
  <w:abstractNum w:abstractNumId="68">
    <w:nsid w:val="78B5E776"/>
    <w:multiLevelType w:val="hybridMultilevel"/>
    <w:lvl w:ilvl="0">
      <w:lvlJc w:val="left"/>
      <w:lvlText w:val="(%1)"/>
      <w:numFmt w:val="upperLetter"/>
      <w:start w:val="3"/>
    </w:lvl>
  </w:abstractNum>
  <w:abstractNum w:abstractNumId="69">
    <w:nsid w:val="75486E47"/>
    <w:multiLevelType w:val="hybridMultilevel"/>
    <w:lvl w:ilvl="0">
      <w:lvlJc w:val="left"/>
      <w:lvlText w:val="(%1)"/>
      <w:numFmt w:val="lowerLetter"/>
      <w:start w:val="6"/>
    </w:lvl>
  </w:abstractNum>
  <w:abstractNum w:abstractNumId="70">
    <w:nsid w:val="6E534CDE"/>
    <w:multiLevelType w:val="hybridMultilevel"/>
    <w:lvl w:ilvl="0">
      <w:lvlJc w:val="left"/>
      <w:lvlText w:val="(%1)"/>
      <w:numFmt w:val="lowerLetter"/>
      <w:start w:val="7"/>
    </w:lvl>
  </w:abstractNum>
  <w:abstractNum w:abstractNumId="71">
    <w:nsid w:val="1A0DDE32"/>
    <w:multiLevelType w:val="hybridMultilevel"/>
    <w:lvl w:ilvl="0">
      <w:lvlJc w:val="left"/>
      <w:lvlText w:val="%1"/>
      <w:numFmt w:val="lowerLetter"/>
      <w:start w:val="1"/>
    </w:lvl>
    <w:lvl w:ilvl="1">
      <w:lvlJc w:val="left"/>
      <w:lvlText w:val="(%2)"/>
      <w:numFmt w:val="lowerLetter"/>
      <w:start w:val="1"/>
    </w:lvl>
  </w:abstractNum>
  <w:abstractNum w:abstractNumId="72">
    <w:nsid w:val="65968C1C"/>
    <w:multiLevelType w:val="hybridMultilevel"/>
    <w:lvl w:ilvl="0">
      <w:lvlJc w:val="left"/>
      <w:lvlText w:val="(%1)"/>
      <w:numFmt w:val="lowerLetter"/>
      <w:start w:val="9"/>
    </w:lvl>
    <w:lvl w:ilvl="1">
      <w:lvlJc w:val="left"/>
      <w:lvlText w:val="%2"/>
      <w:numFmt w:val="lowerLetter"/>
      <w:start w:val="1"/>
    </w:lvl>
  </w:abstractNum>
  <w:abstractNum w:abstractNumId="73">
    <w:nsid w:val="46263DEC"/>
    <w:multiLevelType w:val="hybridMultilevel"/>
    <w:lvl w:ilvl="0">
      <w:lvlJc w:val="left"/>
      <w:lvlText w:val="(%1)"/>
      <w:numFmt w:val="lowerLetter"/>
      <w:start w:val="3"/>
    </w:lvl>
  </w:abstractNum>
  <w:abstractNum w:abstractNumId="74">
    <w:nsid w:val="260D8C4A"/>
    <w:multiLevelType w:val="hybridMultilevel"/>
    <w:lvl w:ilvl="0">
      <w:lvlJc w:val="left"/>
      <w:lvlText w:val="(%1)"/>
      <w:numFmt w:val="lowerLetter"/>
      <w:start w:val="35"/>
    </w:lvl>
    <w:lvl w:ilvl="1">
      <w:lvlJc w:val="left"/>
      <w:lvlText w:val="(%2)"/>
      <w:numFmt w:val="lowerLetter"/>
      <w:start w:val="2"/>
    </w:lvl>
  </w:abstractNum>
  <w:abstractNum w:abstractNumId="75">
    <w:nsid w:val="73D4D3C4"/>
    <w:multiLevelType w:val="hybridMultilevel"/>
    <w:lvl w:ilvl="0">
      <w:lvlJc w:val="left"/>
      <w:lvlText w:val="(%1)"/>
      <w:numFmt w:val="lowerLetter"/>
      <w:start w:val="1"/>
    </w:lvl>
    <w:lvl w:ilvl="1">
      <w:lvlJc w:val="left"/>
      <w:lvlText w:val="(%2)"/>
      <w:numFmt w:val="lowerRoman"/>
      <w:start w:val="1"/>
    </w:lvl>
  </w:abstractNum>
  <w:abstractNum w:abstractNumId="76">
    <w:nsid w:val="746F2E30"/>
    <w:multiLevelType w:val="hybridMultilevel"/>
    <w:lvl w:ilvl="0">
      <w:lvlJc w:val="left"/>
      <w:lvlText w:val="(%1)"/>
      <w:numFmt w:val="lowerLetter"/>
      <w:start w:val="2"/>
    </w:lvl>
  </w:abstractNum>
  <w:abstractNum w:abstractNumId="77">
    <w:nsid w:val="6FDE8AF6"/>
    <w:multiLevelType w:val="hybridMultilevel"/>
    <w:lvl w:ilvl="0">
      <w:lvlJc w:val="left"/>
      <w:lvlText w:val="(%1)"/>
      <w:numFmt w:val="lowerLetter"/>
      <w:start w:val="6"/>
    </w:lvl>
  </w:abstractNum>
  <w:abstractNum w:abstractNumId="78">
    <w:nsid w:val="3FC32E20"/>
    <w:multiLevelType w:val="hybridMultilevel"/>
    <w:lvl w:ilvl="0">
      <w:lvlJc w:val="left"/>
      <w:lvlText w:val="(%1)"/>
      <w:numFmt w:val="lowerLetter"/>
      <w:start w:val="1"/>
    </w:lvl>
  </w:abstractNum>
  <w:abstractNum w:abstractNumId="79">
    <w:nsid w:val="49C0E823"/>
    <w:multiLevelType w:val="hybridMultilevel"/>
    <w:lvl w:ilvl="0">
      <w:lvlJc w:val="left"/>
      <w:lvlText w:val="(%1)"/>
      <w:numFmt w:val="lowerLetter"/>
      <w:start w:val="1"/>
    </w:lvl>
  </w:abstractNum>
  <w:abstractNum w:abstractNumId="80">
    <w:nsid w:val="14D53685"/>
    <w:multiLevelType w:val="hybridMultilevel"/>
    <w:lvl w:ilvl="0">
      <w:lvlJc w:val="left"/>
      <w:lvlText w:val="(%1)"/>
      <w:numFmt w:val="lowerLetter"/>
      <w:start w:val="1"/>
    </w:lvl>
  </w:abstractNum>
  <w:abstractNum w:abstractNumId="81">
    <w:nsid w:val="230F856C"/>
    <w:multiLevelType w:val="hybridMultilevel"/>
    <w:lvl w:ilvl="0">
      <w:lvlJc w:val="left"/>
      <w:lvlText w:val="(%1)"/>
      <w:numFmt w:val="lowerLetter"/>
      <w:start w:val="3"/>
    </w:lvl>
    <w:lvl w:ilvl="1">
      <w:lvlJc w:val="left"/>
      <w:lvlText w:val="(%2)"/>
      <w:numFmt w:val="lowerRoman"/>
      <w:start w:val="1"/>
    </w:lvl>
  </w:abstractNum>
  <w:abstractNum w:abstractNumId="82">
    <w:nsid w:val="6EAA85FB"/>
    <w:multiLevelType w:val="hybridMultilevel"/>
    <w:lvl w:ilvl="0">
      <w:lvlJc w:val="left"/>
      <w:lvlText w:val="(%1)"/>
      <w:numFmt w:val="lowerLetter"/>
      <w:start w:val="9"/>
    </w:lvl>
  </w:abstractNum>
  <w:abstractNum w:abstractNumId="83">
    <w:nsid w:val="3F06ECB2"/>
    <w:multiLevelType w:val="hybridMultilevel"/>
    <w:lvl w:ilvl="0">
      <w:lvlJc w:val="left"/>
      <w:lvlText w:val="(%1)"/>
      <w:numFmt w:val="lowerLetter"/>
      <w:start w:val="1"/>
    </w:lvl>
  </w:abstractNum>
  <w:abstractNum w:abstractNumId="84">
    <w:nsid w:val="3B594807"/>
    <w:multiLevelType w:val="hybridMultilevel"/>
    <w:lvl w:ilvl="0">
      <w:lvlJc w:val="left"/>
      <w:lvlText w:val="%1"/>
      <w:numFmt w:val="lowerRoman"/>
      <w:start w:val="1"/>
    </w:lvl>
    <w:lvl w:ilvl="1">
      <w:lvlJc w:val="left"/>
      <w:lvlText w:val="(%2)"/>
      <w:numFmt w:val="lowerLetter"/>
      <w:start w:val="1"/>
    </w:lvl>
  </w:abstractNum>
  <w:abstractNum w:abstractNumId="85">
    <w:nsid w:val="6CAA2304"/>
    <w:multiLevelType w:val="hybridMultilevel"/>
    <w:lvl w:ilvl="0">
      <w:lvlJc w:val="left"/>
      <w:lvlText w:val="(%1)"/>
      <w:numFmt w:val="lowerRoman"/>
      <w:start w:val="1"/>
    </w:lvl>
    <w:lvl w:ilvl="1">
      <w:lvlJc w:val="left"/>
      <w:lvlText w:val="%2"/>
      <w:numFmt w:val="lowerLetter"/>
      <w:start w:val="1"/>
    </w:lvl>
  </w:abstractNum>
  <w:abstractNum w:abstractNumId="86">
    <w:nsid w:val="3F7C2FF4"/>
    <w:multiLevelType w:val="hybridMultilevel"/>
    <w:lvl w:ilvl="0">
      <w:lvlJc w:val="left"/>
      <w:lvlText w:val="%1"/>
      <w:numFmt w:val="upperLetter"/>
      <w:start w:val="1"/>
    </w:lvl>
    <w:lvl w:ilvl="1">
      <w:lvlJc w:val="left"/>
      <w:lvlText w:val="(%2)"/>
      <w:numFmt w:val="lowerLetter"/>
      <w:start w:val="3"/>
    </w:lvl>
  </w:abstractNum>
  <w:abstractNum w:abstractNumId="87">
    <w:nsid w:val="25413BEC"/>
    <w:multiLevelType w:val="hybridMultilevel"/>
    <w:lvl w:ilvl="0">
      <w:lvlJc w:val="left"/>
      <w:lvlText w:val="(%1)"/>
      <w:numFmt w:val="upperLetter"/>
      <w:start w:val="1"/>
    </w:lvl>
    <w:lvl w:ilvl="1">
      <w:lvlJc w:val="left"/>
      <w:lvlText w:val="%2"/>
      <w:numFmt w:val="lowerLetter"/>
      <w:start w:val="1"/>
    </w:lvl>
  </w:abstractNum>
  <w:abstractNum w:abstractNumId="88">
    <w:nsid w:val="17180B0B"/>
    <w:multiLevelType w:val="hybridMultilevel"/>
    <w:lvl w:ilvl="0">
      <w:lvlJc w:val="left"/>
      <w:lvlText w:val="(%1)"/>
      <w:numFmt w:val="lowerLetter"/>
      <w:start w:val="1"/>
    </w:lvl>
  </w:abstractNum>
  <w:abstractNum w:abstractNumId="89">
    <w:nsid w:val="579328B9"/>
    <w:multiLevelType w:val="hybridMultilevel"/>
    <w:lvl w:ilvl="0">
      <w:lvlJc w:val="left"/>
      <w:lvlText w:val="(%1)"/>
      <w:numFmt w:val="lowerLetter"/>
      <w:start w:val="1"/>
    </w:lvl>
  </w:abstractNum>
  <w:abstractNum w:abstractNumId="90">
    <w:nsid w:val="5D205E20"/>
    <w:multiLevelType w:val="hybridMultilevel"/>
    <w:lvl w:ilvl="0">
      <w:lvlJc w:val="left"/>
      <w:lvlText w:val="(%1)"/>
      <w:numFmt w:val="lowerRoman"/>
      <w:start w:val="1"/>
    </w:lvl>
  </w:abstractNum>
  <w:abstractNum w:abstractNumId="91">
    <w:nsid w:val="11CCA8BA"/>
    <w:multiLevelType w:val="hybridMultilevel"/>
    <w:lvl w:ilvl="0">
      <w:lvlJc w:val="left"/>
      <w:lvlText w:val="(%1)"/>
      <w:numFmt w:val="lowerRoman"/>
      <w:start w:val="2"/>
    </w:lvl>
  </w:abstractNum>
  <w:abstractNum w:abstractNumId="92">
    <w:nsid w:val="4D32AB86"/>
    <w:multiLevelType w:val="hybridMultilevel"/>
    <w:lvl w:ilvl="0">
      <w:lvlJc w:val="left"/>
      <w:lvlText w:val="(%1)"/>
      <w:numFmt w:val="lowerLetter"/>
      <w:start w:val="1"/>
    </w:lvl>
  </w:abstractNum>
  <w:abstractNum w:abstractNumId="93">
    <w:nsid w:val="3F07ACC3"/>
    <w:multiLevelType w:val="hybridMultilevel"/>
    <w:lvl w:ilvl="0">
      <w:lvlJc w:val="left"/>
      <w:lvlText w:val="(%1)"/>
      <w:numFmt w:val="lowerLetter"/>
      <w:start w:val="1"/>
    </w:lvl>
  </w:abstractNum>
  <w:abstractNum w:abstractNumId="94">
    <w:nsid w:val="6B47F63E"/>
    <w:multiLevelType w:val="hybridMultilevel"/>
    <w:lvl w:ilvl="0">
      <w:lvlJc w:val="left"/>
      <w:lvlText w:val="(%1)"/>
      <w:numFmt w:val="lowerLetter"/>
      <w:start w:val="1"/>
    </w:lvl>
  </w:abstractNum>
  <w:abstractNum w:abstractNumId="95">
    <w:nsid w:val="5CB44A05"/>
    <w:multiLevelType w:val="hybridMultilevel"/>
    <w:lvl w:ilvl="0">
      <w:lvlJc w:val="left"/>
      <w:lvlText w:val="(%1)"/>
      <w:numFmt w:val="lowerLetter"/>
      <w:start w:val="1"/>
    </w:lvl>
  </w:abstractNum>
  <w:abstractNum w:abstractNumId="96">
    <w:nsid w:val="16CF80F1"/>
    <w:multiLevelType w:val="hybridMultilevel"/>
    <w:lvl w:ilvl="0">
      <w:lvlJc w:val="left"/>
      <w:lvlText w:val="(%1)"/>
      <w:numFmt w:val="lowerLetter"/>
      <w:start w:val="2"/>
    </w:lvl>
  </w:abstractNum>
  <w:abstractNum w:abstractNumId="97">
    <w:nsid w:val="1C695DEC"/>
    <w:multiLevelType w:val="hybridMultilevel"/>
    <w:lvl w:ilvl="0">
      <w:lvlJc w:val="left"/>
      <w:lvlText w:val="(%1)"/>
      <w:numFmt w:val="lowerLetter"/>
      <w:start w:val="1"/>
    </w:lvl>
    <w:lvl w:ilvl="1">
      <w:lvlJc w:val="left"/>
      <w:lvlText w:val="(%2)"/>
      <w:numFmt w:val="lowerLetter"/>
      <w:start w:val="9"/>
    </w:lvl>
  </w:abstractNum>
  <w:abstractNum w:abstractNumId="98">
    <w:nsid w:val="3FCFAED9"/>
    <w:multiLevelType w:val="hybridMultilevel"/>
    <w:lvl w:ilvl="0">
      <w:lvlJc w:val="left"/>
      <w:lvlText w:val="%1"/>
      <w:numFmt w:val="upperLetter"/>
      <w:start w:val="1"/>
    </w:lvl>
    <w:lvl w:ilvl="1">
      <w:lvlJc w:val="left"/>
      <w:lvlText w:val="(%2)"/>
      <w:numFmt w:val="lowerRoman"/>
      <w:start w:val="2"/>
    </w:lvl>
  </w:abstractNum>
  <w:abstractNum w:abstractNumId="99">
    <w:nsid w:val="F856867"/>
    <w:multiLevelType w:val="hybridMultilevel"/>
    <w:lvl w:ilvl="0">
      <w:lvlJc w:val="left"/>
      <w:lvlText w:val="(%1)"/>
      <w:numFmt w:val="upperLetter"/>
      <w:start w:val="2"/>
    </w:lvl>
    <w:lvl w:ilvl="1">
      <w:lvlJc w:val="left"/>
      <w:lvlText w:val="%2"/>
      <w:numFmt w:val="lowerRoman"/>
      <w:start w:val="1"/>
    </w:lvl>
  </w:abstractNum>
  <w:abstractNum w:abstractNumId="100">
    <w:nsid w:val="11B1CC33"/>
    <w:multiLevelType w:val="hybridMultilevel"/>
    <w:lvl w:ilvl="0">
      <w:lvlJc w:val="left"/>
      <w:lvlText w:val="(%1)"/>
      <w:numFmt w:val="lowerLetter"/>
      <w:start w:val="3"/>
    </w:lvl>
  </w:abstractNum>
  <w:abstractNum w:abstractNumId="101">
    <w:nsid w:val="2E22FBB7"/>
    <w:multiLevelType w:val="hybridMultilevel"/>
    <w:lvl w:ilvl="0">
      <w:lvlJc w:val="left"/>
      <w:lvlText w:val="(%1)"/>
      <w:numFmt w:val="lowerLetter"/>
      <w:start w:val="1"/>
    </w:lvl>
  </w:abstractNum>
  <w:abstractNum w:abstractNumId="102">
    <w:nsid w:val="29934699"/>
    <w:multiLevelType w:val="hybridMultilevel"/>
    <w:lvl w:ilvl="0">
      <w:lvlJc w:val="left"/>
      <w:lvlText w:val="%1"/>
      <w:numFmt w:val="lowerLetter"/>
      <w:start w:val="1"/>
    </w:lvl>
    <w:lvl w:ilvl="1">
      <w:lvlJc w:val="left"/>
      <w:lvlText w:val="(%2)"/>
      <w:numFmt w:val="lowerLetter"/>
      <w:start w:val="1"/>
    </w:lvl>
  </w:abstractNum>
  <w:abstractNum w:abstractNumId="103">
    <w:nsid w:val="77485850"/>
    <w:multiLevelType w:val="hybridMultilevel"/>
    <w:lvl w:ilvl="0">
      <w:lvlJc w:val="left"/>
      <w:lvlText w:val="(%1)"/>
      <w:numFmt w:val="lowerLetter"/>
      <w:start w:val="35"/>
    </w:lvl>
    <w:lvl w:ilvl="1">
      <w:lvlJc w:val="left"/>
      <w:lvlText w:val="(%2)"/>
      <w:numFmt w:val="lowerLetter"/>
      <w:start w:val="2"/>
    </w:lvl>
  </w:abstractNum>
  <w:abstractNum w:abstractNumId="104">
    <w:nsid w:val="744939A3"/>
    <w:multiLevelType w:val="hybridMultilevel"/>
    <w:lvl w:ilvl="0">
      <w:lvlJc w:val="left"/>
      <w:lvlText w:val="(%1)"/>
      <w:numFmt w:val="lowerLetter"/>
      <w:start w:val="1"/>
    </w:lvl>
  </w:abstractNum>
  <w:abstractNum w:abstractNumId="105">
    <w:nsid w:val="4FA0D2E3"/>
    <w:multiLevelType w:val="hybridMultilevel"/>
    <w:lvl w:ilvl="0">
      <w:lvlJc w:val="left"/>
      <w:lvlText w:val="(%1)"/>
      <w:numFmt w:val="lowerLetter"/>
      <w:start w:val="8"/>
    </w:lvl>
  </w:abstractNum>
  <w:abstractNum w:abstractNumId="106">
    <w:nsid w:val="6B1D2C14"/>
    <w:multiLevelType w:val="hybridMultilevel"/>
    <w:lvl w:ilvl="0">
      <w:lvlJc w:val="left"/>
      <w:lvlText w:val="(%1)"/>
      <w:numFmt w:val="lowerLetter"/>
      <w:start w:val="2"/>
    </w:lvl>
  </w:abstractNum>
  <w:abstractNum w:abstractNumId="107">
    <w:nsid w:val="68B867D3"/>
    <w:multiLevelType w:val="hybridMultilevel"/>
    <w:lvl w:ilvl="0">
      <w:lvlJc w:val="left"/>
      <w:lvlText w:val="(%1)"/>
      <w:numFmt w:val="lowerLetter"/>
      <w:start w:val="1"/>
    </w:lvl>
  </w:abstractNum>
  <w:abstractNum w:abstractNumId="108">
    <w:nsid w:val="3F7F5DD9"/>
    <w:multiLevelType w:val="hybridMultilevel"/>
    <w:lvl w:ilvl="0">
      <w:lvlJc w:val="left"/>
      <w:lvlText w:val="(%1)"/>
      <w:numFmt w:val="lowerLetter"/>
      <w:start w:val="3"/>
    </w:lvl>
  </w:abstractNum>
  <w:abstractNum w:abstractNumId="109">
    <w:nsid w:val="2AE05A34"/>
    <w:multiLevelType w:val="hybridMultilevel"/>
    <w:lvl w:ilvl="0">
      <w:lvlJc w:val="left"/>
      <w:lvlText w:val="(%1)"/>
      <w:numFmt w:val="lowerLetter"/>
      <w:start w:val="1"/>
    </w:lvl>
  </w:abstractNum>
  <w:abstractNum w:abstractNumId="110">
    <w:nsid w:val="32794FF7"/>
    <w:multiLevelType w:val="hybridMultilevel"/>
    <w:lvl w:ilvl="0">
      <w:lvlJc w:val="left"/>
      <w:lvlText w:val="(%1)"/>
      <w:numFmt w:val="lowerLetter"/>
      <w:start w:val="3"/>
    </w:lvl>
  </w:abstractNum>
  <w:abstractNum w:abstractNumId="111">
    <w:nsid w:val="5454945E"/>
    <w:multiLevelType w:val="hybridMultilevel"/>
    <w:lvl w:ilvl="0">
      <w:lvlJc w:val="left"/>
      <w:lvlText w:val="(%1)"/>
      <w:numFmt w:val="lowerLetter"/>
      <w:start w:val="1"/>
    </w:lvl>
  </w:abstractNum>
  <w:abstractNum w:abstractNumId="112">
    <w:nsid w:val="4DEFDFA0"/>
    <w:multiLevelType w:val="hybridMultilevel"/>
    <w:lvl w:ilvl="0">
      <w:lvlJc w:val="left"/>
      <w:lvlText w:val="(%1)"/>
      <w:numFmt w:val="lowerLetter"/>
      <w:start w:val="1"/>
    </w:lvl>
  </w:abstractNum>
  <w:abstractNum w:abstractNumId="113">
    <w:nsid w:val="2123D5F2"/>
    <w:multiLevelType w:val="hybridMultilevel"/>
    <w:lvl w:ilvl="0">
      <w:lvlJc w:val="left"/>
      <w:lvlText w:val="%1"/>
      <w:numFmt w:val="lowerLetter"/>
      <w:start w:val="1"/>
    </w:lvl>
    <w:lvl w:ilvl="1">
      <w:lvlJc w:val="left"/>
      <w:lvlText w:val="(%2)"/>
      <w:numFmt w:val="lowerLetter"/>
      <w:start w:val="1"/>
    </w:lvl>
  </w:abstractNum>
  <w:abstractNum w:abstractNumId="114">
    <w:nsid w:val="135B8110"/>
    <w:multiLevelType w:val="hybridMultilevel"/>
    <w:lvl w:ilvl="0">
      <w:lvlJc w:val="left"/>
      <w:lvlText w:val="(%1)"/>
      <w:numFmt w:val="lowerLetter"/>
      <w:start w:val="35"/>
    </w:lvl>
    <w:lvl w:ilvl="1">
      <w:lvlJc w:val="left"/>
      <w:lvlText w:val="(%2)"/>
      <w:numFmt w:val="lowerLetter"/>
      <w:start w:val="2"/>
    </w:lvl>
  </w:abstractNum>
  <w:abstractNum w:abstractNumId="115">
    <w:nsid w:val="94927A8"/>
    <w:multiLevelType w:val="hybridMultilevel"/>
    <w:lvl w:ilvl="0">
      <w:lvlJc w:val="left"/>
      <w:lvlText w:val="(%1)"/>
      <w:numFmt w:val="lowerLetter"/>
      <w:start w:val="1"/>
    </w:lvl>
  </w:abstractNum>
  <w:abstractNum w:abstractNumId="116">
    <w:nsid w:val="DCDF8F6"/>
    <w:multiLevelType w:val="hybridMultilevel"/>
    <w:lvl w:ilvl="0">
      <w:lvlJc w:val="left"/>
      <w:lvlText w:val="(%1)"/>
      <w:numFmt w:val="lowerLetter"/>
      <w:start w:val="3"/>
    </w:lvl>
  </w:abstractNum>
  <w:abstractNum w:abstractNumId="117">
    <w:nsid w:val="52D7B105"/>
    <w:multiLevelType w:val="hybridMultilevel"/>
    <w:lvl w:ilvl="0">
      <w:lvlJc w:val="left"/>
      <w:lvlText w:val="%1"/>
      <w:numFmt w:val="lowerLetter"/>
      <w:start w:val="1"/>
    </w:lvl>
    <w:lvl w:ilvl="1">
      <w:lvlJc w:val="left"/>
      <w:lvlText w:val="(%2)"/>
      <w:numFmt w:val="lowerLetter"/>
      <w:start w:val="1"/>
    </w:lvl>
  </w:abstractNum>
  <w:abstractNum w:abstractNumId="118">
    <w:nsid w:val="2E8A6394"/>
    <w:multiLevelType w:val="hybridMultilevel"/>
    <w:lvl w:ilvl="0">
      <w:lvlJc w:val="left"/>
      <w:lvlText w:val="(%1)"/>
      <w:numFmt w:val="lowerLetter"/>
      <w:start w:val="9"/>
    </w:lvl>
    <w:lvl w:ilvl="1">
      <w:lvlJc w:val="left"/>
      <w:lvlText w:val="%2"/>
      <w:numFmt w:val="lowerLetter"/>
      <w:start w:val="1"/>
    </w:lvl>
  </w:abstractNum>
  <w:abstractNum w:abstractNumId="119">
    <w:nsid w:val="24E60401"/>
    <w:multiLevelType w:val="hybridMultilevel"/>
    <w:lvl w:ilvl="0">
      <w:lvlJc w:val="left"/>
      <w:lvlText w:val="(%1)"/>
      <w:numFmt w:val="lowerLetter"/>
      <w:start w:val="1"/>
    </w:lvl>
  </w:abstractNum>
  <w:abstractNum w:abstractNumId="120">
    <w:nsid w:val="2A6AD9BE"/>
    <w:multiLevelType w:val="hybridMultilevel"/>
    <w:lvl w:ilvl="0">
      <w:lvlJc w:val="left"/>
      <w:lvlText w:val="(%1)"/>
      <w:numFmt w:val="lowerLetter"/>
      <w:start w:val="4"/>
    </w:lvl>
  </w:abstractNum>
  <w:abstractNum w:abstractNumId="121">
    <w:nsid w:val="BAAC1B4"/>
    <w:multiLevelType w:val="hybridMultilevel"/>
    <w:lvl w:ilvl="0">
      <w:lvlJc w:val="left"/>
      <w:lvlText w:val="%1"/>
      <w:numFmt w:val="upperLetter"/>
      <w:start w:val="1"/>
    </w:lvl>
    <w:lvl w:ilvl="1">
      <w:lvlJc w:val="left"/>
      <w:lvlText w:val="(%2)"/>
      <w:numFmt w:val="lowerLetter"/>
      <w:start w:val="15"/>
    </w:lvl>
  </w:abstractNum>
  <w:abstractNum w:abstractNumId="122">
    <w:nsid w:val="36B2ACBC"/>
    <w:multiLevelType w:val="hybridMultilevel"/>
    <w:lvl w:ilvl="0">
      <w:lvlJc w:val="left"/>
      <w:lvlText w:val="(%1)"/>
      <w:numFmt w:val="upperLetter"/>
      <w:start w:val="1"/>
    </w:lvl>
    <w:lvl w:ilvl="1">
      <w:lvlJc w:val="left"/>
      <w:lvlText w:val="(%2)"/>
      <w:numFmt w:val="lowerLetter"/>
      <w:start w:val="20"/>
    </w:lvl>
  </w:abstractNum>
  <w:abstractNum w:abstractNumId="123">
    <w:nsid w:val="779D8544"/>
    <w:multiLevelType w:val="hybridMultilevel"/>
    <w:lvl w:ilvl="0">
      <w:lvlJc w:val="left"/>
      <w:lvlText w:val="(%1)"/>
      <w:numFmt w:val="lowerLetter"/>
      <w:start w:val="27"/>
    </w:lvl>
  </w:abstractNum>
  <w:abstractNum w:abstractNumId="124">
    <w:nsid w:val="4AB26E78"/>
    <w:multiLevelType w:val="hybridMultilevel"/>
    <w:lvl w:ilvl="0">
      <w:lvlJc w:val="left"/>
      <w:lvlText w:val="%1"/>
      <w:numFmt w:val="lowerLetter"/>
      <w:start w:val="1"/>
    </w:lvl>
    <w:lvl w:ilvl="1">
      <w:lvlJc w:val="left"/>
      <w:lvlText w:val="(%2)"/>
      <w:numFmt w:val="lowerLetter"/>
      <w:start w:val="1"/>
    </w:lvl>
  </w:abstractNum>
  <w:abstractNum w:abstractNumId="125">
    <w:nsid w:val="21FAA2FA"/>
    <w:multiLevelType w:val="hybridMultilevel"/>
    <w:lvl w:ilvl="0">
      <w:lvlJc w:val="left"/>
      <w:lvlText w:val="(%1)"/>
      <w:numFmt w:val="lowerLetter"/>
      <w:start w:val="35"/>
    </w:lvl>
    <w:lvl w:ilvl="1">
      <w:lvlJc w:val="left"/>
      <w:lvlText w:val="(%2)"/>
      <w:numFmt w:val="lowerLetter"/>
      <w:start w:val="7"/>
    </w:lvl>
  </w:abstractNum>
  <w:abstractNum w:abstractNumId="126">
    <w:nsid w:val="5451CF49"/>
    <w:multiLevelType w:val="hybridMultilevel"/>
    <w:lvl w:ilvl="0">
      <w:lvlJc w:val="left"/>
      <w:lvlText w:val="(%1)"/>
      <w:numFmt w:val="decimal"/>
      <w:start w:val="1"/>
    </w:lvl>
  </w:abstractNum>
  <w:abstractNum w:abstractNumId="127">
    <w:nsid w:val="6181EF69"/>
    <w:multiLevelType w:val="hybridMultilevel"/>
    <w:lvl w:ilvl="0">
      <w:lvlJc w:val="left"/>
      <w:lvlText w:val="(%1)"/>
      <w:numFmt w:val="lowerLetter"/>
      <w:start w:val="9"/>
    </w:lvl>
  </w:abstractNum>
  <w:abstractNum w:abstractNumId="128">
    <w:nsid w:val="3E6400E6"/>
    <w:multiLevelType w:val="hybridMultilevel"/>
    <w:lvl w:ilvl="0">
      <w:lvlJc w:val="left"/>
      <w:lvlText w:val="(%1)"/>
      <w:numFmt w:val="lowerLetter"/>
      <w:start w:val="1"/>
    </w:lvl>
  </w:abstractNum>
  <w:abstractNum w:abstractNumId="129">
    <w:nsid w:val="14217E23"/>
    <w:multiLevelType w:val="hybridMultilevel"/>
    <w:lvl w:ilvl="0">
      <w:lvlJc w:val="left"/>
      <w:lvlText w:val="(%1)"/>
      <w:numFmt w:val="lowerLetter"/>
      <w:start w:val="5"/>
    </w:lvl>
  </w:abstractNum>
  <w:abstractNum w:abstractNumId="130">
    <w:nsid w:val="710757D0"/>
    <w:multiLevelType w:val="hybridMultilevel"/>
    <w:lvl w:ilvl="0">
      <w:lvlJc w:val="left"/>
      <w:lvlText w:val="(%1)"/>
      <w:numFmt w:val="lowerLetter"/>
      <w:start w:val="1"/>
    </w:lvl>
  </w:abstractNum>
  <w:abstractNum w:abstractNumId="131">
    <w:nsid w:val="5015CD1A"/>
    <w:multiLevelType w:val="hybridMultilevel"/>
    <w:lvl w:ilvl="0">
      <w:lvlJc w:val="left"/>
      <w:lvlText w:val="(%1)"/>
      <w:numFmt w:val="lowerLetter"/>
      <w:start w:val="4"/>
    </w:lvl>
  </w:abstractNum>
  <w:abstractNum w:abstractNumId="132">
    <w:nsid w:val="424479DA"/>
    <w:multiLevelType w:val="hybridMultilevel"/>
    <w:lvl w:ilvl="0">
      <w:lvlJc w:val="left"/>
      <w:lvlText w:val="(%1)"/>
      <w:numFmt w:val="lowerLetter"/>
      <w:start w:val="1"/>
    </w:lvl>
  </w:abstractNum>
  <w:abstractNum w:abstractNumId="133">
    <w:nsid w:val="1A9A9E69"/>
    <w:multiLevelType w:val="hybridMultilevel"/>
    <w:lvl w:ilvl="0">
      <w:lvlJc w:val="left"/>
      <w:lvlText w:val="(%1)"/>
      <w:numFmt w:val="lowerLetter"/>
      <w:start w:val="1"/>
    </w:lvl>
  </w:abstractNum>
  <w:abstractNum w:abstractNumId="134">
    <w:nsid w:val="475E256A"/>
    <w:multiLevelType w:val="hybridMultilevel"/>
    <w:lvl w:ilvl="0">
      <w:lvlJc w:val="left"/>
      <w:lvlText w:val="(%1)"/>
      <w:numFmt w:val="lowerLetter"/>
      <w:start w:val="1"/>
    </w:lvl>
  </w:abstractNum>
  <w:abstractNum w:abstractNumId="135">
    <w:nsid w:val="368DB37E"/>
    <w:multiLevelType w:val="hybridMultilevel"/>
    <w:lvl w:ilvl="0">
      <w:lvlJc w:val="left"/>
      <w:lvlText w:val="(%1)"/>
      <w:numFmt w:val="lowerLetter"/>
      <w:start w:val="5"/>
    </w:lvl>
  </w:abstractNum>
  <w:abstractNum w:abstractNumId="136">
    <w:nsid w:val="6A3B714C"/>
    <w:multiLevelType w:val="hybridMultilevel"/>
    <w:lvl w:ilvl="0">
      <w:lvlJc w:val="left"/>
      <w:lvlText w:val="(%1)"/>
      <w:numFmt w:val="decimal"/>
      <w:start w:val="1"/>
    </w:lvl>
  </w:abstractNum>
  <w:abstractNum w:abstractNumId="137">
    <w:nsid w:val="327B517E"/>
    <w:multiLevelType w:val="hybridMultilevel"/>
    <w:lvl w:ilvl="0">
      <w:lvlJc w:val="left"/>
      <w:lvlText w:val="%1"/>
      <w:numFmt w:val="lowerLetter"/>
      <w:start w:val="1"/>
    </w:lvl>
    <w:lvl w:ilvl="1">
      <w:lvlJc w:val="left"/>
      <w:lvlText w:val="(%2)"/>
      <w:numFmt w:val="lowerLetter"/>
      <w:start w:val="1"/>
    </w:lvl>
  </w:abstractNum>
  <w:abstractNum w:abstractNumId="138">
    <w:nsid w:val="1F461B51"/>
    <w:multiLevelType w:val="hybridMultilevel"/>
    <w:lvl w:ilvl="0">
      <w:lvlJc w:val="left"/>
      <w:lvlText w:val="(%1)"/>
      <w:numFmt w:val="lowerLetter"/>
      <w:start w:val="35"/>
    </w:lvl>
    <w:lvl w:ilvl="1">
      <w:lvlJc w:val="left"/>
      <w:lvlText w:val="(%2)"/>
      <w:numFmt w:val="lowerLetter"/>
      <w:start w:val="2"/>
    </w:lvl>
  </w:abstractNum>
  <w:abstractNum w:abstractNumId="139">
    <w:nsid w:val="29BACF25"/>
    <w:multiLevelType w:val="hybridMultilevel"/>
    <w:lvl w:ilvl="0">
      <w:lvlJc w:val="left"/>
      <w:lvlText w:val=";"/>
      <w:numFmt w:val="bullet"/>
      <w:start w:val="1"/>
    </w:lvl>
  </w:abstractNum>
  <w:abstractNum w:abstractNumId="140">
    <w:nsid w:val="5D5BABB3"/>
    <w:multiLevelType w:val="hybridMultilevel"/>
    <w:lvl w:ilvl="0">
      <w:lvlJc w:val="left"/>
      <w:lvlText w:val="(%1)"/>
      <w:numFmt w:val="lowerLetter"/>
      <w:start w:val="1"/>
    </w:lvl>
  </w:abstractNum>
  <w:abstractNum w:abstractNumId="141">
    <w:nsid w:val="51BF6B48"/>
    <w:multiLevelType w:val="hybridMultilevel"/>
    <w:lvl w:ilvl="0">
      <w:lvlJc w:val="left"/>
      <w:lvlText w:val="(%1)"/>
      <w:numFmt w:val="lowerLetter"/>
      <w:start w:val="1"/>
    </w:lvl>
  </w:abstractNum>
  <w:abstractNum w:abstractNumId="142">
    <w:nsid w:val="7E0F6384"/>
    <w:multiLevelType w:val="hybridMultilevel"/>
    <w:lvl w:ilvl="0">
      <w:lvlJc w:val="left"/>
      <w:lvlText w:val="(%1)"/>
      <w:numFmt w:val="lowerLetter"/>
      <w:start w:val="1"/>
    </w:lvl>
  </w:abstractNum>
  <w:abstractNum w:abstractNumId="143">
    <w:nsid w:val="2B4B8B53"/>
    <w:multiLevelType w:val="hybridMultilevel"/>
    <w:lvl w:ilvl="0">
      <w:lvlJc w:val="left"/>
      <w:lvlText w:val="%1"/>
      <w:numFmt w:val="lowerLetter"/>
      <w:start w:val="1"/>
    </w:lvl>
    <w:lvl w:ilvl="1">
      <w:lvlJc w:val="left"/>
      <w:lvlText w:val="(%2)"/>
      <w:numFmt w:val="lowerLetter"/>
      <w:start w:val="4"/>
    </w:lvl>
  </w:abstractNum>
  <w:abstractNum w:abstractNumId="144">
    <w:nsid w:val="72E3413A"/>
    <w:multiLevelType w:val="hybridMultilevel"/>
    <w:lvl w:ilvl="0">
      <w:lvlJc w:val="left"/>
      <w:lvlText w:val="(%1)"/>
      <w:numFmt w:val="lowerLetter"/>
      <w:start w:val="35"/>
    </w:lvl>
    <w:lvl w:ilvl="1">
      <w:lvlJc w:val="left"/>
      <w:lvlText w:val="(%2)"/>
      <w:numFmt w:val="lowerLetter"/>
      <w:start w:val="6"/>
    </w:lvl>
  </w:abstractNum>
  <w:abstractNum w:abstractNumId="145">
    <w:nsid w:val="116AE494"/>
    <w:multiLevelType w:val="hybridMultilevel"/>
    <w:lvl w:ilvl="0">
      <w:lvlJc w:val="left"/>
      <w:lvlText w:val="(%1)"/>
      <w:numFmt w:val="lowerLetter"/>
      <w:start w:val="8"/>
    </w:lvl>
  </w:abstractNum>
  <w:abstractNum w:abstractNumId="146">
    <w:nsid w:val="3494B2FB"/>
    <w:multiLevelType w:val="hybridMultilevel"/>
    <w:lvl w:ilvl="0">
      <w:lvlJc w:val="left"/>
      <w:lvlText w:val="(%1)"/>
      <w:numFmt w:val="lowerLetter"/>
      <w:start w:val="1"/>
    </w:lvl>
  </w:abstractNum>
  <w:abstractNum w:abstractNumId="147">
    <w:nsid w:val="B13A31"/>
    <w:multiLevelType w:val="hybridMultilevel"/>
    <w:lvl w:ilvl="0">
      <w:lvlJc w:val="left"/>
      <w:lvlText w:val="(%1)"/>
      <w:numFmt w:val="lowerLetter"/>
      <w:start w:val="1"/>
    </w:lvl>
  </w:abstractNum>
  <w:abstractNum w:abstractNumId="148">
    <w:nsid w:val="64429599"/>
    <w:multiLevelType w:val="hybridMultilevel"/>
    <w:lvl w:ilvl="0">
      <w:lvlJc w:val="left"/>
      <w:lvlText w:val="(%1)"/>
      <w:numFmt w:val="lowerLetter"/>
      <w:start w:val="1"/>
    </w:lvl>
  </w:abstractNum>
  <w:abstractNum w:abstractNumId="149">
    <w:nsid w:val="631F1690"/>
    <w:multiLevelType w:val="hybridMultilevel"/>
    <w:lvl w:ilvl="0">
      <w:lvlJc w:val="left"/>
      <w:lvlText w:val="(%1)"/>
      <w:numFmt w:val="lowerLetter"/>
      <w:start w:val="1"/>
    </w:lvl>
  </w:abstractNum>
  <w:abstractNum w:abstractNumId="150">
    <w:nsid w:val="25973E32"/>
    <w:multiLevelType w:val="hybridMultilevel"/>
    <w:lvl w:ilvl="0">
      <w:lvlJc w:val="left"/>
      <w:lvlText w:val="(%1)"/>
      <w:numFmt w:val="lowerLetter"/>
      <w:start w:val="3"/>
    </w:lvl>
  </w:abstractNum>
  <w:abstractNum w:abstractNumId="151">
    <w:nsid w:val="EAD6F57"/>
    <w:multiLevelType w:val="hybridMultilevel"/>
    <w:lvl w:ilvl="0">
      <w:lvlJc w:val="left"/>
      <w:lvlText w:val="(%1)"/>
      <w:numFmt w:val="lowerLetter"/>
      <w:start w:val="1"/>
    </w:lvl>
  </w:abstractNum>
  <w:abstractNum w:abstractNumId="152">
    <w:nsid w:val="6EC9D844"/>
    <w:multiLevelType w:val="hybridMultilevel"/>
    <w:lvl w:ilvl="0">
      <w:lvlJc w:val="left"/>
      <w:lvlText w:val="(%1)"/>
      <w:numFmt w:val="lowerLetter"/>
      <w:start w:val="1"/>
    </w:lvl>
  </w:abstractNum>
  <w:abstractNum w:abstractNumId="153">
    <w:nsid w:val="5C49EAEE"/>
    <w:multiLevelType w:val="hybridMultilevel"/>
    <w:lvl w:ilvl="0">
      <w:lvlJc w:val="left"/>
      <w:lvlText w:val="(%1)"/>
      <w:numFmt w:val="lowerLetter"/>
      <w:start w:val="1"/>
    </w:lvl>
  </w:abstractNum>
  <w:abstractNum w:abstractNumId="154">
    <w:nsid w:val="64AF49B"/>
    <w:multiLevelType w:val="hybridMultilevel"/>
    <w:lvl w:ilvl="0">
      <w:lvlJc w:val="left"/>
      <w:lvlText w:val="(%1)"/>
      <w:numFmt w:val="lowerLetter"/>
      <w:start w:val="1"/>
    </w:lvl>
  </w:abstractNum>
  <w:abstractNum w:abstractNumId="155">
    <w:nsid w:val="397C46BC"/>
    <w:multiLevelType w:val="hybridMultilevel"/>
    <w:lvl w:ilvl="0">
      <w:lvlJc w:val="left"/>
      <w:lvlText w:val="%1"/>
      <w:numFmt w:val="lowerLetter"/>
      <w:start w:val="1"/>
    </w:lvl>
    <w:lvl w:ilvl="1">
      <w:lvlJc w:val="left"/>
      <w:lvlText w:val="(%2)"/>
      <w:numFmt w:val="lowerLetter"/>
      <w:start w:val="1"/>
    </w:lvl>
  </w:abstractNum>
  <w:abstractNum w:abstractNumId="156">
    <w:nsid w:val="7E448DE9"/>
    <w:multiLevelType w:val="hybridMultilevel"/>
    <w:lvl w:ilvl="0">
      <w:lvlJc w:val="left"/>
      <w:lvlText w:val="(%1)"/>
      <w:numFmt w:val="lowerLetter"/>
      <w:start w:val="35"/>
    </w:lvl>
    <w:lvl w:ilvl="1">
      <w:lvlJc w:val="left"/>
      <w:lvlText w:val="%2"/>
      <w:numFmt w:val="lowerLetter"/>
      <w:start w:val="1"/>
    </w:lvl>
  </w:abstractNum>
  <w:abstractNum w:abstractNumId="157">
    <w:nsid w:val="5A9CC3E5"/>
    <w:multiLevelType w:val="hybridMultilevel"/>
    <w:lvl w:ilvl="0">
      <w:lvlJc w:val="left"/>
      <w:lvlText w:val="(%1)"/>
      <w:numFmt w:val="lowerLetter"/>
      <w:start w:val="6"/>
    </w:lvl>
  </w:abstractNum>
  <w:abstractNum w:abstractNumId="158">
    <w:nsid w:val="1AFE3625"/>
    <w:multiLevelType w:val="hybridMultilevel"/>
    <w:lvl w:ilvl="0">
      <w:lvlJc w:val="left"/>
      <w:lvlText w:val="(%1)"/>
      <w:numFmt w:val="lowerLetter"/>
      <w:start w:val="1"/>
    </w:lvl>
    <w:lvl w:ilvl="1">
      <w:lvlJc w:val="left"/>
      <w:lvlText w:val="(%2)"/>
      <w:numFmt w:val="lowerRoman"/>
      <w:start w:val="1"/>
    </w:lvl>
  </w:abstractNum>
  <w:abstractNum w:abstractNumId="159">
    <w:nsid w:val="3CA88ECF"/>
    <w:multiLevelType w:val="hybridMultilevel"/>
    <w:lvl w:ilvl="0">
      <w:lvlJc w:val="left"/>
      <w:lvlText w:val="(%1)"/>
      <w:numFmt w:val="lowerLetter"/>
      <w:start w:val="2"/>
    </w:lvl>
  </w:abstractNum>
  <w:abstractNum w:abstractNumId="160">
    <w:nsid w:val="6EBE4208"/>
    <w:multiLevelType w:val="hybridMultilevel"/>
    <w:lvl w:ilvl="0">
      <w:lvlJc w:val="left"/>
      <w:lvlText w:val="(%1)"/>
      <w:numFmt w:val="lowerLetter"/>
      <w:start w:val="3"/>
    </w:lvl>
  </w:abstractNum>
  <w:abstractNum w:abstractNumId="161">
    <w:nsid w:val="C058DF5"/>
    <w:multiLevelType w:val="hybridMultilevel"/>
    <w:lvl w:ilvl="0">
      <w:lvlJc w:val="left"/>
      <w:lvlText w:val="%1"/>
      <w:numFmt w:val="upperLetter"/>
      <w:start w:val="1"/>
    </w:lvl>
    <w:lvl w:ilvl="1">
      <w:lvlJc w:val="left"/>
      <w:lvlText w:val="(%2)"/>
      <w:numFmt w:val="lowerLetter"/>
      <w:start w:val="1"/>
    </w:lvl>
  </w:abstractNum>
  <w:abstractNum w:abstractNumId="162">
    <w:nsid w:val="CBE5BE9"/>
    <w:multiLevelType w:val="hybridMultilevel"/>
    <w:lvl w:ilvl="0">
      <w:lvlJc w:val="left"/>
      <w:lvlText w:val="(%1)"/>
      <w:numFmt w:val="upperLetter"/>
      <w:start w:val="2"/>
    </w:lvl>
    <w:lvl w:ilvl="1">
      <w:lvlJc w:val="left"/>
      <w:lvlText w:val="(%2)"/>
      <w:numFmt w:val="lowerLetter"/>
      <w:start w:val="1"/>
    </w:lvl>
  </w:abstractNum>
  <w:abstractNum w:abstractNumId="163">
    <w:nsid w:val="3102BBE2"/>
    <w:multiLevelType w:val="hybridMultilevel"/>
    <w:lvl w:ilvl="0">
      <w:lvlJc w:val="left"/>
      <w:lvlText w:val="(%1)"/>
      <w:numFmt w:val="decimal"/>
      <w:start w:val="1"/>
    </w:lvl>
  </w:abstractNum>
  <w:abstractNum w:abstractNumId="164">
    <w:nsid w:val="26A02C5E"/>
    <w:multiLevelType w:val="hybridMultilevel"/>
    <w:lvl w:ilvl="0">
      <w:lvlJc w:val="left"/>
      <w:lvlText w:val="(%1)"/>
      <w:numFmt w:val="lowerLetter"/>
      <w:start w:val="3"/>
    </w:lvl>
  </w:abstractNum>
  <w:abstractNum w:abstractNumId="165">
    <w:nsid w:val="541C8153"/>
    <w:multiLevelType w:val="hybridMultilevel"/>
    <w:lvl w:ilvl="0">
      <w:lvlJc w:val="left"/>
      <w:lvlText w:val="(%1)"/>
      <w:numFmt w:val="lowerLetter"/>
      <w:start w:val="5"/>
    </w:lvl>
  </w:abstractNum>
  <w:abstractNum w:abstractNumId="166">
    <w:nsid w:val="67906F60"/>
    <w:multiLevelType w:val="hybridMultilevel"/>
    <w:lvl w:ilvl="0">
      <w:lvlJc w:val="left"/>
      <w:lvlText w:val="(%1)"/>
      <w:numFmt w:val="lowerLetter"/>
      <w:start w:val="1"/>
    </w:lvl>
  </w:abstractNum>
  <w:abstractNum w:abstractNumId="167">
    <w:nsid w:val="10DB9DA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8">
    <w:nsid w:val="697D2D2"/>
    <w:multiLevelType w:val="hybridMultilevel"/>
    <w:lvl w:ilvl="0">
      <w:lvlJc w:val="left"/>
      <w:lvlText w:val="%1"/>
      <w:numFmt w:val="upperLetter"/>
      <w:start w:val="1"/>
    </w:lvl>
    <w:lvl w:ilvl="1">
      <w:lvlJc w:val="left"/>
      <w:lvlText w:val="(%2)"/>
      <w:numFmt w:val="lowerRoman"/>
      <w:start w:val="5"/>
    </w:lvl>
  </w:abstractNum>
  <w:abstractNum w:abstractNumId="169">
    <w:nsid w:val="6D68AB2"/>
    <w:multiLevelType w:val="hybridMultilevel"/>
    <w:lvl w:ilvl="0">
      <w:lvlJc w:val="left"/>
      <w:lvlText w:val="(%1)"/>
      <w:numFmt w:val="upperLetter"/>
      <w:start w:val="2"/>
    </w:lvl>
    <w:lvl w:ilvl="1">
      <w:lvlJc w:val="left"/>
      <w:lvlText w:val="(%2)"/>
      <w:numFmt w:val="lowerRoman"/>
      <w:start w:val="6"/>
    </w:lvl>
  </w:abstractNum>
  <w:abstractNum w:abstractNumId="170">
    <w:nsid w:val="3A966CD0"/>
    <w:multiLevelType w:val="hybridMultilevel"/>
    <w:lvl w:ilvl="0">
      <w:lvlJc w:val="left"/>
      <w:lvlText w:val="(%1)"/>
      <w:numFmt w:val="lowerLetter"/>
      <w:start w:val="3"/>
    </w:lvl>
  </w:abstractNum>
  <w:abstractNum w:abstractNumId="171">
    <w:nsid w:val="63F37E85"/>
    <w:multiLevelType w:val="hybridMultilevel"/>
    <w:lvl w:ilvl="0">
      <w:lvlJc w:val="left"/>
      <w:lvlText w:val="(%1)"/>
      <w:numFmt w:val="lowerLetter"/>
      <w:start w:val="4"/>
    </w:lvl>
  </w:abstractNum>
  <w:abstractNum w:abstractNumId="172">
    <w:nsid w:val="5895F5FA"/>
    <w:multiLevelType w:val="hybridMultilevel"/>
    <w:lvl w:ilvl="0">
      <w:lvlJc w:val="left"/>
      <w:lvlText w:val="(%1)"/>
      <w:numFmt w:val="lowerLetter"/>
      <w:start w:val="5"/>
    </w:lvl>
  </w:abstractNum>
  <w:abstractNum w:abstractNumId="173">
    <w:nsid w:val="38A5D054"/>
    <w:multiLevelType w:val="hybridMultilevel"/>
    <w:lvl w:ilvl="0">
      <w:lvlJc w:val="left"/>
      <w:lvlText w:val="%1"/>
      <w:numFmt w:val="lowerRoman"/>
      <w:start w:val="1"/>
    </w:lvl>
    <w:lvl w:ilvl="1">
      <w:lvlJc w:val="left"/>
      <w:lvlText w:val="(%2)"/>
      <w:numFmt w:val="lowerLetter"/>
      <w:start w:val="1"/>
    </w:lvl>
  </w:abstractNum>
  <w:abstractNum w:abstractNumId="174">
    <w:nsid w:val="F3F09D8"/>
    <w:multiLevelType w:val="hybridMultilevel"/>
    <w:lvl w:ilvl="0">
      <w:lvlJc w:val="left"/>
      <w:lvlText w:val="(%1)"/>
      <w:numFmt w:val="lowerRoman"/>
      <w:start w:val="4"/>
    </w:lvl>
    <w:lvl w:ilvl="1">
      <w:lvlJc w:val="left"/>
      <w:lvlText w:val="(%2)"/>
      <w:numFmt w:val="lowerLetter"/>
      <w:start w:val="2"/>
    </w:lvl>
  </w:abstractNum>
  <w:abstractNum w:abstractNumId="175">
    <w:nsid w:val="4B793735"/>
    <w:multiLevelType w:val="hybridMultilevel"/>
    <w:lvl w:ilvl="0">
      <w:lvlJc w:val="left"/>
      <w:lvlText w:val="(%1)"/>
      <w:numFmt w:val="lowerLetter"/>
      <w:start w:val="3"/>
    </w:lvl>
  </w:abstractNum>
  <w:abstractNum w:abstractNumId="176">
    <w:nsid w:val="4A10B4E8"/>
    <w:multiLevelType w:val="hybridMultilevel"/>
    <w:lvl w:ilvl="0">
      <w:lvlJc w:val="left"/>
      <w:lvlText w:val="(%1)"/>
      <w:numFmt w:val="lowerLetter"/>
      <w:start w:val="2"/>
    </w:lvl>
  </w:abstractNum>
  <w:abstractNum w:abstractNumId="177">
    <w:nsid w:val="43D3BCD4"/>
    <w:multiLevelType w:val="hybridMultilevel"/>
    <w:lvl w:ilvl="0">
      <w:lvlJc w:val="left"/>
      <w:lvlText w:val="(%1)"/>
      <w:numFmt w:val="lowerLetter"/>
      <w:start w:val="1"/>
    </w:lvl>
  </w:abstractNum>
  <w:abstractNum w:abstractNumId="178">
    <w:nsid w:val="4C2A7166"/>
    <w:multiLevelType w:val="hybridMultilevel"/>
    <w:lvl w:ilvl="0">
      <w:lvlJc w:val="left"/>
      <w:lvlText w:val="(%1)"/>
      <w:numFmt w:val="lowerLetter"/>
      <w:start w:val="1"/>
    </w:lvl>
  </w:abstractNum>
  <w:abstractNum w:abstractNumId="179">
    <w:nsid w:val="2E534A82"/>
    <w:multiLevelType w:val="hybridMultilevel"/>
    <w:lvl w:ilvl="0">
      <w:lvlJc w:val="left"/>
      <w:lvlText w:val="(%1)"/>
      <w:numFmt w:val="lowerLetter"/>
      <w:start w:val="3"/>
    </w:lvl>
  </w:abstractNum>
  <w:abstractNum w:abstractNumId="180">
    <w:nsid w:val="26F2D364"/>
    <w:multiLevelType w:val="hybridMultilevel"/>
    <w:lvl w:ilvl="0">
      <w:lvlJc w:val="left"/>
      <w:lvlText w:val="(%1)"/>
      <w:numFmt w:val="lowerLetter"/>
      <w:start w:val="1"/>
    </w:lvl>
    <w:lvl w:ilvl="1">
      <w:lvlJc w:val="left"/>
      <w:lvlText w:val="(%2)"/>
      <w:numFmt w:val="lowerRoman"/>
      <w:start w:val="1"/>
    </w:lvl>
  </w:abstractNum>
  <w:abstractNum w:abstractNumId="181">
    <w:nsid w:val="71C1AF98"/>
    <w:multiLevelType w:val="hybridMultilevel"/>
    <w:lvl w:ilvl="0">
      <w:lvlJc w:val="left"/>
      <w:lvlText w:val="•"/>
      <w:numFmt w:val="bullet"/>
      <w:start w:val="1"/>
    </w:lvl>
  </w:abstractNum>
  <w:abstractNum w:abstractNumId="182">
    <w:nsid w:val="3D00B9D9"/>
    <w:multiLevelType w:val="hybridMultilevel"/>
    <w:lvl w:ilvl="0">
      <w:lvlJc w:val="left"/>
      <w:lvlText w:val="•"/>
      <w:numFmt w:val="bullet"/>
      <w:start w:val="1"/>
    </w:lvl>
  </w:abstractNum>
  <w:abstractNum w:abstractNumId="183">
    <w:nsid w:val="15BCABA8"/>
    <w:multiLevelType w:val="hybridMultilevel"/>
    <w:lvl w:ilvl="0">
      <w:lvlJc w:val="left"/>
      <w:lvlText w:val="%1."/>
      <w:numFmt w:val="decimal"/>
      <w:start w:val="8"/>
    </w:lvl>
  </w:abstractNum>
  <w:abstractNum w:abstractNumId="184">
    <w:nsid w:val="4E0B9A87"/>
    <w:multiLevelType w:val="hybridMultilevel"/>
    <w:lvl w:ilvl="0">
      <w:lvlJc w:val="left"/>
      <w:lvlText w:val="1"/>
      <w:numFmt w:val="bullet"/>
      <w:start w:val="1"/>
    </w:lvl>
  </w:abstractNum>
  <w:abstractNum w:abstractNumId="185">
    <w:nsid w:val="434BAE75"/>
    <w:multiLevelType w:val="hybridMultilevel"/>
    <w:lvl w:ilvl="0">
      <w:lvlJc w:val="left"/>
      <w:lvlText w:val="2"/>
      <w:numFmt w:val="bullet"/>
      <w:start w:val="1"/>
    </w:lvl>
  </w:abstractNum>
  <w:abstractNum w:abstractNumId="186">
    <w:nsid w:val="4F38F265"/>
    <w:multiLevelType w:val="hybridMultilevel"/>
    <w:lvl w:ilvl="0">
      <w:lvlJc w:val="left"/>
      <w:lvlText w:val="3"/>
      <w:numFmt w:val="bullet"/>
      <w:start w:val="1"/>
    </w:lvl>
  </w:abstractNum>
  <w:abstractNum w:abstractNumId="187">
    <w:nsid w:val="4C502870"/>
    <w:multiLevelType w:val="hybridMultilevel"/>
    <w:lvl w:ilvl="0">
      <w:lvlJc w:val="left"/>
      <w:lvlText w:val="4"/>
      <w:numFmt w:val="bullet"/>
      <w:start w:val="1"/>
    </w:lvl>
  </w:abstractNum>
  <w:abstractNum w:abstractNumId="188">
    <w:nsid w:val="1DE8725A"/>
    <w:multiLevelType w:val="hybridMultilevel"/>
    <w:lvl w:ilvl="0">
      <w:lvlJc w:val="left"/>
      <w:lvlText w:val="%1."/>
      <w:numFmt w:val="decimal"/>
      <w:start w:val="1"/>
    </w:lvl>
  </w:abstractNum>
  <w:abstractNum w:abstractNumId="189">
    <w:nsid w:val="6A37288A"/>
    <w:multiLevelType w:val="hybridMultilevel"/>
    <w:lvl w:ilvl="0">
      <w:lvlJc w:val="left"/>
      <w:lvlText w:val="%1."/>
      <w:numFmt w:val="decimal"/>
      <w:start w:val="1"/>
    </w:lvl>
  </w:abstractNum>
  <w:abstractNum w:abstractNumId="190">
    <w:nsid w:val="8F8B73F"/>
    <w:multiLevelType w:val="hybridMultilevel"/>
    <w:lvl w:ilvl="0">
      <w:lvlJc w:val="left"/>
      <w:lvlText w:val="%1."/>
      <w:numFmt w:val="decimal"/>
      <w:start w:val="1"/>
    </w:lvl>
  </w:abstractNum>
  <w:abstractNum w:abstractNumId="191">
    <w:nsid w:val="CA6B462"/>
    <w:multiLevelType w:val="hybridMultilevel"/>
    <w:lvl w:ilvl="0">
      <w:lvlJc w:val="left"/>
      <w:lvlText w:val="%1."/>
      <w:numFmt w:val="decimal"/>
      <w:start w:val="1"/>
    </w:lvl>
  </w:abstractNum>
  <w:abstractNum w:abstractNumId="192">
    <w:nsid w:val="763CB680"/>
    <w:multiLevelType w:val="hybridMultilevel"/>
    <w:lvl w:ilvl="0">
      <w:lvlJc w:val="left"/>
      <w:lvlText w:val="%1."/>
      <w:numFmt w:val="decimal"/>
      <w:start w:val="1"/>
    </w:lvl>
  </w:abstractNum>
  <w:abstractNum w:abstractNumId="193">
    <w:nsid w:val="15B71329"/>
    <w:multiLevelType w:val="hybridMultilevel"/>
    <w:lvl w:ilvl="0">
      <w:lvlJc w:val="left"/>
      <w:lvlText w:val="%1."/>
      <w:numFmt w:val="decimal"/>
      <w:start w:val="3"/>
    </w:lvl>
  </w:abstractNum>
  <w:abstractNum w:abstractNumId="194">
    <w:nsid w:val="3DA97044"/>
    <w:multiLevelType w:val="hybridMultilevel"/>
    <w:lvl w:ilvl="0">
      <w:lvlJc w:val="left"/>
      <w:lvlText w:val="9"/>
      <w:numFmt w:val="bullet"/>
      <w:start w:val="1"/>
    </w:lvl>
  </w:abstractNum>
  <w:abstractNum w:abstractNumId="195">
    <w:nsid w:val="1CDCE2DE"/>
    <w:multiLevelType w:val="hybridMultilevel"/>
    <w:lvl w:ilvl="0">
      <w:lvlJc w:val="left"/>
      <w:lvlText w:val="%1"/>
      <w:numFmt w:val="decimal"/>
      <w:start w:val="15"/>
    </w:lvl>
  </w:abstractNum>
  <w:abstractNum w:abstractNumId="196">
    <w:nsid w:val="69D3947C"/>
    <w:multiLevelType w:val="hybridMultilevel"/>
    <w:lvl w:ilvl="0">
      <w:lvlJc w:val="left"/>
      <w:lvlText w:val="%1."/>
      <w:numFmt w:val="decimal"/>
      <w:start w:val="1"/>
    </w:lvl>
  </w:abstractNum>
  <w:abstractNum w:abstractNumId="197">
    <w:nsid w:val="2539DFA5"/>
    <w:multiLevelType w:val="hybridMultilevel"/>
    <w:lvl w:ilvl="0">
      <w:lvlJc w:val="left"/>
      <w:lvlText w:val="(%1)"/>
      <w:numFmt w:val="lowerRoman"/>
      <w:start w:val="2"/>
    </w:lvl>
    <w:lvl w:ilvl="1">
      <w:lvlJc w:val="left"/>
      <w:lvlText w:val="%2."/>
      <w:numFmt w:val="decimal"/>
      <w:start w:val="2"/>
    </w:lvl>
  </w:abstractNum>
  <w:abstractNum w:abstractNumId="198">
    <w:nsid w:val="2DB88089"/>
    <w:multiLevelType w:val="hybridMultilevel"/>
    <w:lvl w:ilvl="0">
      <w:lvlJc w:val="left"/>
      <w:lvlText w:val="%1"/>
      <w:numFmt w:val="lowerRoman"/>
      <w:start w:val="1"/>
    </w:lvl>
    <w:lvl w:ilvl="1">
      <w:lvlJc w:val="left"/>
      <w:lvlText w:val="%2."/>
      <w:numFmt w:val="decimal"/>
      <w:start w:val="1"/>
    </w:lvl>
  </w:abstractNum>
  <w:abstractNum w:abstractNumId="199">
    <w:nsid w:val="706B674E"/>
    <w:multiLevelType w:val="hybridMultilevel"/>
    <w:lvl w:ilvl="0">
      <w:lvlJc w:val="left"/>
      <w:lvlText w:val="(%1)"/>
      <w:numFmt w:val="lowerRoman"/>
      <w:start w:val="2"/>
    </w:lvl>
    <w:lvl w:ilvl="1">
      <w:lvlJc w:val="left"/>
      <w:lvlText w:val="%2"/>
      <w:numFmt w:val="decimal"/>
      <w:start w:val="1"/>
    </w:lvl>
  </w:abstractNum>
  <w:abstractNum w:abstractNumId="200">
    <w:nsid w:val="2C106A57"/>
    <w:multiLevelType w:val="hybridMultilevel"/>
    <w:lvl w:ilvl="0">
      <w:lvlJc w:val="left"/>
      <w:lvlText w:val="%1."/>
      <w:numFmt w:val="decimal"/>
      <w:start w:val="1"/>
    </w:lvl>
  </w:abstractNum>
  <w:abstractNum w:abstractNumId="201">
    <w:nsid w:val="684EED59"/>
    <w:multiLevelType w:val="hybridMultilevel"/>
    <w:lvl w:ilvl="0">
      <w:lvlJc w:val="left"/>
      <w:lvlText w:val="%1."/>
      <w:numFmt w:val="decimal"/>
      <w:start w:val="4"/>
    </w:lvl>
  </w:abstractNum>
  <w:abstractNum w:abstractNumId="202">
    <w:nsid w:val="545EE5D3"/>
    <w:multiLevelType w:val="hybridMultilevel"/>
    <w:lvl w:ilvl="0">
      <w:lvlJc w:val="left"/>
      <w:lvlText w:val="1"/>
      <w:numFmt w:val="bullet"/>
      <w:start w:val="1"/>
    </w:lvl>
  </w:abstractNum>
  <w:abstractNum w:abstractNumId="203">
    <w:nsid w:val="4A66051"/>
    <w:multiLevelType w:val="hybridMultilevel"/>
    <w:lvl w:ilvl="0">
      <w:lvlJc w:val="left"/>
      <w:lvlText w:val="2"/>
      <w:numFmt w:val="bullet"/>
      <w:start w:val="1"/>
    </w:lvl>
  </w:abstractNum>
  <w:abstractNum w:abstractNumId="204">
    <w:nsid w:val="20F4BDAD"/>
    <w:multiLevelType w:val="hybridMultilevel"/>
    <w:lvl w:ilvl="0">
      <w:lvlJc w:val="left"/>
      <w:lvlText w:val="-"/>
      <w:numFmt w:val="bullet"/>
      <w:start w:val="1"/>
    </w:lvl>
  </w:abstractNum>
  <w:abstractNum w:abstractNumId="205">
    <w:nsid w:val="639DEFAC"/>
    <w:multiLevelType w:val="hybridMultilevel"/>
    <w:lvl w:ilvl="0">
      <w:lvlJc w:val="left"/>
      <w:lvlText w:val="%1."/>
      <w:numFmt w:val="decimal"/>
      <w:start w:val="1"/>
    </w:lvl>
  </w:abstractNum>
  <w:abstractNum w:abstractNumId="206">
    <w:nsid w:val="501F9786"/>
    <w:multiLevelType w:val="hybridMultilevel"/>
    <w:lvl w:ilvl="0">
      <w:lvlJc w:val="left"/>
      <w:lvlText w:val="+"/>
      <w:numFmt w:val="bullet"/>
      <w:start w:val="1"/>
    </w:lvl>
  </w:abstractNum>
  <w:abstractNum w:abstractNumId="207">
    <w:nsid w:val="6B057295"/>
    <w:multiLevelType w:val="hybridMultilevel"/>
    <w:lvl w:ilvl="0">
      <w:lvlJc w:val="left"/>
      <w:lvlText w:val="%1."/>
      <w:numFmt w:val="decimal"/>
      <w:start w:val="1"/>
    </w:lvl>
  </w:abstractNum>
  <w:abstractNum w:abstractNumId="208">
    <w:nsid w:val="2771AC80"/>
    <w:multiLevelType w:val="hybridMultilevel"/>
    <w:lvl w:ilvl="0">
      <w:lvlJc w:val="left"/>
      <w:lvlText w:val="%1."/>
      <w:numFmt w:val="decimal"/>
      <w:start w:val="5"/>
    </w:lvl>
  </w:abstractNum>
  <w:abstractNum w:abstractNumId="209">
    <w:nsid w:val="1C4A08EC"/>
    <w:multiLevelType w:val="hybridMultilevel"/>
    <w:lvl w:ilvl="0">
      <w:lvlJc w:val="left"/>
      <w:lvlText w:val="☐"/>
      <w:numFmt w:val="bullet"/>
      <w:start w:val="1"/>
    </w:lvl>
  </w:abstractNum>
  <w:abstractNum w:abstractNumId="210">
    <w:nsid w:val="1958BD17"/>
    <w:multiLevelType w:val="hybridMultilevel"/>
    <w:lvl w:ilvl="0">
      <w:lvlJc w:val="left"/>
      <w:lvlText w:val="%1."/>
      <w:numFmt w:val="decimal"/>
      <w:start w:val="3"/>
    </w:lvl>
  </w:abstractNum>
  <w:abstractNum w:abstractNumId="211">
    <w:nsid w:val="4E647FE4"/>
    <w:multiLevelType w:val="hybridMultilevel"/>
    <w:lvl w:ilvl="0">
      <w:lvlJc w:val="left"/>
      <w:lvlText w:val="1"/>
      <w:numFmt w:val="bullet"/>
      <w:start w:val="1"/>
    </w:lvl>
  </w:abstractNum>
  <w:abstractNum w:abstractNumId="212">
    <w:nsid w:val="E0BB885"/>
    <w:multiLevelType w:val="hybridMultilevel"/>
    <w:lvl w:ilvl="0">
      <w:lvlJc w:val="left"/>
      <w:lvlText w:val="2"/>
      <w:numFmt w:val="bullet"/>
      <w:start w:val="1"/>
    </w:lvl>
  </w:abstractNum>
  <w:abstractNum w:abstractNumId="213">
    <w:nsid w:val="565976F1"/>
    <w:multiLevelType w:val="hybridMultilevel"/>
    <w:lvl w:ilvl="0">
      <w:lvlJc w:val="left"/>
      <w:lvlText w:val="(%1)"/>
      <w:numFmt w:val="lowerLetter"/>
      <w:start w:val="1"/>
    </w:lvl>
  </w:abstractNum>
  <w:abstractNum w:abstractNumId="214">
    <w:nsid w:val="64212B8C"/>
    <w:multiLevelType w:val="hybridMultilevel"/>
    <w:lvl w:ilvl="0">
      <w:lvlJc w:val="left"/>
      <w:lvlText w:val="(%1)"/>
      <w:numFmt w:val="lowerLetter"/>
      <w:start w:val="1"/>
    </w:lvl>
  </w:abstractNum>
  <w:abstractNum w:abstractNumId="215">
    <w:nsid w:val="5C17530C"/>
    <w:multiLevelType w:val="hybridMultilevel"/>
    <w:lvl w:ilvl="0">
      <w:lvlJc w:val="left"/>
      <w:lvlText w:val="(%1)"/>
      <w:numFmt w:val="lowerLetter"/>
      <w:start w:val="4"/>
    </w:lvl>
  </w:abstractNum>
  <w:abstractNum w:abstractNumId="216">
    <w:nsid w:val="19A52566"/>
    <w:multiLevelType w:val="hybridMultilevel"/>
    <w:lvl w:ilvl="0">
      <w:lvlJc w:val="left"/>
      <w:lvlText w:val="%1."/>
      <w:numFmt w:val="decimal"/>
      <w:start w:val="1"/>
    </w:lvl>
  </w:abstractNum>
  <w:abstractNum w:abstractNumId="217">
    <w:nsid w:val="335A1DF1"/>
    <w:multiLevelType w:val="hybridMultilevel"/>
    <w:lvl w:ilvl="0">
      <w:lvlJc w:val="left"/>
      <w:lvlText w:val="(%1)"/>
      <w:numFmt w:val="lowerLetter"/>
      <w:start w:val="1"/>
    </w:lvl>
  </w:abstractNum>
  <w:abstractNum w:abstractNumId="218">
    <w:nsid w:val="28677B7C"/>
    <w:multiLevelType w:val="hybridMultilevel"/>
    <w:lvl w:ilvl="0">
      <w:lvlJc w:val="left"/>
      <w:lvlText w:val="*"/>
      <w:numFmt w:val="bullet"/>
      <w:start w:val="1"/>
    </w:lvl>
  </w:abstractNum>
  <w:abstractNum w:abstractNumId="219">
    <w:nsid w:val="378D97C0"/>
    <w:multiLevelType w:val="hybridMultilevel"/>
    <w:lvl w:ilvl="0">
      <w:lvlJc w:val="left"/>
      <w:lvlText w:val="☐"/>
      <w:numFmt w:val="bullet"/>
      <w:start w:val="1"/>
    </w:lvl>
  </w:abstractNum>
  <w:abstractNum w:abstractNumId="220">
    <w:nsid w:val="1D91467C"/>
    <w:multiLevelType w:val="hybridMultilevel"/>
    <w:lvl w:ilvl="0">
      <w:lvlJc w:val="left"/>
      <w:lvlText w:val="1"/>
      <w:numFmt w:val="bullet"/>
      <w:start w:val="1"/>
    </w:lvl>
  </w:abstractNum>
  <w:abstractNum w:abstractNumId="221">
    <w:nsid w:val="316032BB"/>
    <w:multiLevelType w:val="hybridMultilevel"/>
    <w:lvl w:ilvl="0">
      <w:lvlJc w:val="left"/>
      <w:lvlText w:val="2"/>
      <w:numFmt w:val="bullet"/>
      <w:start w:val="1"/>
    </w:lvl>
  </w:abstractNum>
  <w:abstractNum w:abstractNumId="222">
    <w:nsid w:val="44344C22"/>
    <w:multiLevelType w:val="hybridMultilevel"/>
    <w:lvl w:ilvl="0">
      <w:lvlJc w:val="left"/>
      <w:lvlText w:val="3"/>
      <w:numFmt w:val="bullet"/>
      <w:start w:val="1"/>
    </w:lvl>
  </w:abstractNum>
  <w:abstractNum w:abstractNumId="223">
    <w:nsid w:val="13CDFCFC"/>
    <w:multiLevelType w:val="hybridMultilevel"/>
    <w:lvl w:ilvl="0">
      <w:lvlJc w:val="left"/>
      <w:lvlText w:val="4"/>
      <w:numFmt w:val="bullet"/>
      <w:start w:val="1"/>
    </w:lvl>
  </w:abstractNum>
  <w:abstractNum w:abstractNumId="224">
    <w:nsid w:val="471745E4"/>
    <w:multiLevelType w:val="hybridMultilevel"/>
    <w:lvl w:ilvl="0">
      <w:lvlJc w:val="left"/>
      <w:lvlText w:val="%1."/>
      <w:numFmt w:val="decimal"/>
      <w:start w:val="1"/>
    </w:lvl>
  </w:abstractNum>
  <w:abstractNum w:abstractNumId="225">
    <w:nsid w:val="1DDBC6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2019-12-28T21:51:49Z</dcterms:created>
  <dcterms:modified xsi:type="dcterms:W3CDTF">2019-12-28T21:51:49Z</dcterms:modified>
</cp:coreProperties>
</file>