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940x1_def14a_100-regcov_pg1"/>
        <w:bookmarkStart w:id="1" w:name="ny20081940x1_def14a.htm"/>
        <w:bookmarkStart w:id="2" w:name="ksny20081940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Securities Exchange Act of 1934 </w:t>
      </w:r>
    </w:p>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Filed by the Registrant ☒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Filed by a party other than the Registrant ☐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Check the appropriate box: </w:t>
      </w:r>
    </w:p>
    <w:tbl>
      <w:tblPr>
        <w:tblW w:w="2425" w:type="dxa"/>
        <w:jc w:val="left"/>
        <w:tblInd w:w="0" w:type="dxa"/>
        <w:tblLayout w:type="fixed"/>
        <w:tblCellMar>
          <w:top w:w="0" w:type="dxa"/>
          <w:left w:w="0" w:type="dxa"/>
          <w:bottom w:w="0" w:type="dxa"/>
          <w:right w:w="0" w:type="dxa"/>
        </w:tblCellMar>
      </w:tblPr>
      <w:tblGrid>
        <w:gridCol w:w="260"/>
        <w:gridCol w:w="2165"/>
      </w:tblGrid>
      <w:tr>
        <w:trPr/>
        <w:tc>
          <w:tcPr>
            <w:tcW w:w="26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Preliminary Proxy Statement </w:t>
            </w:r>
          </w:p>
        </w:tc>
      </w:tr>
    </w:tbl>
    <w:tbl>
      <w:tblPr>
        <w:tblW w:w="6160" w:type="dxa"/>
        <w:jc w:val="left"/>
        <w:tblInd w:w="0" w:type="dxa"/>
        <w:tblLayout w:type="fixed"/>
        <w:tblCellMar>
          <w:top w:w="0" w:type="dxa"/>
          <w:left w:w="0" w:type="dxa"/>
          <w:bottom w:w="0" w:type="dxa"/>
          <w:right w:w="0" w:type="dxa"/>
        </w:tblCellMar>
      </w:tblPr>
      <w:tblGrid>
        <w:gridCol w:w="260"/>
        <w:gridCol w:w="5900"/>
      </w:tblGrid>
      <w:tr>
        <w:trPr/>
        <w:tc>
          <w:tcPr>
            <w:tcW w:w="26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Confidential, for Use of the Commission Only (as permitted by Rule 14a-6(e)(2)) </w:t>
            </w:r>
          </w:p>
        </w:tc>
      </w:tr>
    </w:tbl>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Definitive Proxy Statement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Definitive Additional Materials </w:t>
            </w:r>
          </w:p>
        </w:tc>
      </w:tr>
    </w:tbl>
    <w:tbl>
      <w:tblPr>
        <w:tblW w:w="3970" w:type="dxa"/>
        <w:jc w:val="left"/>
        <w:tblInd w:w="0" w:type="dxa"/>
        <w:tblLayout w:type="fixed"/>
        <w:tblCellMar>
          <w:top w:w="0" w:type="dxa"/>
          <w:left w:w="0" w:type="dxa"/>
          <w:bottom w:w="0" w:type="dxa"/>
          <w:right w:w="0" w:type="dxa"/>
        </w:tblCellMar>
      </w:tblPr>
      <w:tblGrid>
        <w:gridCol w:w="260"/>
        <w:gridCol w:w="3710"/>
      </w:tblGrid>
      <w:tr>
        <w:trPr/>
        <w:tc>
          <w:tcPr>
            <w:tcW w:w="26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Soliciting Material Pursuant to Section 240.14a-12 </w:t>
            </w:r>
          </w:p>
        </w:tc>
      </w:tr>
    </w:tbl>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0"/>
              <w:jc w:val="left"/>
              <w:rPr/>
            </w:pPr>
            <w:r>
              <w:rPr/>
              <w:t> </w:t>
            </w:r>
          </w:p>
        </w:tc>
      </w:tr>
      <w:tr>
        <w:trPr/>
        <w:tc>
          <w:tcPr>
            <w:tcW w:w="52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FABRINET </w:t>
            </w:r>
          </w:p>
        </w:tc>
      </w:tr>
      <w:tr>
        <w:trPr/>
        <w:tc>
          <w:tcPr>
            <w:tcW w:w="522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(Name of Registrant as Specified in its Charter)</w:t>
            </w:r>
          </w:p>
        </w:tc>
      </w:tr>
      <w:tr>
        <w:trPr/>
        <w:tc>
          <w:tcPr>
            <w:tcW w:w="5225" w:type="dxa"/>
            <w:tcBorders>
              <w:bottom w:val="single" w:sz="8" w:space="0" w:color="000000"/>
            </w:tcBorders>
            <w:tcMar>
              <w:bottom w:w="45" w:type="dxa"/>
            </w:tcMar>
            <w:vAlign w:val="center"/>
          </w:tcPr>
          <w:p>
            <w:pPr>
              <w:pStyle w:val="TableContents"/>
              <w:bidi w:val="0"/>
              <w:spacing w:before="0" w:after="0"/>
              <w:jc w:val="left"/>
              <w:rPr>
                <w:color w:val="000000"/>
              </w:rPr>
            </w:pPr>
            <w:r>
              <w:rPr>
                <w:color w:val="000000"/>
              </w:rPr>
              <w:t> </w:t>
            </w:r>
          </w:p>
        </w:tc>
      </w:tr>
      <w:tr>
        <w:trPr/>
        <w:tc>
          <w:tcPr>
            <w:tcW w:w="522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(Name of Person(s) Filing Proxy Statement, if other than the Registrant)</w:t>
            </w:r>
          </w:p>
        </w:tc>
      </w:tr>
      <w:tr>
        <w:trPr/>
        <w:tc>
          <w:tcPr>
            <w:tcW w:w="52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Payment of Filing Fee (Check all boxes that apply):</w:t>
      </w:r>
    </w:p>
    <w:tbl>
      <w:tblPr>
        <w:tblW w:w="7910" w:type="dxa"/>
        <w:jc w:val="left"/>
        <w:tblInd w:w="0" w:type="dxa"/>
        <w:tblLayout w:type="fixed"/>
        <w:tblCellMar>
          <w:top w:w="0" w:type="dxa"/>
          <w:left w:w="0" w:type="dxa"/>
          <w:bottom w:w="0" w:type="dxa"/>
          <w:right w:w="0" w:type="dxa"/>
        </w:tblCellMar>
      </w:tblPr>
      <w:tblGrid>
        <w:gridCol w:w="275"/>
        <w:gridCol w:w="170"/>
        <w:gridCol w:w="170"/>
        <w:gridCol w:w="72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No fee required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Fee paid previously with preliminary materials </w:t>
            </w:r>
          </w:p>
        </w:tc>
      </w:tr>
      <w:tr>
        <w:trPr/>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Fee computed on table in exhibit required by Item 25(b) per Exchange Act Rules 14a-6(i)(1) and 0-11</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81940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30" w:after="283"/>
        <w:ind w:left="0" w:right="0" w:hanging="0"/>
        <w:jc w:val="center"/>
        <w:rPr>
          <w:rFonts w:ascii="Arial;Helvetica;sans-serif" w:hAnsi="Arial;Helvetica;sans-serif"/>
          <w:b/>
          <w:color w:val="578255"/>
          <w:sz w:val="40"/>
        </w:rPr>
      </w:pPr>
      <w:r>
        <w:rPr>
          <w:rFonts w:ascii="Arial;Helvetica;sans-serif" w:hAnsi="Arial;Helvetica;sans-serif"/>
          <w:b/>
          <w:color w:val="578255"/>
          <w:sz w:val="40"/>
        </w:rPr>
        <w:t xml:space="preserve">NOTICE OF ANNUAL GENERAL MEETING OF </w:t>
      </w:r>
    </w:p>
    <w:p>
      <w:pPr>
        <w:pStyle w:val="TextBody"/>
        <w:bidi w:val="0"/>
        <w:spacing w:before="0" w:after="283"/>
        <w:jc w:val="center"/>
        <w:rPr>
          <w:rFonts w:ascii="Arial;Helvetica;sans-serif" w:hAnsi="Arial;Helvetica;sans-serif"/>
          <w:b/>
          <w:color w:val="578255"/>
          <w:sz w:val="40"/>
        </w:rPr>
      </w:pPr>
      <w:r>
        <w:rPr>
          <w:rFonts w:ascii="Arial;Helvetica;sans-serif" w:hAnsi="Arial;Helvetica;sans-serif"/>
          <w:b/>
          <w:color w:val="578255"/>
          <w:sz w:val="40"/>
        </w:rPr>
        <w:t xml:space="preserve">SHAREHOLDERS </w:t>
      </w:r>
    </w:p>
    <w:p>
      <w:pPr>
        <w:pStyle w:val="TextBody"/>
        <w:bidi w:val="0"/>
        <w:spacing w:before="1140" w:after="283"/>
        <w:jc w:val="center"/>
        <w:rPr>
          <w:rFonts w:ascii="Arial;Helvetica;sans-serif" w:hAnsi="Arial;Helvetica;sans-serif"/>
          <w:b/>
          <w:color w:val="578255"/>
          <w:sz w:val="42"/>
        </w:rPr>
      </w:pPr>
      <w:r>
        <w:rPr>
          <w:rFonts w:ascii="Arial;Helvetica;sans-serif" w:hAnsi="Arial;Helvetica;sans-serif"/>
          <w:b/>
          <w:color w:val="578255"/>
          <w:sz w:val="42"/>
        </w:rPr>
        <w:t xml:space="preserve">PROXY STATEMENT </w:t>
      </w:r>
    </w:p>
    <w:p>
      <w:pPr>
        <w:pStyle w:val="TextBody"/>
        <w:bidi w:val="0"/>
        <w:spacing w:before="800" w:after="283"/>
        <w:jc w:val="center"/>
        <w:rPr>
          <w:rFonts w:ascii="Arial;Helvetica;sans-serif" w:hAnsi="Arial;Helvetica;sans-serif"/>
          <w:b/>
          <w:color w:val="578255"/>
          <w:sz w:val="44"/>
        </w:rPr>
      </w:pPr>
      <w:r>
        <w:rPr>
          <w:rFonts w:ascii="Arial;Helvetica;sans-serif" w:hAnsi="Arial;Helvetica;sans-serif"/>
          <w:b/>
          <w:color w:val="578255"/>
          <w:sz w:val="44"/>
        </w:rPr>
        <w:t>2026</w:t>
      </w:r>
    </w:p>
    <w:p>
      <w:pPr>
        <w:pStyle w:val="TextBody"/>
        <w:bidi w:val="0"/>
        <w:spacing w:before="1275" w:after="283"/>
        <w:jc w:val="center"/>
        <w:rPr>
          <w:color w:val="000000"/>
        </w:rPr>
      </w:pPr>
      <w:r>
        <w:rPr>
          <w:color w:val="000000"/>
        </w:rPr>
        <w:drawing>
          <wp:inline distT="0" distB="0" distL="0" distR="0">
            <wp:extent cx="16668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80" w:after="283"/>
        <w:ind w:left="0" w:right="0" w:hanging="0"/>
        <w:jc w:val="left"/>
        <w:rPr>
          <w:color w:val="000000"/>
        </w:rPr>
      </w:pPr>
      <w:r>
        <w:rPr>
          <w:color w:val="000000"/>
        </w:rPr>
        <w:t xml:space="preserve">  </w:t>
      </w:r>
    </w:p>
    <w:p>
      <w:pPr>
        <w:pStyle w:val="HorizontalLine"/>
        <w:bidi w:val="0"/>
        <w:spacing w:before="200" w:after="200"/>
        <w:jc w:val="left"/>
        <w:rPr/>
      </w:pPr>
      <w:r>
        <w:rPr/>
      </w:r>
    </w:p>
    <w:p>
      <w:pPr>
        <w:pStyle w:val="TextBody"/>
        <w:bidi w:val="0"/>
        <w:jc w:val="left"/>
        <w:rPr/>
      </w:pPr>
      <w:hyperlink w:anchor="TOC">
        <w:bookmarkStart w:id="4" w:name="ny20081940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hanging="0"/>
        <w:jc w:val="left"/>
        <w:rPr>
          <w:rFonts w:ascii="Arial;Helvetica;sans-serif" w:hAnsi="Arial;Helvetica;sans-serif"/>
          <w:b/>
          <w:color w:val="578255"/>
          <w:sz w:val="36"/>
        </w:rPr>
      </w:pPr>
      <w:r>
        <w:rPr>
          <w:rFonts w:ascii="Arial;Helvetica;sans-serif" w:hAnsi="Arial;Helvetica;sans-serif"/>
          <w:b/>
          <w:color w:val="578255"/>
          <w:sz w:val="36"/>
        </w:rPr>
        <w:t xml:space="preserve">NOTICE OF 2026 ANNUAL GENERAL MEETING OF SHAREHOLDERS </w:t>
      </w:r>
    </w:p>
    <w:p>
      <w:pPr>
        <w:pStyle w:val="TextBody"/>
        <w:bidi w:val="0"/>
        <w:spacing w:before="26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Annual Meeting Date and Time</w:t>
      </w:r>
      <w:r>
        <w:rPr>
          <w:rFonts w:ascii="Arial;Helvetica;sans-serif" w:hAnsi="Arial;Helvetica;sans-serif"/>
          <w:color w:val="000000"/>
          <w:sz w:val="20"/>
        </w:rPr>
        <w:t xml:space="preserv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Thursday, December 10, 2026 at 9:00 a.m. Pacific Standard Time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Location and Meeting Admission</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have adopted a virtual format for our 2026 Annual General Meeting of Shareholders (the “</w:t>
      </w:r>
      <w:r>
        <w:rPr>
          <w:rFonts w:ascii="Arial;Helvetica;sans-serif" w:hAnsi="Arial;Helvetica;sans-serif"/>
          <w:b/>
          <w:color w:val="000000"/>
          <w:sz w:val="20"/>
        </w:rPr>
        <w:t>Annual Meeting</w:t>
      </w:r>
      <w:r>
        <w:rPr>
          <w:rFonts w:ascii="Arial;Helvetica;sans-serif" w:hAnsi="Arial;Helvetica;sans-serif"/>
          <w:color w:val="000000"/>
          <w:sz w:val="20"/>
        </w:rPr>
        <w:t xml:space="preserve">”) to provide a consistent experience to all our shareholders, regardless of location. There will be no physical location for shareholders to attend the Annual Meeting.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are entitled to attend the Annual Meeting online, vote and submit questions during the meeting by visiting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and entering the 16-digit control number included on your Notice of Internet Availability of Proxy Materials, voting instruction form or proxy card (if you requested printed materials). You will only be entitled to vote and submit questions at the Annual Meeting if you are a shareholder as of the record date.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More details on how to participate in this year’s virtual meeting can be found in the section of the accompanying proxy statement entitled “</w:t>
      </w:r>
      <w:r>
        <w:rPr>
          <w:rFonts w:ascii="Arial;Helvetica;sans-serif" w:hAnsi="Arial;Helvetica;sans-serif"/>
          <w:i/>
          <w:color w:val="000000"/>
          <w:sz w:val="20"/>
        </w:rPr>
        <w:t>Questions and Answers about the Annual Meeting and Procedural Matters</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technical malfunction or other situation that at the discretion of the Chairman of the Board of Directors may affect the ability of the Annual Meeting to satisfy the requirements for a meeting of shareholders to be held, the Chairman or Corporate Secretary of Fabrinet will convene the meeting at 11:00 a.m. Pacific Standard Time on the same date and at the website specified above solely for the purpose of holding the adjourned meeting at this later time.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Items of Business</w:t>
      </w:r>
      <w:r>
        <w:rPr>
          <w:rFonts w:ascii="Arial;Helvetica;sans-serif" w:hAnsi="Arial;Helvetica;san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2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 two Class II directors named in the proxy statement and recommended by Fabrinet’s board of directors to serve for a term of three years and until their respective successors have been duly elected and qualified or until their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1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Ratify the appointment of PricewaterhouseCoopers ABAS Ltd. as Fabrinet’s independent registered public accounting firm for Fabrinet’s fiscal year ending June 25, 2027;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Hold a non-binding, advisory vote to approve the compensation of Fabrinet’s named executive officers, as disclosed in the proxy statement; and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99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Conduct any other business as may properly come before the meeting or any adjournment or postponement thereof. </w:t>
            </w:r>
          </w:p>
        </w:tc>
      </w:tr>
    </w:tbl>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items of business are more fully described in the proxy statement accompanying this notice. Any action on the items of business described above may be considered at the Annual Meeting at the time and on the date specified above, or at any time and date to which the Annual Meeting may be properly adjourned or postponed.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Record Date</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Only shareholders of record at the close of business on October 13, 2026 are entitled to notice of, and to vote at, the Annual Meeting or any postponement or adjournment thereof.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Voting</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Your vote is very important. We encourage you to vote in advance of the Annual Meeting, even if you plan to attend. To vote your shares, please follow the procedures outlined in your Notice of Internet Availability of Proxy Materials, or refer to the section of the proxy statement entitled “</w:t>
      </w:r>
      <w:r>
        <w:rPr>
          <w:rFonts w:ascii="Arial;Helvetica;sans-serif" w:hAnsi="Arial;Helvetica;sans-serif"/>
          <w:i/>
          <w:color w:val="000000"/>
          <w:sz w:val="20"/>
        </w:rPr>
        <w:t>Questions and Answers About the Annual Meeting and Procedural Matters</w:t>
      </w:r>
      <w:r>
        <w:rPr>
          <w:rFonts w:ascii="Arial;Helvetica;sans-serif" w:hAnsi="Arial;Helvetica;sans-serif"/>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5" w:name="ny20081940x1_def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have any questions or require any assistance with completing your proxy, please contact Kingsdale Advisors by telephone at (866) 228-3049 (toll-free within North America) or (646) 741-3814 (call collect outside North America), or by email at contactus@kingsdaleadvisors.com.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Thank you for your ongoing support of Fabrinet. </w:t>
      </w:r>
    </w:p>
    <w:tbl>
      <w:tblPr>
        <w:tblW w:w="6410" w:type="dxa"/>
        <w:jc w:val="left"/>
        <w:tblInd w:w="0" w:type="dxa"/>
        <w:tblLayout w:type="fixed"/>
        <w:tblCellMar>
          <w:top w:w="0" w:type="dxa"/>
          <w:left w:w="0" w:type="dxa"/>
          <w:bottom w:w="0" w:type="dxa"/>
          <w:right w:w="0" w:type="dxa"/>
        </w:tblCellMar>
      </w:tblPr>
      <w:tblGrid>
        <w:gridCol w:w="2900"/>
        <w:gridCol w:w="170"/>
        <w:gridCol w:w="170"/>
        <w:gridCol w:w="3170"/>
      </w:tblGrid>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By order of the Board of Directors,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 Seamus Grady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Seamus Grady </w:t>
            </w:r>
          </w:p>
          <w:p>
            <w:pPr>
              <w:pStyle w:val="TableContents"/>
              <w:bidi w:val="0"/>
              <w:spacing w:before="0" w:after="283"/>
              <w:ind w:left="0" w:right="0" w:hanging="0"/>
              <w:jc w:val="left"/>
              <w:rPr>
                <w:rFonts w:ascii="Arial;Helvetica;sans-serif" w:hAnsi="Arial;Helvetica;sans-serif"/>
                <w:i/>
                <w:color w:val="000000"/>
                <w:sz w:val="19"/>
              </w:rPr>
            </w:pPr>
            <w:r>
              <w:rPr>
                <w:rFonts w:ascii="Arial;Helvetica;sans-serif" w:hAnsi="Arial;Helvetica;sans-serif"/>
                <w:i/>
                <w:color w:val="000000"/>
                <w:sz w:val="19"/>
              </w:rPr>
              <w:t xml:space="preserve">Chief Executive Officer and </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i/>
                <w:color w:val="000000"/>
                <w:sz w:val="19"/>
              </w:rPr>
              <w:t>Chairman of the Board of Directors</w:t>
            </w:r>
            <w:r>
              <w:rPr>
                <w:rFonts w:ascii="Arial;Helvetica;sans-serif" w:hAnsi="Arial;Helvetica;sans-serif"/>
                <w:color w:val="000000"/>
                <w:sz w:val="19"/>
              </w:rPr>
              <w:t xml:space="preserve"> </w:t>
            </w:r>
          </w:p>
        </w:tc>
      </w:tr>
      <w:tr>
        <w:trPr/>
        <w:tc>
          <w:tcPr>
            <w:tcW w:w="290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Grand Cayman, Cayman Islands</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October 20,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color w:val="000000"/>
              </w:rPr>
            </w:pPr>
            <w:r>
              <w:rPr>
                <w:color w:val="000000"/>
              </w:rPr>
              <w:t> </w:t>
            </w:r>
          </w:p>
        </w:tc>
      </w:tr>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283"/>
              <w:jc w:val="center"/>
              <w:rPr>
                <w:rFonts w:ascii="Arial;Helvetica;sans-serif" w:hAnsi="Arial;Helvetica;sans-serif"/>
                <w:b/>
                <w:color w:val="578255"/>
                <w:sz w:val="21"/>
              </w:rPr>
            </w:pPr>
            <w:r>
              <w:rPr>
                <w:rFonts w:ascii="Arial;Helvetica;sans-serif" w:hAnsi="Arial;Helvetica;sans-serif"/>
                <w:b/>
                <w:color w:val="578255"/>
                <w:sz w:val="21"/>
              </w:rPr>
              <w:t xml:space="preserve">Important Notice Regarding the Availability of Proxy Materials for the Annual General Meeting </w:t>
            </w:r>
          </w:p>
          <w:p>
            <w:pPr>
              <w:pStyle w:val="TableContents"/>
              <w:bidi w:val="0"/>
              <w:spacing w:before="0" w:after="283"/>
              <w:jc w:val="center"/>
              <w:rPr>
                <w:rFonts w:ascii="Arial;Helvetica;sans-serif" w:hAnsi="Arial;Helvetica;sans-serif"/>
                <w:b/>
                <w:color w:val="578255"/>
                <w:sz w:val="21"/>
              </w:rPr>
            </w:pPr>
            <w:r>
              <w:rPr>
                <w:rFonts w:ascii="Arial;Helvetica;sans-serif" w:hAnsi="Arial;Helvetica;sans-serif"/>
                <w:b/>
                <w:color w:val="578255"/>
                <w:sz w:val="21"/>
              </w:rPr>
              <w:t>of Shareholders to Be Held on Thursday, December 10, 2026</w:t>
            </w:r>
          </w:p>
          <w:p>
            <w:pPr>
              <w:pStyle w:val="TableContents"/>
              <w:bidi w:val="0"/>
              <w:spacing w:before="0" w:after="283"/>
              <w:jc w:val="center"/>
              <w:rPr>
                <w:rFonts w:ascii="Arial;Helvetica;sans-serif" w:hAnsi="Arial;Helvetica;sans-serif"/>
                <w:b w:val="false"/>
                <w:color w:val="578255"/>
                <w:sz w:val="21"/>
              </w:rPr>
            </w:pPr>
            <w:r>
              <w:rPr>
                <w:rFonts w:ascii="Arial;Helvetica;sans-serif" w:hAnsi="Arial;Helvetica;sans-serif"/>
                <w:b w:val="false"/>
                <w:color w:val="578255"/>
                <w:sz w:val="21"/>
              </w:rPr>
              <w:t>The proxy statement and our Fiscal 2026 Annual Report to Shareholders are available at www.proxyvote.com.</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80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81940x1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00000"/>
          <w:sz w:val="36"/>
        </w:rPr>
      </w:pPr>
      <w:r>
        <w:rPr>
          <w:rFonts w:ascii="Arial;Helvetica;sans-serif" w:hAnsi="Arial;Helvetica;sans-serif"/>
          <w:b/>
          <w:color w:val="000000"/>
          <w:sz w:val="36"/>
        </w:rPr>
        <w:t xml:space="preserve">TABLE OF CONTENTS </w:t>
      </w:r>
    </w:p>
    <w:p>
      <w:pPr>
        <w:pStyle w:val="HorizontalLine"/>
        <w:bidi w:val="0"/>
        <w:spacing w:before="200" w:after="200"/>
        <w:jc w:val="left"/>
        <w:rPr/>
      </w:pPr>
      <w:r>
        <w:rPr/>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3124200" cy="9972040"/>
                <wp:effectExtent l="0" t="0" r="0" b="0"/>
                <wp:wrapSquare wrapText="right"/>
                <wp:docPr id="3" name="Frame1"/>
                <a:graphic xmlns:a="http://schemas.openxmlformats.org/drawingml/2006/main">
                  <a:graphicData uri="http://schemas.microsoft.com/office/word/2010/wordprocessingShape">
                    <wps:wsp>
                      <wps:cNvSpPr txBox="1"/>
                      <wps:spPr>
                        <a:xfrm>
                          <a:off x="0" y="0"/>
                          <a:ext cx="3124200" cy="9972040"/>
                        </a:xfrm>
                        <a:prstGeom prst="rect"/>
                        <a:solidFill>
                          <a:srgbClr val="FFFFFF"/>
                        </a:solidFill>
                      </wps:spPr>
                      <wps:txbx>
                        <w:txbxContent>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XY">
                                    <w:r>
                                      <w:rPr>
                                        <w:rStyle w:val="InternetLink"/>
                                        <w:rFonts w:ascii="Arial;Helvetica;sans-serif" w:hAnsi="Arial;Helvetica;sans-serif"/>
                                        <w:b/>
                                        <w:color w:val="578255"/>
                                        <w:sz w:val="24"/>
                                      </w:rPr>
                                      <w:t xml:space="preserve">2026 PROXY STATEMENT SUMMARY </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PROXY">
                                    <w:r>
                                      <w:rPr>
                                        <w:rStyle w:val="InternetLink"/>
                                        <w:rFonts w:ascii="Arial;Helvetica;sans-serif" w:hAnsi="Arial;Helvetica;sans-serif"/>
                                        <w:b/>
                                        <w:color w:val="578255"/>
                                        <w:sz w:val="20"/>
                                      </w:rPr>
                                      <w:t>1</w:t>
                                    </w:r>
                                  </w:hyperlink>
                                </w:p>
                              </w:tc>
                            </w:tr>
                            <w:tr>
                              <w:trPr/>
                              <w:tc>
                                <w:tcPr>
                                  <w:tcW w:w="9362" w:type="dxa"/>
                                  <w:tcBorders/>
                                  <w:vAlign w:val="center"/>
                                </w:tcPr>
                                <w:p>
                                  <w:pPr>
                                    <w:pStyle w:val="TableContents"/>
                                    <w:bidi w:val="0"/>
                                    <w:spacing w:before="0" w:after="283"/>
                                    <w:ind w:left="320" w:right="0" w:hanging="0"/>
                                    <w:jc w:val="left"/>
                                    <w:rPr/>
                                  </w:pPr>
                                  <w:hyperlink w:anchor="tAM">
                                    <w:r>
                                      <w:rPr>
                                        <w:rStyle w:val="InternetLink"/>
                                        <w:rFonts w:ascii="Arial;Helvetica;sans-serif" w:hAnsi="Arial;Helvetica;sans-serif"/>
                                        <w:color w:val="000000"/>
                                        <w:sz w:val="18"/>
                                      </w:rPr>
                                      <w:t>2026 Annual General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MAM">
                                    <w:r>
                                      <w:rPr>
                                        <w:rStyle w:val="InternetLink"/>
                                        <w:rFonts w:ascii="Arial;Helvetica;sans-serif" w:hAnsi="Arial;Helvetica;sans-serif"/>
                                        <w:color w:val="000000"/>
                                        <w:sz w:val="18"/>
                                      </w:rPr>
                                      <w:t>Matters to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M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BFH">
                                    <w:r>
                                      <w:rPr>
                                        <w:rStyle w:val="InternetLink"/>
                                        <w:rFonts w:ascii="Arial;Helvetica;sans-serif" w:hAnsi="Arial;Helvetica;sans-serif"/>
                                        <w:color w:val="000000"/>
                                        <w:sz w:val="18"/>
                                      </w:rPr>
                                      <w:t>Business and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BFH">
                                    <w:r>
                                      <w:rPr>
                                        <w:rStyle w:val="InternetLink"/>
                                        <w:rFonts w:ascii="Arial;Helvetica;sans-serif" w:hAnsi="Arial;Helvetica;sans-serif"/>
                                        <w:color w:val="000000"/>
                                        <w:sz w:val="18"/>
                                      </w:rPr>
                                      <w:t>2</w:t>
                                    </w:r>
                                  </w:hyperlink>
                                </w:p>
                              </w:tc>
                            </w:tr>
                            <w:tr>
                              <w:trPr/>
                              <w:tc>
                                <w:tcPr>
                                  <w:tcW w:w="9362" w:type="dxa"/>
                                  <w:tcBorders/>
                                  <w:vAlign w:val="center"/>
                                </w:tcPr>
                                <w:p>
                                  <w:pPr>
                                    <w:pStyle w:val="TableContents"/>
                                    <w:bidi w:val="0"/>
                                    <w:spacing w:before="0" w:after="283"/>
                                    <w:ind w:left="320" w:right="0" w:hanging="0"/>
                                    <w:jc w:val="left"/>
                                    <w:rPr/>
                                  </w:pPr>
                                  <w:hyperlink w:anchor="tGH">
                                    <w:r>
                                      <w:rPr>
                                        <w:rStyle w:val="InternetLink"/>
                                        <w:rFonts w:ascii="Arial;Helvetica;sans-serif" w:hAnsi="Arial;Helvetica;sans-serif"/>
                                        <w:color w:val="000000"/>
                                        <w:sz w:val="18"/>
                                      </w:rPr>
                                      <w:t>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GH">
                                    <w:r>
                                      <w:rPr>
                                        <w:rStyle w:val="InternetLink"/>
                                        <w:rFonts w:ascii="Arial;Helvetica;sans-serif" w:hAnsi="Arial;Helvetica;sans-serif"/>
                                        <w:color w:val="000000"/>
                                        <w:sz w:val="18"/>
                                      </w:rPr>
                                      <w:t>3</w:t>
                                    </w:r>
                                  </w:hyperlink>
                                </w:p>
                              </w:tc>
                            </w:tr>
                            <w:tr>
                              <w:trPr/>
                              <w:tc>
                                <w:tcPr>
                                  <w:tcW w:w="9362" w:type="dxa"/>
                                  <w:tcBorders/>
                                  <w:vAlign w:val="center"/>
                                </w:tcPr>
                                <w:p>
                                  <w:pPr>
                                    <w:pStyle w:val="TableContents"/>
                                    <w:bidi w:val="0"/>
                                    <w:spacing w:before="0" w:after="283"/>
                                    <w:ind w:left="320" w:right="0" w:hanging="0"/>
                                    <w:jc w:val="left"/>
                                    <w:rPr/>
                                  </w:pPr>
                                  <w:hyperlink w:anchor="tEPH">
                                    <w:r>
                                      <w:rPr>
                                        <w:rStyle w:val="InternetLink"/>
                                        <w:rFonts w:ascii="Arial;Helvetica;sans-serif" w:hAnsi="Arial;Helvetica;sans-serif"/>
                                        <w:color w:val="000000"/>
                                        <w:sz w:val="18"/>
                                      </w:rPr>
                                      <w:t>Executive Compensation Program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EPH">
                                    <w:r>
                                      <w:rPr>
                                        <w:rStyle w:val="InternetLink"/>
                                        <w:rFonts w:ascii="Arial;Helvetica;sans-serif" w:hAnsi="Arial;Helvetica;sans-serif"/>
                                        <w:color w:val="000000"/>
                                        <w:sz w:val="18"/>
                                      </w:rPr>
                                      <w:t>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QND">
                                    <w:r>
                                      <w:rPr>
                                        <w:rStyle w:val="InternetLink"/>
                                        <w:rFonts w:ascii="Arial;Helvetica;sans-serif" w:hAnsi="Arial;Helvetica;sans-serif"/>
                                        <w:b/>
                                        <w:color w:val="578255"/>
                                        <w:sz w:val="24"/>
                                      </w:rPr>
                                      <w:t>QUESTIONS AND ANSWERS ABOUT THE ANNUAL MEETING AND PROCEDURAL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QND">
                                    <w:r>
                                      <w:rPr>
                                        <w:rStyle w:val="InternetLink"/>
                                        <w:rFonts w:ascii="Arial;Helvetica;sans-serif" w:hAnsi="Arial;Helvetica;sans-serif"/>
                                        <w:b/>
                                        <w:color w:val="578255"/>
                                        <w:sz w:val="20"/>
                                      </w:rPr>
                                      <w:t>7</w:t>
                                    </w:r>
                                  </w:hyperlink>
                                </w:p>
                              </w:tc>
                            </w:tr>
                            <w:tr>
                              <w:trPr/>
                              <w:tc>
                                <w:tcPr>
                                  <w:tcW w:w="9362" w:type="dxa"/>
                                  <w:tcBorders/>
                                  <w:vAlign w:val="center"/>
                                </w:tcPr>
                                <w:p>
                                  <w:pPr>
                                    <w:pStyle w:val="TableContents"/>
                                    <w:bidi w:val="0"/>
                                    <w:spacing w:before="0" w:after="283"/>
                                    <w:ind w:left="320" w:right="0" w:hanging="0"/>
                                    <w:jc w:val="left"/>
                                    <w:rPr/>
                                  </w:pPr>
                                  <w:hyperlink w:anchor="tQND1">
                                    <w:r>
                                      <w:rPr>
                                        <w:rStyle w:val="InternetLink"/>
                                        <w:rFonts w:ascii="Arial;Helvetica;sans-serif" w:hAnsi="Arial;Helvetica;sans-serif"/>
                                        <w:color w:val="000000"/>
                                        <w:sz w:val="18"/>
                                      </w:rPr>
                                      <w:t>How can I attend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CSA">
                                    <w:r>
                                      <w:rPr>
                                        <w:rStyle w:val="InternetLink"/>
                                        <w:rFonts w:ascii="Arial;Helvetica;sans-serif" w:hAnsi="Arial;Helvetica;sans-serif"/>
                                        <w:color w:val="000000"/>
                                        <w:sz w:val="18"/>
                                      </w:rPr>
                                      <w:t>Can shareholders ask questions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CSA">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2">
                                    <w:r>
                                      <w:rPr>
                                        <w:rStyle w:val="InternetLink"/>
                                        <w:rFonts w:ascii="Arial;Helvetica;sans-serif" w:hAnsi="Arial;Helvetica;sans-serif"/>
                                        <w:color w:val="000000"/>
                                        <w:sz w:val="18"/>
                                      </w:rPr>
                                      <w:t>Who is entitled to vote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3">
                                    <w:r>
                                      <w:rPr>
                                        <w:rStyle w:val="InternetLink"/>
                                        <w:rFonts w:ascii="Arial;Helvetica;sans-serif" w:hAnsi="Arial;Helvetica;sans-serif"/>
                                        <w:color w:val="000000"/>
                                        <w:sz w:val="18"/>
                                      </w:rPr>
                                      <w:t>Why did I receive a one-page notice in the mail regarding the Internet availability of proxy materials instead of a full set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3">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4">
                                    <w:r>
                                      <w:rPr>
                                        <w:rStyle w:val="InternetLink"/>
                                        <w:rFonts w:ascii="Arial;Helvetica;sans-serif" w:hAnsi="Arial;Helvetica;sans-serif"/>
                                        <w:color w:val="000000"/>
                                        <w:sz w:val="18"/>
                                      </w:rPr>
                                      <w:t>What proposals will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4">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5">
                                    <w:r>
                                      <w:rPr>
                                        <w:rStyle w:val="InternetLink"/>
                                        <w:rFonts w:ascii="Arial;Helvetica;sans-serif" w:hAnsi="Arial;Helvetica;sans-serif"/>
                                        <w:color w:val="000000"/>
                                        <w:sz w:val="18"/>
                                      </w:rPr>
                                      <w:t>How does the Board of Directors recommend that I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5">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6">
                                    <w:r>
                                      <w:rPr>
                                        <w:rStyle w:val="InternetLink"/>
                                        <w:rFonts w:ascii="Arial;Helvetica;sans-serif" w:hAnsi="Arial;Helvetica;sans-serif"/>
                                        <w:color w:val="000000"/>
                                        <w:sz w:val="18"/>
                                      </w:rPr>
                                      <w:t>What is the voting requirement to approve each of the proposals and how are votes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6">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7">
                                    <w:r>
                                      <w:rPr>
                                        <w:rStyle w:val="InternetLink"/>
                                        <w:rFonts w:ascii="Arial;Helvetica;sans-serif" w:hAnsi="Arial;Helvetica;sans-serif"/>
                                        <w:color w:val="000000"/>
                                        <w:sz w:val="18"/>
                                      </w:rPr>
                                      <w:t>How many shares must be present or represented to conduct business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7">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8">
                                    <w:r>
                                      <w:rPr>
                                        <w:rStyle w:val="InternetLink"/>
                                        <w:rFonts w:ascii="Arial;Helvetica;sans-serif" w:hAnsi="Arial;Helvetica;sans-serif"/>
                                        <w:color w:val="000000"/>
                                        <w:sz w:val="18"/>
                                      </w:rPr>
                                      <w:t>How can I vote my shares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8">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9">
                                    <w:r>
                                      <w:rPr>
                                        <w:rStyle w:val="InternetLink"/>
                                        <w:rFonts w:ascii="Arial;Helvetica;sans-serif" w:hAnsi="Arial;Helvetica;sans-serif"/>
                                        <w:color w:val="000000"/>
                                        <w:sz w:val="18"/>
                                      </w:rPr>
                                      <w:t>How can I vote my shares without attending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9">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0">
                                    <w:r>
                                      <w:rPr>
                                        <w:rStyle w:val="InternetLink"/>
                                        <w:rFonts w:ascii="Arial;Helvetica;sans-serif" w:hAnsi="Arial;Helvetica;sans-serif"/>
                                        <w:color w:val="000000"/>
                                        <w:sz w:val="18"/>
                                      </w:rPr>
                                      <w:t>What is the difference between holding shares as a shareholder of record and as a beneficial owner?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0">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1">
                                    <w:r>
                                      <w:rPr>
                                        <w:rStyle w:val="InternetLink"/>
                                        <w:rFonts w:ascii="Arial;Helvetica;sans-serif" w:hAnsi="Arial;Helvetica;sans-serif"/>
                                        <w:color w:val="000000"/>
                                        <w:sz w:val="18"/>
                                      </w:rPr>
                                      <w:t>What happens if additional matters are presented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1">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2">
                                    <w:r>
                                      <w:rPr>
                                        <w:rStyle w:val="InternetLink"/>
                                        <w:rFonts w:ascii="Arial;Helvetica;sans-serif" w:hAnsi="Arial;Helvetica;sans-serif"/>
                                        <w:color w:val="000000"/>
                                        <w:sz w:val="18"/>
                                      </w:rPr>
                                      <w:t>Can I change my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2">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3">
                                    <w:r>
                                      <w:rPr>
                                        <w:rStyle w:val="InternetLink"/>
                                        <w:rFonts w:ascii="Arial;Helvetica;sans-serif" w:hAnsi="Arial;Helvetica;sans-serif"/>
                                        <w:color w:val="000000"/>
                                        <w:sz w:val="18"/>
                                      </w:rPr>
                                      <w:t>What happens if I decide to attend the Annual Meeting but I have already voted or submitted a proxy card covering my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3">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4">
                                    <w:r>
                                      <w:rPr>
                                        <w:rStyle w:val="InternetLink"/>
                                        <w:rFonts w:ascii="Arial;Helvetica;sans-serif" w:hAnsi="Arial;Helvetica;sans-serif"/>
                                        <w:color w:val="000000"/>
                                        <w:sz w:val="18"/>
                                      </w:rPr>
                                      <w:t>What should I do if I receive more than one set of voting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4">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5">
                                    <w:r>
                                      <w:rPr>
                                        <w:rStyle w:val="InternetLink"/>
                                        <w:rFonts w:ascii="Arial;Helvetica;sans-serif" w:hAnsi="Arial;Helvetica;sans-serif"/>
                                        <w:color w:val="000000"/>
                                        <w:sz w:val="18"/>
                                      </w:rPr>
                                      <w:t>Is my vote confidential?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5">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6">
                                    <w:r>
                                      <w:rPr>
                                        <w:rStyle w:val="InternetLink"/>
                                        <w:rFonts w:ascii="Arial;Helvetica;sans-serif" w:hAnsi="Arial;Helvetica;sans-serif"/>
                                        <w:color w:val="000000"/>
                                        <w:sz w:val="18"/>
                                      </w:rPr>
                                      <w:t>Where can I find the voting results of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6">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7">
                                    <w:r>
                                      <w:rPr>
                                        <w:rStyle w:val="InternetLink"/>
                                        <w:rFonts w:ascii="Arial;Helvetica;sans-serif" w:hAnsi="Arial;Helvetica;sans-serif"/>
                                        <w:color w:val="000000"/>
                                        <w:sz w:val="18"/>
                                      </w:rPr>
                                      <w:t>Who will bear the cost of soliciting votes for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7">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8">
                                    <w:r>
                                      <w:rPr>
                                        <w:rStyle w:val="InternetLink"/>
                                        <w:rFonts w:ascii="Arial;Helvetica;sans-serif" w:hAnsi="Arial;Helvetica;sans-serif"/>
                                        <w:color w:val="000000"/>
                                        <w:sz w:val="18"/>
                                      </w:rPr>
                                      <w:t>What is the deadline to propose actions for consideration at next year’s annual meeting of shareholders or to nominate individuals to serve as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8">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9">
                                    <w:r>
                                      <w:rPr>
                                        <w:rStyle w:val="InternetLink"/>
                                        <w:rFonts w:ascii="Arial;Helvetica;sans-serif" w:hAnsi="Arial;Helvetica;sans-serif"/>
                                        <w:color w:val="000000"/>
                                        <w:sz w:val="18"/>
                                      </w:rPr>
                                      <w:t>How may I obtain a separate set of proxy materials or the Fiscal 2026 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9">
                                    <w:r>
                                      <w:rPr>
                                        <w:rStyle w:val="InternetLink"/>
                                        <w:rFonts w:ascii="Arial;Helvetica;sans-serif" w:hAnsi="Arial;Helvetica;sans-serif"/>
                                        <w:color w:val="000000"/>
                                        <w:sz w:val="18"/>
                                      </w:rPr>
                                      <w:t>12</w:t>
                                    </w:r>
                                  </w:hyperlink>
                                </w:p>
                              </w:tc>
                            </w:tr>
                            <w:tr>
                              <w:trPr/>
                              <w:tc>
                                <w:tcPr>
                                  <w:tcW w:w="9362" w:type="dxa"/>
                                  <w:tcBorders/>
                                  <w:vAlign w:val="center"/>
                                </w:tcPr>
                                <w:p>
                                  <w:pPr>
                                    <w:pStyle w:val="TableContents"/>
                                    <w:bidi w:val="0"/>
                                    <w:spacing w:before="0" w:after="283"/>
                                    <w:ind w:left="320" w:right="0" w:hanging="0"/>
                                    <w:jc w:val="left"/>
                                    <w:rPr/>
                                  </w:pPr>
                                  <w:hyperlink w:anchor="tQND20">
                                    <w:r>
                                      <w:rPr>
                                        <w:rStyle w:val="InternetLink"/>
                                        <w:rFonts w:ascii="Arial;Helvetica;sans-serif" w:hAnsi="Arial;Helvetica;sans-serif"/>
                                        <w:color w:val="000000"/>
                                        <w:sz w:val="18"/>
                                      </w:rPr>
                                      <w:t>Whom do I contact if I have questions?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0">
                                    <w:r>
                                      <w:rPr>
                                        <w:rStyle w:val="InternetLink"/>
                                        <w:rFonts w:ascii="Arial;Helvetica;sans-serif" w:hAnsi="Arial;Helvetica;sans-serif"/>
                                        <w:color w:val="000000"/>
                                        <w:sz w:val="18"/>
                                      </w:rPr>
                                      <w:t>12</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362"/>
                        <w:gridCol w:w="170"/>
                        <w:gridCol w:w="170"/>
                        <w:gridCol w:w="503"/>
                      </w:tblGrid>
                      <w:tr>
                        <w:trPr/>
                        <w:tc>
                          <w:tcPr>
                            <w:tcW w:w="936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XY">
                              <w:r>
                                <w:rPr>
                                  <w:rStyle w:val="InternetLink"/>
                                  <w:rFonts w:ascii="Arial;Helvetica;sans-serif" w:hAnsi="Arial;Helvetica;sans-serif"/>
                                  <w:b/>
                                  <w:color w:val="578255"/>
                                  <w:sz w:val="24"/>
                                </w:rPr>
                                <w:t xml:space="preserve">2026 PROXY STATEMENT SUMMARY </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PROXY">
                              <w:r>
                                <w:rPr>
                                  <w:rStyle w:val="InternetLink"/>
                                  <w:rFonts w:ascii="Arial;Helvetica;sans-serif" w:hAnsi="Arial;Helvetica;sans-serif"/>
                                  <w:b/>
                                  <w:color w:val="578255"/>
                                  <w:sz w:val="20"/>
                                </w:rPr>
                                <w:t>1</w:t>
                              </w:r>
                            </w:hyperlink>
                          </w:p>
                        </w:tc>
                      </w:tr>
                      <w:tr>
                        <w:trPr/>
                        <w:tc>
                          <w:tcPr>
                            <w:tcW w:w="9362" w:type="dxa"/>
                            <w:tcBorders/>
                            <w:vAlign w:val="center"/>
                          </w:tcPr>
                          <w:p>
                            <w:pPr>
                              <w:pStyle w:val="TableContents"/>
                              <w:bidi w:val="0"/>
                              <w:spacing w:before="0" w:after="283"/>
                              <w:ind w:left="320" w:right="0" w:hanging="0"/>
                              <w:jc w:val="left"/>
                              <w:rPr/>
                            </w:pPr>
                            <w:hyperlink w:anchor="tAM">
                              <w:r>
                                <w:rPr>
                                  <w:rStyle w:val="InternetLink"/>
                                  <w:rFonts w:ascii="Arial;Helvetica;sans-serif" w:hAnsi="Arial;Helvetica;sans-serif"/>
                                  <w:color w:val="000000"/>
                                  <w:sz w:val="18"/>
                                </w:rPr>
                                <w:t>2026 Annual General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MAM">
                              <w:r>
                                <w:rPr>
                                  <w:rStyle w:val="InternetLink"/>
                                  <w:rFonts w:ascii="Arial;Helvetica;sans-serif" w:hAnsi="Arial;Helvetica;sans-serif"/>
                                  <w:color w:val="000000"/>
                                  <w:sz w:val="18"/>
                                </w:rPr>
                                <w:t>Matters to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MAM">
                              <w:r>
                                <w:rPr>
                                  <w:rStyle w:val="InternetLink"/>
                                  <w:rFonts w:ascii="Arial;Helvetica;sans-serif" w:hAnsi="Arial;Helvetica;sans-serif"/>
                                  <w:color w:val="000000"/>
                                  <w:sz w:val="18"/>
                                </w:rPr>
                                <w:t>1</w:t>
                              </w:r>
                            </w:hyperlink>
                          </w:p>
                        </w:tc>
                      </w:tr>
                      <w:tr>
                        <w:trPr/>
                        <w:tc>
                          <w:tcPr>
                            <w:tcW w:w="9362" w:type="dxa"/>
                            <w:tcBorders/>
                            <w:vAlign w:val="center"/>
                          </w:tcPr>
                          <w:p>
                            <w:pPr>
                              <w:pStyle w:val="TableContents"/>
                              <w:bidi w:val="0"/>
                              <w:spacing w:before="0" w:after="283"/>
                              <w:ind w:left="320" w:right="0" w:hanging="0"/>
                              <w:jc w:val="left"/>
                              <w:rPr/>
                            </w:pPr>
                            <w:hyperlink w:anchor="tBFH">
                              <w:r>
                                <w:rPr>
                                  <w:rStyle w:val="InternetLink"/>
                                  <w:rFonts w:ascii="Arial;Helvetica;sans-serif" w:hAnsi="Arial;Helvetica;sans-serif"/>
                                  <w:color w:val="000000"/>
                                  <w:sz w:val="18"/>
                                </w:rPr>
                                <w:t>Business and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BFH">
                              <w:r>
                                <w:rPr>
                                  <w:rStyle w:val="InternetLink"/>
                                  <w:rFonts w:ascii="Arial;Helvetica;sans-serif" w:hAnsi="Arial;Helvetica;sans-serif"/>
                                  <w:color w:val="000000"/>
                                  <w:sz w:val="18"/>
                                </w:rPr>
                                <w:t>2</w:t>
                              </w:r>
                            </w:hyperlink>
                          </w:p>
                        </w:tc>
                      </w:tr>
                      <w:tr>
                        <w:trPr/>
                        <w:tc>
                          <w:tcPr>
                            <w:tcW w:w="9362" w:type="dxa"/>
                            <w:tcBorders/>
                            <w:vAlign w:val="center"/>
                          </w:tcPr>
                          <w:p>
                            <w:pPr>
                              <w:pStyle w:val="TableContents"/>
                              <w:bidi w:val="0"/>
                              <w:spacing w:before="0" w:after="283"/>
                              <w:ind w:left="320" w:right="0" w:hanging="0"/>
                              <w:jc w:val="left"/>
                              <w:rPr/>
                            </w:pPr>
                            <w:hyperlink w:anchor="tGH">
                              <w:r>
                                <w:rPr>
                                  <w:rStyle w:val="InternetLink"/>
                                  <w:rFonts w:ascii="Arial;Helvetica;sans-serif" w:hAnsi="Arial;Helvetica;sans-serif"/>
                                  <w:color w:val="000000"/>
                                  <w:sz w:val="18"/>
                                </w:rPr>
                                <w:t>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GH">
                              <w:r>
                                <w:rPr>
                                  <w:rStyle w:val="InternetLink"/>
                                  <w:rFonts w:ascii="Arial;Helvetica;sans-serif" w:hAnsi="Arial;Helvetica;sans-serif"/>
                                  <w:color w:val="000000"/>
                                  <w:sz w:val="18"/>
                                </w:rPr>
                                <w:t>3</w:t>
                              </w:r>
                            </w:hyperlink>
                          </w:p>
                        </w:tc>
                      </w:tr>
                      <w:tr>
                        <w:trPr/>
                        <w:tc>
                          <w:tcPr>
                            <w:tcW w:w="9362" w:type="dxa"/>
                            <w:tcBorders/>
                            <w:vAlign w:val="center"/>
                          </w:tcPr>
                          <w:p>
                            <w:pPr>
                              <w:pStyle w:val="TableContents"/>
                              <w:bidi w:val="0"/>
                              <w:spacing w:before="0" w:after="283"/>
                              <w:ind w:left="320" w:right="0" w:hanging="0"/>
                              <w:jc w:val="left"/>
                              <w:rPr/>
                            </w:pPr>
                            <w:hyperlink w:anchor="tEPH">
                              <w:r>
                                <w:rPr>
                                  <w:rStyle w:val="InternetLink"/>
                                  <w:rFonts w:ascii="Arial;Helvetica;sans-serif" w:hAnsi="Arial;Helvetica;sans-serif"/>
                                  <w:color w:val="000000"/>
                                  <w:sz w:val="18"/>
                                </w:rPr>
                                <w:t>Executive Compensation Program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EPH">
                              <w:r>
                                <w:rPr>
                                  <w:rStyle w:val="InternetLink"/>
                                  <w:rFonts w:ascii="Arial;Helvetica;sans-serif" w:hAnsi="Arial;Helvetica;sans-serif"/>
                                  <w:color w:val="000000"/>
                                  <w:sz w:val="18"/>
                                </w:rPr>
                                <w:t>4</w:t>
                              </w:r>
                            </w:hyperlink>
                          </w:p>
                        </w:tc>
                      </w:tr>
                      <w:tr>
                        <w:trPr/>
                        <w:tc>
                          <w:tcPr>
                            <w:tcW w:w="9362"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QND">
                              <w:r>
                                <w:rPr>
                                  <w:rStyle w:val="InternetLink"/>
                                  <w:rFonts w:ascii="Arial;Helvetica;sans-serif" w:hAnsi="Arial;Helvetica;sans-serif"/>
                                  <w:b/>
                                  <w:color w:val="578255"/>
                                  <w:sz w:val="24"/>
                                </w:rPr>
                                <w:t>QUESTIONS AND ANSWERS ABOUT THE ANNUAL MEETING AND PROCEDURAL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3" w:type="dxa"/>
                            <w:tcBorders>
                              <w:bottom w:val="single" w:sz="8" w:space="0" w:color="000000"/>
                            </w:tcBorders>
                            <w:tcMar>
                              <w:bottom w:w="43" w:type="dxa"/>
                            </w:tcMar>
                            <w:vAlign w:val="center"/>
                          </w:tcPr>
                          <w:p>
                            <w:pPr>
                              <w:pStyle w:val="TableContents"/>
                              <w:bidi w:val="0"/>
                              <w:spacing w:before="130" w:after="283"/>
                              <w:ind w:left="340" w:right="0" w:hanging="0"/>
                              <w:jc w:val="left"/>
                              <w:rPr/>
                            </w:pPr>
                            <w:hyperlink w:anchor="tQND">
                              <w:r>
                                <w:rPr>
                                  <w:rStyle w:val="InternetLink"/>
                                  <w:rFonts w:ascii="Arial;Helvetica;sans-serif" w:hAnsi="Arial;Helvetica;sans-serif"/>
                                  <w:b/>
                                  <w:color w:val="578255"/>
                                  <w:sz w:val="20"/>
                                </w:rPr>
                                <w:t>7</w:t>
                              </w:r>
                            </w:hyperlink>
                          </w:p>
                        </w:tc>
                      </w:tr>
                      <w:tr>
                        <w:trPr/>
                        <w:tc>
                          <w:tcPr>
                            <w:tcW w:w="9362" w:type="dxa"/>
                            <w:tcBorders/>
                            <w:vAlign w:val="center"/>
                          </w:tcPr>
                          <w:p>
                            <w:pPr>
                              <w:pStyle w:val="TableContents"/>
                              <w:bidi w:val="0"/>
                              <w:spacing w:before="0" w:after="283"/>
                              <w:ind w:left="320" w:right="0" w:hanging="0"/>
                              <w:jc w:val="left"/>
                              <w:rPr/>
                            </w:pPr>
                            <w:hyperlink w:anchor="tQND1">
                              <w:r>
                                <w:rPr>
                                  <w:rStyle w:val="InternetLink"/>
                                  <w:rFonts w:ascii="Arial;Helvetica;sans-serif" w:hAnsi="Arial;Helvetica;sans-serif"/>
                                  <w:color w:val="000000"/>
                                  <w:sz w:val="18"/>
                                </w:rPr>
                                <w:t>How can I attend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CSA">
                              <w:r>
                                <w:rPr>
                                  <w:rStyle w:val="InternetLink"/>
                                  <w:rFonts w:ascii="Arial;Helvetica;sans-serif" w:hAnsi="Arial;Helvetica;sans-serif"/>
                                  <w:color w:val="000000"/>
                                  <w:sz w:val="18"/>
                                </w:rPr>
                                <w:t>Can shareholders ask questions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CSA">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2">
                              <w:r>
                                <w:rPr>
                                  <w:rStyle w:val="InternetLink"/>
                                  <w:rFonts w:ascii="Arial;Helvetica;sans-serif" w:hAnsi="Arial;Helvetica;sans-serif"/>
                                  <w:color w:val="000000"/>
                                  <w:sz w:val="18"/>
                                </w:rPr>
                                <w:t>Who is entitled to vote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3">
                              <w:r>
                                <w:rPr>
                                  <w:rStyle w:val="InternetLink"/>
                                  <w:rFonts w:ascii="Arial;Helvetica;sans-serif" w:hAnsi="Arial;Helvetica;sans-serif"/>
                                  <w:color w:val="000000"/>
                                  <w:sz w:val="18"/>
                                </w:rPr>
                                <w:t>Why did I receive a one-page notice in the mail regarding the Internet availability of proxy materials instead of a full set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3">
                              <w:r>
                                <w:rPr>
                                  <w:rStyle w:val="InternetLink"/>
                                  <w:rFonts w:ascii="Arial;Helvetica;sans-serif" w:hAnsi="Arial;Helvetica;sans-serif"/>
                                  <w:color w:val="000000"/>
                                  <w:sz w:val="18"/>
                                </w:rPr>
                                <w:t>7</w:t>
                              </w:r>
                            </w:hyperlink>
                          </w:p>
                        </w:tc>
                      </w:tr>
                      <w:tr>
                        <w:trPr/>
                        <w:tc>
                          <w:tcPr>
                            <w:tcW w:w="9362" w:type="dxa"/>
                            <w:tcBorders/>
                            <w:vAlign w:val="center"/>
                          </w:tcPr>
                          <w:p>
                            <w:pPr>
                              <w:pStyle w:val="TableContents"/>
                              <w:bidi w:val="0"/>
                              <w:spacing w:before="0" w:after="283"/>
                              <w:ind w:left="320" w:right="0" w:hanging="0"/>
                              <w:jc w:val="left"/>
                              <w:rPr/>
                            </w:pPr>
                            <w:hyperlink w:anchor="tQND4">
                              <w:r>
                                <w:rPr>
                                  <w:rStyle w:val="InternetLink"/>
                                  <w:rFonts w:ascii="Arial;Helvetica;sans-serif" w:hAnsi="Arial;Helvetica;sans-serif"/>
                                  <w:color w:val="000000"/>
                                  <w:sz w:val="18"/>
                                </w:rPr>
                                <w:t>What proposals will be voted 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4">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5">
                              <w:r>
                                <w:rPr>
                                  <w:rStyle w:val="InternetLink"/>
                                  <w:rFonts w:ascii="Arial;Helvetica;sans-serif" w:hAnsi="Arial;Helvetica;sans-serif"/>
                                  <w:color w:val="000000"/>
                                  <w:sz w:val="18"/>
                                </w:rPr>
                                <w:t>How does the Board of Directors recommend that I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5">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6">
                              <w:r>
                                <w:rPr>
                                  <w:rStyle w:val="InternetLink"/>
                                  <w:rFonts w:ascii="Arial;Helvetica;sans-serif" w:hAnsi="Arial;Helvetica;sans-serif"/>
                                  <w:color w:val="000000"/>
                                  <w:sz w:val="18"/>
                                </w:rPr>
                                <w:t>What is the voting requirement to approve each of the proposals and how are votes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6">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7">
                              <w:r>
                                <w:rPr>
                                  <w:rStyle w:val="InternetLink"/>
                                  <w:rFonts w:ascii="Arial;Helvetica;sans-serif" w:hAnsi="Arial;Helvetica;sans-serif"/>
                                  <w:color w:val="000000"/>
                                  <w:sz w:val="18"/>
                                </w:rPr>
                                <w:t>How many shares must be present or represented to conduct business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7">
                              <w:r>
                                <w:rPr>
                                  <w:rStyle w:val="InternetLink"/>
                                  <w:rFonts w:ascii="Arial;Helvetica;sans-serif" w:hAnsi="Arial;Helvetica;sans-serif"/>
                                  <w:color w:val="000000"/>
                                  <w:sz w:val="18"/>
                                </w:rPr>
                                <w:t>8</w:t>
                              </w:r>
                            </w:hyperlink>
                          </w:p>
                        </w:tc>
                      </w:tr>
                      <w:tr>
                        <w:trPr/>
                        <w:tc>
                          <w:tcPr>
                            <w:tcW w:w="9362" w:type="dxa"/>
                            <w:tcBorders/>
                            <w:vAlign w:val="center"/>
                          </w:tcPr>
                          <w:p>
                            <w:pPr>
                              <w:pStyle w:val="TableContents"/>
                              <w:bidi w:val="0"/>
                              <w:spacing w:before="0" w:after="283"/>
                              <w:ind w:left="320" w:right="0" w:hanging="0"/>
                              <w:jc w:val="left"/>
                              <w:rPr/>
                            </w:pPr>
                            <w:hyperlink w:anchor="tQND8">
                              <w:r>
                                <w:rPr>
                                  <w:rStyle w:val="InternetLink"/>
                                  <w:rFonts w:ascii="Arial;Helvetica;sans-serif" w:hAnsi="Arial;Helvetica;sans-serif"/>
                                  <w:color w:val="000000"/>
                                  <w:sz w:val="18"/>
                                </w:rPr>
                                <w:t>How can I vote my shares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8">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9">
                              <w:r>
                                <w:rPr>
                                  <w:rStyle w:val="InternetLink"/>
                                  <w:rFonts w:ascii="Arial;Helvetica;sans-serif" w:hAnsi="Arial;Helvetica;sans-serif"/>
                                  <w:color w:val="000000"/>
                                  <w:sz w:val="18"/>
                                </w:rPr>
                                <w:t>How can I vote my shares without attending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9">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0">
                              <w:r>
                                <w:rPr>
                                  <w:rStyle w:val="InternetLink"/>
                                  <w:rFonts w:ascii="Arial;Helvetica;sans-serif" w:hAnsi="Arial;Helvetica;sans-serif"/>
                                  <w:color w:val="000000"/>
                                  <w:sz w:val="18"/>
                                </w:rPr>
                                <w:t>What is the difference between holding shares as a shareholder of record and as a beneficial owner?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0">
                              <w:r>
                                <w:rPr>
                                  <w:rStyle w:val="InternetLink"/>
                                  <w:rFonts w:ascii="Arial;Helvetica;sans-serif" w:hAnsi="Arial;Helvetica;sans-serif"/>
                                  <w:color w:val="000000"/>
                                  <w:sz w:val="18"/>
                                </w:rPr>
                                <w:t>9</w:t>
                              </w:r>
                            </w:hyperlink>
                          </w:p>
                        </w:tc>
                      </w:tr>
                      <w:tr>
                        <w:trPr/>
                        <w:tc>
                          <w:tcPr>
                            <w:tcW w:w="9362" w:type="dxa"/>
                            <w:tcBorders/>
                            <w:vAlign w:val="center"/>
                          </w:tcPr>
                          <w:p>
                            <w:pPr>
                              <w:pStyle w:val="TableContents"/>
                              <w:bidi w:val="0"/>
                              <w:spacing w:before="0" w:after="283"/>
                              <w:ind w:left="320" w:right="0" w:hanging="0"/>
                              <w:jc w:val="left"/>
                              <w:rPr/>
                            </w:pPr>
                            <w:hyperlink w:anchor="tQND11">
                              <w:r>
                                <w:rPr>
                                  <w:rStyle w:val="InternetLink"/>
                                  <w:rFonts w:ascii="Arial;Helvetica;sans-serif" w:hAnsi="Arial;Helvetica;sans-serif"/>
                                  <w:color w:val="000000"/>
                                  <w:sz w:val="18"/>
                                </w:rPr>
                                <w:t>What happens if additional matters are presented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1">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2">
                              <w:r>
                                <w:rPr>
                                  <w:rStyle w:val="InternetLink"/>
                                  <w:rFonts w:ascii="Arial;Helvetica;sans-serif" w:hAnsi="Arial;Helvetica;sans-serif"/>
                                  <w:color w:val="000000"/>
                                  <w:sz w:val="18"/>
                                </w:rPr>
                                <w:t>Can I change my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2">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3">
                              <w:r>
                                <w:rPr>
                                  <w:rStyle w:val="InternetLink"/>
                                  <w:rFonts w:ascii="Arial;Helvetica;sans-serif" w:hAnsi="Arial;Helvetica;sans-serif"/>
                                  <w:color w:val="000000"/>
                                  <w:sz w:val="18"/>
                                </w:rPr>
                                <w:t>What happens if I decide to attend the Annual Meeting but I have already voted or submitted a proxy card covering my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3">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4">
                              <w:r>
                                <w:rPr>
                                  <w:rStyle w:val="InternetLink"/>
                                  <w:rFonts w:ascii="Arial;Helvetica;sans-serif" w:hAnsi="Arial;Helvetica;sans-serif"/>
                                  <w:color w:val="000000"/>
                                  <w:sz w:val="18"/>
                                </w:rPr>
                                <w:t>What should I do if I receive more than one set of voting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4">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5">
                              <w:r>
                                <w:rPr>
                                  <w:rStyle w:val="InternetLink"/>
                                  <w:rFonts w:ascii="Arial;Helvetica;sans-serif" w:hAnsi="Arial;Helvetica;sans-serif"/>
                                  <w:color w:val="000000"/>
                                  <w:sz w:val="18"/>
                                </w:rPr>
                                <w:t>Is my vote confidential?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5">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6">
                              <w:r>
                                <w:rPr>
                                  <w:rStyle w:val="InternetLink"/>
                                  <w:rFonts w:ascii="Arial;Helvetica;sans-serif" w:hAnsi="Arial;Helvetica;sans-serif"/>
                                  <w:color w:val="000000"/>
                                  <w:sz w:val="18"/>
                                </w:rPr>
                                <w:t>Where can I find the voting results of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6">
                              <w:r>
                                <w:rPr>
                                  <w:rStyle w:val="InternetLink"/>
                                  <w:rFonts w:ascii="Arial;Helvetica;sans-serif" w:hAnsi="Arial;Helvetica;sans-serif"/>
                                  <w:color w:val="000000"/>
                                  <w:sz w:val="18"/>
                                </w:rPr>
                                <w:t>10</w:t>
                              </w:r>
                            </w:hyperlink>
                          </w:p>
                        </w:tc>
                      </w:tr>
                      <w:tr>
                        <w:trPr/>
                        <w:tc>
                          <w:tcPr>
                            <w:tcW w:w="9362" w:type="dxa"/>
                            <w:tcBorders/>
                            <w:vAlign w:val="center"/>
                          </w:tcPr>
                          <w:p>
                            <w:pPr>
                              <w:pStyle w:val="TableContents"/>
                              <w:bidi w:val="0"/>
                              <w:spacing w:before="0" w:after="283"/>
                              <w:ind w:left="320" w:right="0" w:hanging="0"/>
                              <w:jc w:val="left"/>
                              <w:rPr/>
                            </w:pPr>
                            <w:hyperlink w:anchor="tQND17">
                              <w:r>
                                <w:rPr>
                                  <w:rStyle w:val="InternetLink"/>
                                  <w:rFonts w:ascii="Arial;Helvetica;sans-serif" w:hAnsi="Arial;Helvetica;sans-serif"/>
                                  <w:color w:val="000000"/>
                                  <w:sz w:val="18"/>
                                </w:rPr>
                                <w:t>Who will bear the cost of soliciting votes for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7">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8">
                              <w:r>
                                <w:rPr>
                                  <w:rStyle w:val="InternetLink"/>
                                  <w:rFonts w:ascii="Arial;Helvetica;sans-serif" w:hAnsi="Arial;Helvetica;sans-serif"/>
                                  <w:color w:val="000000"/>
                                  <w:sz w:val="18"/>
                                </w:rPr>
                                <w:t>What is the deadline to propose actions for consideration at next year’s annual meeting of shareholders or to nominate individuals to serve as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8">
                              <w:r>
                                <w:rPr>
                                  <w:rStyle w:val="InternetLink"/>
                                  <w:rFonts w:ascii="Arial;Helvetica;sans-serif" w:hAnsi="Arial;Helvetica;sans-serif"/>
                                  <w:color w:val="000000"/>
                                  <w:sz w:val="18"/>
                                </w:rPr>
                                <w:t>11</w:t>
                              </w:r>
                            </w:hyperlink>
                          </w:p>
                        </w:tc>
                      </w:tr>
                      <w:tr>
                        <w:trPr/>
                        <w:tc>
                          <w:tcPr>
                            <w:tcW w:w="9362" w:type="dxa"/>
                            <w:tcBorders/>
                            <w:vAlign w:val="center"/>
                          </w:tcPr>
                          <w:p>
                            <w:pPr>
                              <w:pStyle w:val="TableContents"/>
                              <w:bidi w:val="0"/>
                              <w:spacing w:before="0" w:after="283"/>
                              <w:ind w:left="320" w:right="0" w:hanging="0"/>
                              <w:jc w:val="left"/>
                              <w:rPr/>
                            </w:pPr>
                            <w:hyperlink w:anchor="tQND19">
                              <w:r>
                                <w:rPr>
                                  <w:rStyle w:val="InternetLink"/>
                                  <w:rFonts w:ascii="Arial;Helvetica;sans-serif" w:hAnsi="Arial;Helvetica;sans-serif"/>
                                  <w:color w:val="000000"/>
                                  <w:sz w:val="18"/>
                                </w:rPr>
                                <w:t>How may I obtain a separate set of proxy materials or the Fiscal 2026 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19">
                              <w:r>
                                <w:rPr>
                                  <w:rStyle w:val="InternetLink"/>
                                  <w:rFonts w:ascii="Arial;Helvetica;sans-serif" w:hAnsi="Arial;Helvetica;sans-serif"/>
                                  <w:color w:val="000000"/>
                                  <w:sz w:val="18"/>
                                </w:rPr>
                                <w:t>12</w:t>
                              </w:r>
                            </w:hyperlink>
                          </w:p>
                        </w:tc>
                      </w:tr>
                      <w:tr>
                        <w:trPr/>
                        <w:tc>
                          <w:tcPr>
                            <w:tcW w:w="9362" w:type="dxa"/>
                            <w:tcBorders/>
                            <w:vAlign w:val="center"/>
                          </w:tcPr>
                          <w:p>
                            <w:pPr>
                              <w:pStyle w:val="TableContents"/>
                              <w:bidi w:val="0"/>
                              <w:spacing w:before="0" w:after="283"/>
                              <w:ind w:left="320" w:right="0" w:hanging="0"/>
                              <w:jc w:val="left"/>
                              <w:rPr/>
                            </w:pPr>
                            <w:hyperlink w:anchor="tQND20">
                              <w:r>
                                <w:rPr>
                                  <w:rStyle w:val="InternetLink"/>
                                  <w:rFonts w:ascii="Arial;Helvetica;sans-serif" w:hAnsi="Arial;Helvetica;sans-serif"/>
                                  <w:color w:val="000000"/>
                                  <w:sz w:val="18"/>
                                </w:rPr>
                                <w:t>Whom do I contact if I have questions?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340" w:right="0" w:hanging="0"/>
                              <w:jc w:val="left"/>
                              <w:rPr/>
                            </w:pPr>
                            <w:hyperlink w:anchor="tQND20">
                              <w:r>
                                <w:rPr>
                                  <w:rStyle w:val="InternetLink"/>
                                  <w:rFonts w:ascii="Arial;Helvetica;sans-serif" w:hAnsi="Arial;Helvetica;sans-serif"/>
                                  <w:color w:val="000000"/>
                                  <w:sz w:val="18"/>
                                </w:rPr>
                                <w:t>12</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14">
                <wp:simplePos x="0" y="0"/>
                <wp:positionH relativeFrom="column">
                  <wp:align>left</wp:align>
                </wp:positionH>
                <wp:positionV relativeFrom="line">
                  <wp:posOffset>635</wp:posOffset>
                </wp:positionV>
                <wp:extent cx="3124200" cy="9972040"/>
                <wp:effectExtent l="0" t="0" r="0" b="0"/>
                <wp:wrapSquare wrapText="right"/>
                <wp:docPr id="4" name="Frame2"/>
                <a:graphic xmlns:a="http://schemas.openxmlformats.org/drawingml/2006/main">
                  <a:graphicData uri="http://schemas.microsoft.com/office/word/2010/wordprocessingShape">
                    <wps:wsp>
                      <wps:cNvSpPr txBox="1"/>
                      <wps:spPr>
                        <a:xfrm>
                          <a:off x="0" y="0"/>
                          <a:ext cx="31242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351"/>
                              <w:gridCol w:w="170"/>
                              <w:gridCol w:w="170"/>
                              <w:gridCol w:w="514"/>
                            </w:tblGrid>
                            <w:tr>
                              <w:trPr/>
                              <w:tc>
                                <w:tcPr>
                                  <w:tcW w:w="935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FYE">
                                    <w:r>
                                      <w:rPr>
                                        <w:rStyle w:val="InternetLink"/>
                                        <w:rFonts w:ascii="Arial;Helvetica;sans-serif" w:hAnsi="Arial;Helvetica;sans-serif"/>
                                        <w:b/>
                                        <w:color w:val="578255"/>
                                        <w:sz w:val="24"/>
                                      </w:rPr>
                                      <w:t>FISCAL YEAR END</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FYE">
                                    <w:r>
                                      <w:rPr>
                                        <w:rStyle w:val="InternetLink"/>
                                        <w:rFonts w:ascii="Arial;Helvetica;sans-serif" w:hAnsi="Arial;Helvetica;sans-serif"/>
                                        <w:b/>
                                        <w:color w:val="578255"/>
                                        <w:sz w:val="20"/>
                                      </w:rPr>
                                      <w:t>13</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1">
                                    <w:r>
                                      <w:rPr>
                                        <w:rStyle w:val="InternetLink"/>
                                        <w:rFonts w:ascii="Arial;Helvetica;sans-serif" w:hAnsi="Arial;Helvetica;sans-serif"/>
                                        <w:b/>
                                        <w:color w:val="578255"/>
                                        <w:sz w:val="24"/>
                                      </w:rPr>
                                      <w:t>PROPOSAL ONE: ELECTION OF DIRECTORS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1">
                                    <w:r>
                                      <w:rPr>
                                        <w:rStyle w:val="InternetLink"/>
                                        <w:rFonts w:ascii="Arial;Helvetica;sans-serif" w:hAnsi="Arial;Helvetica;sans-serif"/>
                                        <w:b/>
                                        <w:color w:val="578255"/>
                                        <w:sz w:val="20"/>
                                      </w:rPr>
                                      <w:t>14</w:t>
                                    </w:r>
                                  </w:hyperlink>
                                </w:p>
                              </w:tc>
                            </w:tr>
                            <w:tr>
                              <w:trPr/>
                              <w:tc>
                                <w:tcPr>
                                  <w:tcW w:w="9351" w:type="dxa"/>
                                  <w:tcBorders/>
                                  <w:vAlign w:val="center"/>
                                </w:tcPr>
                                <w:p>
                                  <w:pPr>
                                    <w:pStyle w:val="TableContents"/>
                                    <w:bidi w:val="0"/>
                                    <w:spacing w:before="0" w:after="283"/>
                                    <w:ind w:left="320" w:right="0" w:hanging="0"/>
                                    <w:jc w:val="left"/>
                                    <w:rPr/>
                                  </w:pPr>
                                  <w:hyperlink w:anchor="tPRP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1">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2">
                                    <w:r>
                                      <w:rPr>
                                        <w:rStyle w:val="InternetLink"/>
                                        <w:rFonts w:ascii="Arial;Helvetica;sans-serif" w:hAnsi="Arial;Helvetica;sans-serif"/>
                                        <w:color w:val="000000"/>
                                        <w:sz w:val="18"/>
                                      </w:rPr>
                                      <w:t>Nominees for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2">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3">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3">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4">
                                    <w:r>
                                      <w:rPr>
                                        <w:rStyle w:val="InternetLink"/>
                                        <w:rFonts w:ascii="Arial;Helvetica;sans-serif" w:hAnsi="Arial;Helvetica;sans-serif"/>
                                        <w:color w:val="000000"/>
                                        <w:sz w:val="18"/>
                                      </w:rPr>
                                      <w:t>Biographical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4">
                                    <w:r>
                                      <w:rPr>
                                        <w:rStyle w:val="InternetLink"/>
                                        <w:rFonts w:ascii="Arial;Helvetica;sans-serif" w:hAnsi="Arial;Helvetica;sans-serif"/>
                                        <w:color w:val="000000"/>
                                        <w:sz w:val="18"/>
                                      </w:rPr>
                                      <w:t>15</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C">
                                    <w:r>
                                      <w:rPr>
                                        <w:rStyle w:val="InternetLink"/>
                                        <w:rFonts w:ascii="Arial;Helvetica;sans-serif" w:hAnsi="Arial;Helvetica;sans-serif"/>
                                        <w:b/>
                                        <w:color w:val="578255"/>
                                        <w:sz w:val="24"/>
                                      </w:rPr>
                                      <w:t>DIRECTOR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DC">
                                    <w:r>
                                      <w:rPr>
                                        <w:rStyle w:val="InternetLink"/>
                                        <w:rFonts w:ascii="Arial;Helvetica;sans-serif" w:hAnsi="Arial;Helvetica;sans-serif"/>
                                        <w:b/>
                                        <w:color w:val="578255"/>
                                        <w:sz w:val="20"/>
                                      </w:rPr>
                                      <w:t>22</w:t>
                                    </w:r>
                                  </w:hyperlink>
                                </w:p>
                              </w:tc>
                            </w:tr>
                            <w:tr>
                              <w:trPr/>
                              <w:tc>
                                <w:tcPr>
                                  <w:tcW w:w="9351" w:type="dxa"/>
                                  <w:tcBorders/>
                                  <w:vAlign w:val="center"/>
                                </w:tcPr>
                                <w:p>
                                  <w:pPr>
                                    <w:pStyle w:val="TableContents"/>
                                    <w:bidi w:val="0"/>
                                    <w:spacing w:before="0" w:after="283"/>
                                    <w:ind w:left="320" w:right="0" w:hanging="0"/>
                                    <w:jc w:val="left"/>
                                    <w:rPr/>
                                  </w:pPr>
                                  <w:hyperlink w:anchor="tDC1">
                                    <w:r>
                                      <w:rPr>
                                        <w:rStyle w:val="InternetLink"/>
                                        <w:rFonts w:ascii="Arial;Helvetica;sans-serif" w:hAnsi="Arial;Helvetica;sans-serif"/>
                                        <w:color w:val="000000"/>
                                        <w:sz w:val="18"/>
                                      </w:rPr>
                                      <w:t>Annual Non-Employee Director Compensation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1">
                                    <w:r>
                                      <w:rPr>
                                        <w:rStyle w:val="InternetLink"/>
                                        <w:rFonts w:ascii="Arial;Helvetica;sans-serif" w:hAnsi="Arial;Helvetica;sans-serif"/>
                                        <w:color w:val="000000"/>
                                        <w:sz w:val="18"/>
                                      </w:rPr>
                                      <w:t>22</w:t>
                                    </w:r>
                                  </w:hyperlink>
                                </w:p>
                              </w:tc>
                            </w:tr>
                            <w:tr>
                              <w:trPr/>
                              <w:tc>
                                <w:tcPr>
                                  <w:tcW w:w="9351" w:type="dxa"/>
                                  <w:tcBorders/>
                                  <w:vAlign w:val="center"/>
                                </w:tcPr>
                                <w:p>
                                  <w:pPr>
                                    <w:pStyle w:val="TableContents"/>
                                    <w:bidi w:val="0"/>
                                    <w:spacing w:before="0" w:after="283"/>
                                    <w:ind w:left="320" w:right="0" w:hanging="0"/>
                                    <w:jc w:val="left"/>
                                    <w:rPr/>
                                  </w:pPr>
                                  <w:hyperlink w:anchor="tDC2">
                                    <w:r>
                                      <w:rPr>
                                        <w:rStyle w:val="InternetLink"/>
                                        <w:rFonts w:ascii="Arial;Helvetica;sans-serif" w:hAnsi="Arial;Helvetica;sans-serif"/>
                                        <w:color w:val="000000"/>
                                        <w:sz w:val="18"/>
                                      </w:rPr>
                                      <w:t>Fiscal 2026 Director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2">
                                    <w:r>
                                      <w:rPr>
                                        <w:rStyle w:val="InternetLink"/>
                                        <w:rFonts w:ascii="Arial;Helvetica;sans-serif" w:hAnsi="Arial;Helvetica;sans-serif"/>
                                        <w:color w:val="000000"/>
                                        <w:sz w:val="18"/>
                                      </w:rPr>
                                      <w:t>23</w:t>
                                    </w:r>
                                  </w:hyperlink>
                                </w:p>
                              </w:tc>
                            </w:tr>
                            <w:tr>
                              <w:trPr/>
                              <w:tc>
                                <w:tcPr>
                                  <w:tcW w:w="9351" w:type="dxa"/>
                                  <w:tcBorders/>
                                  <w:vAlign w:val="center"/>
                                </w:tcPr>
                                <w:p>
                                  <w:pPr>
                                    <w:pStyle w:val="TableContents"/>
                                    <w:bidi w:val="0"/>
                                    <w:spacing w:before="0" w:after="283"/>
                                    <w:ind w:left="320" w:right="0" w:hanging="0"/>
                                    <w:jc w:val="left"/>
                                    <w:rPr/>
                                  </w:pPr>
                                  <w:hyperlink w:anchor="tDC3">
                                    <w:r>
                                      <w:rPr>
                                        <w:rStyle w:val="InternetLink"/>
                                        <w:rFonts w:ascii="Arial;Helvetica;sans-serif" w:hAnsi="Arial;Helvetica;sans-serif"/>
                                        <w:color w:val="000000"/>
                                        <w:sz w:val="18"/>
                                      </w:rPr>
                                      <w:t>Director 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3">
                                    <w:r>
                                      <w:rPr>
                                        <w:rStyle w:val="InternetLink"/>
                                        <w:rFonts w:ascii="Arial;Helvetica;sans-serif" w:hAnsi="Arial;Helvetica;sans-serif"/>
                                        <w:color w:val="000000"/>
                                        <w:sz w:val="18"/>
                                      </w:rPr>
                                      <w:t>23</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GM">
                                    <w:r>
                                      <w:rPr>
                                        <w:rStyle w:val="InternetLink"/>
                                        <w:rFonts w:ascii="Arial;Helvetica;sans-serif" w:hAnsi="Arial;Helvetica;sans-serif"/>
                                        <w:b/>
                                        <w:color w:val="578255"/>
                                        <w:sz w:val="24"/>
                                      </w:rPr>
                                      <w:t>CORPORATE GOVERNANCE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CGM">
                                    <w:r>
                                      <w:rPr>
                                        <w:rStyle w:val="InternetLink"/>
                                        <w:rFonts w:ascii="Arial;Helvetica;sans-serif" w:hAnsi="Arial;Helvetica;sans-serif"/>
                                        <w:b/>
                                        <w:color w:val="578255"/>
                                        <w:sz w:val="20"/>
                                      </w:rPr>
                                      <w:t>24</w:t>
                                    </w:r>
                                  </w:hyperlink>
                                </w:p>
                              </w:tc>
                            </w:tr>
                            <w:tr>
                              <w:trPr/>
                              <w:tc>
                                <w:tcPr>
                                  <w:tcW w:w="9351" w:type="dxa"/>
                                  <w:tcBorders/>
                                  <w:vAlign w:val="center"/>
                                </w:tcPr>
                                <w:p>
                                  <w:pPr>
                                    <w:pStyle w:val="TableContents"/>
                                    <w:bidi w:val="0"/>
                                    <w:spacing w:before="0" w:after="283"/>
                                    <w:ind w:left="320" w:right="0" w:hanging="0"/>
                                    <w:jc w:val="left"/>
                                    <w:rPr/>
                                  </w:pPr>
                                  <w:hyperlink w:anchor="tCGM1">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2">
                                    <w:r>
                                      <w:rPr>
                                        <w:rStyle w:val="InternetLink"/>
                                        <w:rFonts w:ascii="Arial;Helvetica;sans-serif" w:hAnsi="Arial;Helvetica;sans-serif"/>
                                        <w:color w:val="000000"/>
                                        <w:sz w:val="18"/>
                                      </w:rPr>
                                      <w:t>Code of Business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2">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3">
                                    <w:r>
                                      <w:rPr>
                                        <w:rStyle w:val="InternetLink"/>
                                        <w:rFonts w:ascii="Arial;Helvetica;sans-serif" w:hAnsi="Arial;Helvetica;sans-serif"/>
                                        <w:color w:val="000000"/>
                                        <w:sz w:val="18"/>
                                      </w:rPr>
                                      <w:t>Majority Voting Director Resignation Policy in Uncontested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3">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4">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4">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5">
                                    <w:r>
                                      <w:rPr>
                                        <w:rStyle w:val="InternetLink"/>
                                        <w:rFonts w:ascii="Arial;Helvetica;sans-serif" w:hAnsi="Arial;Helvetica;sans-serif"/>
                                        <w:color w:val="000000"/>
                                        <w:sz w:val="18"/>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5">
                                    <w:r>
                                      <w:rPr>
                                        <w:rStyle w:val="InternetLink"/>
                                        <w:rFonts w:ascii="Arial;Helvetica;sans-serif" w:hAnsi="Arial;Helvetica;sans-serif"/>
                                        <w:color w:val="000000"/>
                                        <w:sz w:val="18"/>
                                      </w:rPr>
                                      <w:t>25</w:t>
                                    </w:r>
                                  </w:hyperlink>
                                </w:p>
                              </w:tc>
                            </w:tr>
                            <w:tr>
                              <w:trPr/>
                              <w:tc>
                                <w:tcPr>
                                  <w:tcW w:w="9351" w:type="dxa"/>
                                  <w:tcBorders/>
                                  <w:vAlign w:val="center"/>
                                </w:tcPr>
                                <w:p>
                                  <w:pPr>
                                    <w:pStyle w:val="TableContents"/>
                                    <w:bidi w:val="0"/>
                                    <w:spacing w:before="0" w:after="283"/>
                                    <w:ind w:left="320" w:right="0" w:hanging="0"/>
                                    <w:jc w:val="left"/>
                                    <w:rPr/>
                                  </w:pPr>
                                  <w:hyperlink w:anchor="tCGM6">
                                    <w:r>
                                      <w:rPr>
                                        <w:rStyle w:val="InternetLink"/>
                                        <w:rFonts w:ascii="Arial;Helvetica;sans-serif" w:hAnsi="Arial;Helvetica;sans-serif"/>
                                        <w:color w:val="000000"/>
                                        <w:sz w:val="18"/>
                                      </w:rPr>
                                      <w:t>Information Security Risk Oversight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6">
                                    <w:r>
                                      <w:rPr>
                                        <w:rStyle w:val="InternetLink"/>
                                        <w:rFonts w:ascii="Arial;Helvetica;sans-serif" w:hAnsi="Arial;Helvetica;sans-serif"/>
                                        <w:color w:val="000000"/>
                                        <w:sz w:val="18"/>
                                      </w:rPr>
                                      <w:t>25</w:t>
                                    </w:r>
                                  </w:hyperlink>
                                </w:p>
                              </w:tc>
                            </w:tr>
                            <w:tr>
                              <w:trPr/>
                              <w:tc>
                                <w:tcPr>
                                  <w:tcW w:w="9351" w:type="dxa"/>
                                  <w:tcBorders/>
                                  <w:vAlign w:val="center"/>
                                </w:tcPr>
                                <w:p>
                                  <w:pPr>
                                    <w:pStyle w:val="TableContents"/>
                                    <w:bidi w:val="0"/>
                                    <w:spacing w:before="0" w:after="283"/>
                                    <w:ind w:left="320" w:right="0" w:hanging="0"/>
                                    <w:jc w:val="left"/>
                                    <w:rPr/>
                                  </w:pPr>
                                  <w:hyperlink w:anchor="tCGM8">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8">
                                    <w:r>
                                      <w:rPr>
                                        <w:rStyle w:val="InternetLink"/>
                                        <w:rFonts w:ascii="Arial;Helvetica;sans-serif" w:hAnsi="Arial;Helvetica;sans-serif"/>
                                        <w:color w:val="000000"/>
                                        <w:sz w:val="18"/>
                                      </w:rPr>
                                      <w:t>26</w:t>
                                    </w:r>
                                  </w:hyperlink>
                                </w:p>
                              </w:tc>
                            </w:tr>
                            <w:tr>
                              <w:trPr/>
                              <w:tc>
                                <w:tcPr>
                                  <w:tcW w:w="9351" w:type="dxa"/>
                                  <w:tcBorders/>
                                  <w:vAlign w:val="center"/>
                                </w:tcPr>
                                <w:p>
                                  <w:pPr>
                                    <w:pStyle w:val="TableContents"/>
                                    <w:bidi w:val="0"/>
                                    <w:spacing w:before="0" w:after="283"/>
                                    <w:ind w:left="320" w:right="0" w:hanging="0"/>
                                    <w:jc w:val="left"/>
                                    <w:rPr/>
                                  </w:pPr>
                                  <w:hyperlink w:anchor="tCGM9">
                                    <w:r>
                                      <w:rPr>
                                        <w:rStyle w:val="InternetLink"/>
                                        <w:rFonts w:ascii="Arial;Helvetica;sans-serif" w:hAnsi="Arial;Helvetica;sans-serif"/>
                                        <w:color w:val="000000"/>
                                        <w:sz w:val="18"/>
                                      </w:rPr>
                                      <w:t>Board Meetings and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9">
                                    <w:r>
                                      <w:rPr>
                                        <w:rStyle w:val="InternetLink"/>
                                        <w:rFonts w:ascii="Arial;Helvetica;sans-serif" w:hAnsi="Arial;Helvetica;sans-serif"/>
                                        <w:color w:val="000000"/>
                                        <w:sz w:val="18"/>
                                      </w:rPr>
                                      <w:t>26</w:t>
                                    </w:r>
                                  </w:hyperlink>
                                </w:p>
                              </w:tc>
                            </w:tr>
                            <w:tr>
                              <w:trPr/>
                              <w:tc>
                                <w:tcPr>
                                  <w:tcW w:w="9351" w:type="dxa"/>
                                  <w:tcBorders/>
                                  <w:vAlign w:val="center"/>
                                </w:tcPr>
                                <w:p>
                                  <w:pPr>
                                    <w:pStyle w:val="TableContents"/>
                                    <w:bidi w:val="0"/>
                                    <w:spacing w:before="0" w:after="283"/>
                                    <w:ind w:left="320" w:right="0" w:hanging="0"/>
                                    <w:jc w:val="left"/>
                                    <w:rPr/>
                                  </w:pPr>
                                  <w:hyperlink w:anchor="tCGM10">
                                    <w:r>
                                      <w:rPr>
                                        <w:rStyle w:val="InternetLink"/>
                                        <w:rFonts w:ascii="Arial;Helvetica;sans-serif" w:hAnsi="Arial;Helvetica;sans-serif"/>
                                        <w:color w:val="000000"/>
                                        <w:sz w:val="18"/>
                                      </w:rPr>
                                      <w:t>Attendance at Annual Meetings of Shareholders by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0">
                                    <w:r>
                                      <w:rPr>
                                        <w:rStyle w:val="InternetLink"/>
                                        <w:rFonts w:ascii="Arial;Helvetica;sans-serif" w:hAnsi="Arial;Helvetica;sans-serif"/>
                                        <w:color w:val="000000"/>
                                        <w:sz w:val="18"/>
                                      </w:rPr>
                                      <w:t>27</w:t>
                                    </w:r>
                                  </w:hyperlink>
                                </w:p>
                              </w:tc>
                            </w:tr>
                            <w:tr>
                              <w:trPr/>
                              <w:tc>
                                <w:tcPr>
                                  <w:tcW w:w="9351" w:type="dxa"/>
                                  <w:tcBorders/>
                                  <w:vAlign w:val="center"/>
                                </w:tcPr>
                                <w:p>
                                  <w:pPr>
                                    <w:pStyle w:val="TableContents"/>
                                    <w:bidi w:val="0"/>
                                    <w:spacing w:before="0" w:after="283"/>
                                    <w:ind w:left="320" w:right="0" w:hanging="0"/>
                                    <w:jc w:val="left"/>
                                    <w:rPr/>
                                  </w:pPr>
                                  <w:hyperlink w:anchor="tCTBOD">
                                    <w:r>
                                      <w:rPr>
                                        <w:rStyle w:val="InternetLink"/>
                                        <w:rFonts w:ascii="Arial;Helvetica;sans-serif" w:hAnsi="Arial;Helvetica;sans-serif"/>
                                        <w:color w:val="000000"/>
                                        <w:sz w:val="18"/>
                                      </w:rPr>
                                      <w:t>Contacting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TBOD">
                                    <w:r>
                                      <w:rPr>
                                        <w:rStyle w:val="InternetLink"/>
                                        <w:rFonts w:ascii="Arial;Helvetica;sans-serif" w:hAnsi="Arial;Helvetica;sans-serif"/>
                                        <w:color w:val="000000"/>
                                        <w:sz w:val="18"/>
                                      </w:rPr>
                                      <w:t>27</w:t>
                                    </w:r>
                                  </w:hyperlink>
                                </w:p>
                              </w:tc>
                            </w:tr>
                            <w:tr>
                              <w:trPr/>
                              <w:tc>
                                <w:tcPr>
                                  <w:tcW w:w="9351" w:type="dxa"/>
                                  <w:tcBorders/>
                                  <w:vAlign w:val="center"/>
                                </w:tcPr>
                                <w:p>
                                  <w:pPr>
                                    <w:pStyle w:val="TableContents"/>
                                    <w:bidi w:val="0"/>
                                    <w:spacing w:before="0" w:after="283"/>
                                    <w:ind w:left="320" w:right="0" w:hanging="0"/>
                                    <w:jc w:val="left"/>
                                    <w:rPr/>
                                  </w:pPr>
                                  <w:hyperlink w:anchor="tSOG">
                                    <w:r>
                                      <w:rPr>
                                        <w:rStyle w:val="InternetLink"/>
                                        <w:rFonts w:ascii="Arial;Helvetica;sans-serif" w:hAnsi="Arial;Helvetica;sans-serif"/>
                                        <w:color w:val="000000"/>
                                        <w:sz w:val="18"/>
                                      </w:rPr>
                                      <w:t>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SOG">
                                    <w:r>
                                      <w:rPr>
                                        <w:rStyle w:val="InternetLink"/>
                                        <w:rFonts w:ascii="Arial;Helvetica;sans-serif" w:hAnsi="Arial;Helvetica;sans-serif"/>
                                        <w:color w:val="000000"/>
                                        <w:sz w:val="18"/>
                                      </w:rPr>
                                      <w:t>28</w:t>
                                    </w:r>
                                  </w:hyperlink>
                                </w:p>
                              </w:tc>
                            </w:tr>
                            <w:tr>
                              <w:trPr/>
                              <w:tc>
                                <w:tcPr>
                                  <w:tcW w:w="9351" w:type="dxa"/>
                                  <w:tcBorders/>
                                  <w:vAlign w:val="center"/>
                                </w:tcPr>
                                <w:p>
                                  <w:pPr>
                                    <w:pStyle w:val="TableContents"/>
                                    <w:bidi w:val="0"/>
                                    <w:spacing w:before="0" w:after="283"/>
                                    <w:ind w:left="32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ITP">
                                    <w:r>
                                      <w:rPr>
                                        <w:rStyle w:val="InternetLink"/>
                                        <w:rFonts w:ascii="Arial;Helvetica;sans-serif" w:hAnsi="Arial;Helvetica;sans-serif"/>
                                        <w:color w:val="000000"/>
                                        <w:sz w:val="18"/>
                                      </w:rPr>
                                      <w:t>28</w:t>
                                    </w:r>
                                  </w:hyperlink>
                                </w:p>
                              </w:tc>
                            </w:tr>
                            <w:tr>
                              <w:trPr/>
                              <w:tc>
                                <w:tcPr>
                                  <w:tcW w:w="9351" w:type="dxa"/>
                                  <w:tcBorders/>
                                  <w:vAlign w:val="center"/>
                                </w:tcPr>
                                <w:p>
                                  <w:pPr>
                                    <w:pStyle w:val="TableContents"/>
                                    <w:bidi w:val="0"/>
                                    <w:spacing w:before="0" w:after="283"/>
                                    <w:ind w:left="320" w:right="0" w:hanging="0"/>
                                    <w:jc w:val="left"/>
                                    <w:rPr/>
                                  </w:pPr>
                                  <w:hyperlink w:anchor="tPTIO">
                                    <w:r>
                                      <w:rPr>
                                        <w:rStyle w:val="InternetLink"/>
                                        <w:rFonts w:ascii="Arial;Helvetica;sans-serif" w:hAnsi="Arial;Helvetica;sans-serif"/>
                                        <w:color w:val="000000"/>
                                        <w:sz w:val="18"/>
                                      </w:rPr>
                                      <w:t>Prohibited Transactions in Our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TIO">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CGM13">
                                    <w:r>
                                      <w:rPr>
                                        <w:rStyle w:val="InternetLink"/>
                                        <w:rFonts w:ascii="Arial;Helvetica;sans-serif" w:hAnsi="Arial;Helvetica;sans-serif"/>
                                        <w:color w:val="000000"/>
                                        <w:sz w:val="18"/>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3">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DRNP">
                                    <w:r>
                                      <w:rPr>
                                        <w:rStyle w:val="InternetLink"/>
                                        <w:rFonts w:ascii="Arial;Helvetica;sans-serif" w:hAnsi="Arial;Helvetica;sans-serif"/>
                                        <w:color w:val="000000"/>
                                        <w:sz w:val="18"/>
                                      </w:rPr>
                                      <w:t>Director Re-Nomination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RNP">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CGM14">
                                    <w:r>
                                      <w:rPr>
                                        <w:rStyle w:val="InternetLink"/>
                                        <w:rFonts w:ascii="Arial;Helvetica;sans-serif" w:hAnsi="Arial;Helvetica;sans-serif"/>
                                        <w:color w:val="000000"/>
                                        <w:sz w:val="18"/>
                                      </w:rPr>
                                      <w:t>Process for Recommending Candidates for Election to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4">
                                    <w:r>
                                      <w:rPr>
                                        <w:rStyle w:val="InternetLink"/>
                                        <w:rFonts w:ascii="Arial;Helvetica;sans-serif" w:hAnsi="Arial;Helvetica;sans-serif"/>
                                        <w:color w:val="000000"/>
                                        <w:sz w:val="18"/>
                                      </w:rPr>
                                      <w:t>30</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SA">
                                    <w:r>
                                      <w:rPr>
                                        <w:rStyle w:val="InternetLink"/>
                                        <w:rFonts w:ascii="Arial;Helvetica;sans-serif" w:hAnsi="Arial;Helvetica;sans-serif"/>
                                        <w:b/>
                                        <w:color w:val="578255"/>
                                        <w:sz w:val="24"/>
                                      </w:rPr>
                                      <w:t>ENVIRONMENTAL, SOCIAL AND GOVERNANCE (ESG) PRACTICES AND POLICIES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SA">
                                    <w:r>
                                      <w:rPr>
                                        <w:rStyle w:val="InternetLink"/>
                                        <w:rFonts w:ascii="Arial;Helvetica;sans-serif" w:hAnsi="Arial;Helvetica;sans-serif"/>
                                        <w:b/>
                                        <w:color w:val="578255"/>
                                        <w:sz w:val="20"/>
                                      </w:rPr>
                                      <w:t>31</w:t>
                                    </w:r>
                                  </w:hyperlink>
                                </w:p>
                              </w:tc>
                            </w:tr>
                            <w:tr>
                              <w:trPr/>
                              <w:tc>
                                <w:tcPr>
                                  <w:tcW w:w="9351" w:type="dxa"/>
                                  <w:tcBorders/>
                                  <w:vAlign w:val="center"/>
                                </w:tcPr>
                                <w:p>
                                  <w:pPr>
                                    <w:pStyle w:val="TableContents"/>
                                    <w:bidi w:val="0"/>
                                    <w:spacing w:before="0" w:after="283"/>
                                    <w:ind w:left="320" w:right="0" w:hanging="0"/>
                                    <w:jc w:val="left"/>
                                    <w:rPr/>
                                  </w:pPr>
                                  <w:hyperlink w:anchor="tOVER">
                                    <w:r>
                                      <w:rPr>
                                        <w:rStyle w:val="InternetLink"/>
                                        <w:rFonts w:ascii="Arial;Helvetica;sans-serif" w:hAnsi="Arial;Helvetica;sans-serif"/>
                                        <w:color w:val="000000"/>
                                        <w:sz w:val="18"/>
                                      </w:rPr>
                                      <w:t>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OVER">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ENV">
                                    <w:r>
                                      <w:rPr>
                                        <w:rStyle w:val="InternetLink"/>
                                        <w:rFonts w:ascii="Arial;Helvetica;sans-serif" w:hAnsi="Arial;Helvetica;sans-serif"/>
                                        <w:color w:val="000000"/>
                                        <w:sz w:val="18"/>
                                      </w:rPr>
                                      <w:t>Environmental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ENV">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SOC">
                                    <w:r>
                                      <w:rPr>
                                        <w:rStyle w:val="InternetLink"/>
                                        <w:rFonts w:ascii="Arial;Helvetica;sans-serif" w:hAnsi="Arial;Helvetica;sans-serif"/>
                                        <w:color w:val="000000"/>
                                        <w:sz w:val="18"/>
                                      </w:rPr>
                                      <w:t>Social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SOC">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GOV">
                                    <w:r>
                                      <w:rPr>
                                        <w:rStyle w:val="InternetLink"/>
                                        <w:rFonts w:ascii="Arial;Helvetica;sans-serif" w:hAnsi="Arial;Helvetica;sans-serif"/>
                                        <w:color w:val="000000"/>
                                        <w:sz w:val="18"/>
                                      </w:rPr>
                                      <w:t>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GOV">
                                    <w:r>
                                      <w:rPr>
                                        <w:rStyle w:val="InternetLink"/>
                                        <w:rFonts w:ascii="Arial;Helvetica;sans-serif" w:hAnsi="Arial;Helvetica;sans-serif"/>
                                        <w:color w:val="000000"/>
                                        <w:sz w:val="18"/>
                                      </w:rPr>
                                      <w:t>32</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85.2pt;mso-wrap-distance-left:18pt;mso-wrap-distance-right:0pt;mso-wrap-distance-top:0pt;mso-wrap-distance-bottom:0pt;margin-top:0pt;mso-position-vertical:top;mso-position-vertical-relative:text;margin-left:26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351"/>
                        <w:gridCol w:w="170"/>
                        <w:gridCol w:w="170"/>
                        <w:gridCol w:w="514"/>
                      </w:tblGrid>
                      <w:tr>
                        <w:trPr/>
                        <w:tc>
                          <w:tcPr>
                            <w:tcW w:w="935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FYE">
                              <w:r>
                                <w:rPr>
                                  <w:rStyle w:val="InternetLink"/>
                                  <w:rFonts w:ascii="Arial;Helvetica;sans-serif" w:hAnsi="Arial;Helvetica;sans-serif"/>
                                  <w:b/>
                                  <w:color w:val="578255"/>
                                  <w:sz w:val="24"/>
                                </w:rPr>
                                <w:t>FISCAL YEAR END</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FYE">
                              <w:r>
                                <w:rPr>
                                  <w:rStyle w:val="InternetLink"/>
                                  <w:rFonts w:ascii="Arial;Helvetica;sans-serif" w:hAnsi="Arial;Helvetica;sans-serif"/>
                                  <w:b/>
                                  <w:color w:val="578255"/>
                                  <w:sz w:val="20"/>
                                </w:rPr>
                                <w:t>13</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1">
                              <w:r>
                                <w:rPr>
                                  <w:rStyle w:val="InternetLink"/>
                                  <w:rFonts w:ascii="Arial;Helvetica;sans-serif" w:hAnsi="Arial;Helvetica;sans-serif"/>
                                  <w:b/>
                                  <w:color w:val="578255"/>
                                  <w:sz w:val="24"/>
                                </w:rPr>
                                <w:t>PROPOSAL ONE: ELECTION OF DIRECTORS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1">
                              <w:r>
                                <w:rPr>
                                  <w:rStyle w:val="InternetLink"/>
                                  <w:rFonts w:ascii="Arial;Helvetica;sans-serif" w:hAnsi="Arial;Helvetica;sans-serif"/>
                                  <w:b/>
                                  <w:color w:val="578255"/>
                                  <w:sz w:val="20"/>
                                </w:rPr>
                                <w:t>14</w:t>
                              </w:r>
                            </w:hyperlink>
                          </w:p>
                        </w:tc>
                      </w:tr>
                      <w:tr>
                        <w:trPr/>
                        <w:tc>
                          <w:tcPr>
                            <w:tcW w:w="9351" w:type="dxa"/>
                            <w:tcBorders/>
                            <w:vAlign w:val="center"/>
                          </w:tcPr>
                          <w:p>
                            <w:pPr>
                              <w:pStyle w:val="TableContents"/>
                              <w:bidi w:val="0"/>
                              <w:spacing w:before="0" w:after="283"/>
                              <w:ind w:left="320" w:right="0" w:hanging="0"/>
                              <w:jc w:val="left"/>
                              <w:rPr/>
                            </w:pPr>
                            <w:hyperlink w:anchor="tPRP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1">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2">
                              <w:r>
                                <w:rPr>
                                  <w:rStyle w:val="InternetLink"/>
                                  <w:rFonts w:ascii="Arial;Helvetica;sans-serif" w:hAnsi="Arial;Helvetica;sans-serif"/>
                                  <w:color w:val="000000"/>
                                  <w:sz w:val="18"/>
                                </w:rPr>
                                <w:t>Nominees for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2">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3">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3">
                              <w:r>
                                <w:rPr>
                                  <w:rStyle w:val="InternetLink"/>
                                  <w:rFonts w:ascii="Arial;Helvetica;sans-serif" w:hAnsi="Arial;Helvetica;sans-serif"/>
                                  <w:color w:val="000000"/>
                                  <w:sz w:val="18"/>
                                </w:rPr>
                                <w:t>14</w:t>
                              </w:r>
                            </w:hyperlink>
                          </w:p>
                        </w:tc>
                      </w:tr>
                      <w:tr>
                        <w:trPr/>
                        <w:tc>
                          <w:tcPr>
                            <w:tcW w:w="9351" w:type="dxa"/>
                            <w:tcBorders/>
                            <w:vAlign w:val="center"/>
                          </w:tcPr>
                          <w:p>
                            <w:pPr>
                              <w:pStyle w:val="TableContents"/>
                              <w:bidi w:val="0"/>
                              <w:spacing w:before="0" w:after="283"/>
                              <w:ind w:left="320" w:right="0" w:hanging="0"/>
                              <w:jc w:val="left"/>
                              <w:rPr/>
                            </w:pPr>
                            <w:hyperlink w:anchor="tPRP4">
                              <w:r>
                                <w:rPr>
                                  <w:rStyle w:val="InternetLink"/>
                                  <w:rFonts w:ascii="Arial;Helvetica;sans-serif" w:hAnsi="Arial;Helvetica;sans-serif"/>
                                  <w:color w:val="000000"/>
                                  <w:sz w:val="18"/>
                                </w:rPr>
                                <w:t>Biographical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RP4">
                              <w:r>
                                <w:rPr>
                                  <w:rStyle w:val="InternetLink"/>
                                  <w:rFonts w:ascii="Arial;Helvetica;sans-serif" w:hAnsi="Arial;Helvetica;sans-serif"/>
                                  <w:color w:val="000000"/>
                                  <w:sz w:val="18"/>
                                </w:rPr>
                                <w:t>15</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C">
                              <w:r>
                                <w:rPr>
                                  <w:rStyle w:val="InternetLink"/>
                                  <w:rFonts w:ascii="Arial;Helvetica;sans-serif" w:hAnsi="Arial;Helvetica;sans-serif"/>
                                  <w:b/>
                                  <w:color w:val="578255"/>
                                  <w:sz w:val="24"/>
                                </w:rPr>
                                <w:t>DIRECTOR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DC">
                              <w:r>
                                <w:rPr>
                                  <w:rStyle w:val="InternetLink"/>
                                  <w:rFonts w:ascii="Arial;Helvetica;sans-serif" w:hAnsi="Arial;Helvetica;sans-serif"/>
                                  <w:b/>
                                  <w:color w:val="578255"/>
                                  <w:sz w:val="20"/>
                                </w:rPr>
                                <w:t>22</w:t>
                              </w:r>
                            </w:hyperlink>
                          </w:p>
                        </w:tc>
                      </w:tr>
                      <w:tr>
                        <w:trPr/>
                        <w:tc>
                          <w:tcPr>
                            <w:tcW w:w="9351" w:type="dxa"/>
                            <w:tcBorders/>
                            <w:vAlign w:val="center"/>
                          </w:tcPr>
                          <w:p>
                            <w:pPr>
                              <w:pStyle w:val="TableContents"/>
                              <w:bidi w:val="0"/>
                              <w:spacing w:before="0" w:after="283"/>
                              <w:ind w:left="320" w:right="0" w:hanging="0"/>
                              <w:jc w:val="left"/>
                              <w:rPr/>
                            </w:pPr>
                            <w:hyperlink w:anchor="tDC1">
                              <w:r>
                                <w:rPr>
                                  <w:rStyle w:val="InternetLink"/>
                                  <w:rFonts w:ascii="Arial;Helvetica;sans-serif" w:hAnsi="Arial;Helvetica;sans-serif"/>
                                  <w:color w:val="000000"/>
                                  <w:sz w:val="18"/>
                                </w:rPr>
                                <w:t>Annual Non-Employee Director Compensation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1">
                              <w:r>
                                <w:rPr>
                                  <w:rStyle w:val="InternetLink"/>
                                  <w:rFonts w:ascii="Arial;Helvetica;sans-serif" w:hAnsi="Arial;Helvetica;sans-serif"/>
                                  <w:color w:val="000000"/>
                                  <w:sz w:val="18"/>
                                </w:rPr>
                                <w:t>22</w:t>
                              </w:r>
                            </w:hyperlink>
                          </w:p>
                        </w:tc>
                      </w:tr>
                      <w:tr>
                        <w:trPr/>
                        <w:tc>
                          <w:tcPr>
                            <w:tcW w:w="9351" w:type="dxa"/>
                            <w:tcBorders/>
                            <w:vAlign w:val="center"/>
                          </w:tcPr>
                          <w:p>
                            <w:pPr>
                              <w:pStyle w:val="TableContents"/>
                              <w:bidi w:val="0"/>
                              <w:spacing w:before="0" w:after="283"/>
                              <w:ind w:left="320" w:right="0" w:hanging="0"/>
                              <w:jc w:val="left"/>
                              <w:rPr/>
                            </w:pPr>
                            <w:hyperlink w:anchor="tDC2">
                              <w:r>
                                <w:rPr>
                                  <w:rStyle w:val="InternetLink"/>
                                  <w:rFonts w:ascii="Arial;Helvetica;sans-serif" w:hAnsi="Arial;Helvetica;sans-serif"/>
                                  <w:color w:val="000000"/>
                                  <w:sz w:val="18"/>
                                </w:rPr>
                                <w:t>Fiscal 2026 Director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2">
                              <w:r>
                                <w:rPr>
                                  <w:rStyle w:val="InternetLink"/>
                                  <w:rFonts w:ascii="Arial;Helvetica;sans-serif" w:hAnsi="Arial;Helvetica;sans-serif"/>
                                  <w:color w:val="000000"/>
                                  <w:sz w:val="18"/>
                                </w:rPr>
                                <w:t>23</w:t>
                              </w:r>
                            </w:hyperlink>
                          </w:p>
                        </w:tc>
                      </w:tr>
                      <w:tr>
                        <w:trPr/>
                        <w:tc>
                          <w:tcPr>
                            <w:tcW w:w="9351" w:type="dxa"/>
                            <w:tcBorders/>
                            <w:vAlign w:val="center"/>
                          </w:tcPr>
                          <w:p>
                            <w:pPr>
                              <w:pStyle w:val="TableContents"/>
                              <w:bidi w:val="0"/>
                              <w:spacing w:before="0" w:after="283"/>
                              <w:ind w:left="320" w:right="0" w:hanging="0"/>
                              <w:jc w:val="left"/>
                              <w:rPr/>
                            </w:pPr>
                            <w:hyperlink w:anchor="tDC3">
                              <w:r>
                                <w:rPr>
                                  <w:rStyle w:val="InternetLink"/>
                                  <w:rFonts w:ascii="Arial;Helvetica;sans-serif" w:hAnsi="Arial;Helvetica;sans-serif"/>
                                  <w:color w:val="000000"/>
                                  <w:sz w:val="18"/>
                                </w:rPr>
                                <w:t>Director 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C3">
                              <w:r>
                                <w:rPr>
                                  <w:rStyle w:val="InternetLink"/>
                                  <w:rFonts w:ascii="Arial;Helvetica;sans-serif" w:hAnsi="Arial;Helvetica;sans-serif"/>
                                  <w:color w:val="000000"/>
                                  <w:sz w:val="18"/>
                                </w:rPr>
                                <w:t>23</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GM">
                              <w:r>
                                <w:rPr>
                                  <w:rStyle w:val="InternetLink"/>
                                  <w:rFonts w:ascii="Arial;Helvetica;sans-serif" w:hAnsi="Arial;Helvetica;sans-serif"/>
                                  <w:b/>
                                  <w:color w:val="578255"/>
                                  <w:sz w:val="24"/>
                                </w:rPr>
                                <w:t>CORPORATE GOVERNANCE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CGM">
                              <w:r>
                                <w:rPr>
                                  <w:rStyle w:val="InternetLink"/>
                                  <w:rFonts w:ascii="Arial;Helvetica;sans-serif" w:hAnsi="Arial;Helvetica;sans-serif"/>
                                  <w:b/>
                                  <w:color w:val="578255"/>
                                  <w:sz w:val="20"/>
                                </w:rPr>
                                <w:t>24</w:t>
                              </w:r>
                            </w:hyperlink>
                          </w:p>
                        </w:tc>
                      </w:tr>
                      <w:tr>
                        <w:trPr/>
                        <w:tc>
                          <w:tcPr>
                            <w:tcW w:w="9351" w:type="dxa"/>
                            <w:tcBorders/>
                            <w:vAlign w:val="center"/>
                          </w:tcPr>
                          <w:p>
                            <w:pPr>
                              <w:pStyle w:val="TableContents"/>
                              <w:bidi w:val="0"/>
                              <w:spacing w:before="0" w:after="283"/>
                              <w:ind w:left="320" w:right="0" w:hanging="0"/>
                              <w:jc w:val="left"/>
                              <w:rPr/>
                            </w:pPr>
                            <w:hyperlink w:anchor="tCGM1">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2">
                              <w:r>
                                <w:rPr>
                                  <w:rStyle w:val="InternetLink"/>
                                  <w:rFonts w:ascii="Arial;Helvetica;sans-serif" w:hAnsi="Arial;Helvetica;sans-serif"/>
                                  <w:color w:val="000000"/>
                                  <w:sz w:val="18"/>
                                </w:rPr>
                                <w:t>Code of Business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2">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3">
                              <w:r>
                                <w:rPr>
                                  <w:rStyle w:val="InternetLink"/>
                                  <w:rFonts w:ascii="Arial;Helvetica;sans-serif" w:hAnsi="Arial;Helvetica;sans-serif"/>
                                  <w:color w:val="000000"/>
                                  <w:sz w:val="18"/>
                                </w:rPr>
                                <w:t>Majority Voting Director Resignation Policy in Uncontested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3">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4">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4">
                              <w:r>
                                <w:rPr>
                                  <w:rStyle w:val="InternetLink"/>
                                  <w:rFonts w:ascii="Arial;Helvetica;sans-serif" w:hAnsi="Arial;Helvetica;sans-serif"/>
                                  <w:color w:val="000000"/>
                                  <w:sz w:val="18"/>
                                </w:rPr>
                                <w:t>24</w:t>
                              </w:r>
                            </w:hyperlink>
                          </w:p>
                        </w:tc>
                      </w:tr>
                      <w:tr>
                        <w:trPr/>
                        <w:tc>
                          <w:tcPr>
                            <w:tcW w:w="9351" w:type="dxa"/>
                            <w:tcBorders/>
                            <w:vAlign w:val="center"/>
                          </w:tcPr>
                          <w:p>
                            <w:pPr>
                              <w:pStyle w:val="TableContents"/>
                              <w:bidi w:val="0"/>
                              <w:spacing w:before="0" w:after="283"/>
                              <w:ind w:left="320" w:right="0" w:hanging="0"/>
                              <w:jc w:val="left"/>
                              <w:rPr/>
                            </w:pPr>
                            <w:hyperlink w:anchor="tCGM5">
                              <w:r>
                                <w:rPr>
                                  <w:rStyle w:val="InternetLink"/>
                                  <w:rFonts w:ascii="Arial;Helvetica;sans-serif" w:hAnsi="Arial;Helvetica;sans-serif"/>
                                  <w:color w:val="000000"/>
                                  <w:sz w:val="18"/>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5">
                              <w:r>
                                <w:rPr>
                                  <w:rStyle w:val="InternetLink"/>
                                  <w:rFonts w:ascii="Arial;Helvetica;sans-serif" w:hAnsi="Arial;Helvetica;sans-serif"/>
                                  <w:color w:val="000000"/>
                                  <w:sz w:val="18"/>
                                </w:rPr>
                                <w:t>25</w:t>
                              </w:r>
                            </w:hyperlink>
                          </w:p>
                        </w:tc>
                      </w:tr>
                      <w:tr>
                        <w:trPr/>
                        <w:tc>
                          <w:tcPr>
                            <w:tcW w:w="9351" w:type="dxa"/>
                            <w:tcBorders/>
                            <w:vAlign w:val="center"/>
                          </w:tcPr>
                          <w:p>
                            <w:pPr>
                              <w:pStyle w:val="TableContents"/>
                              <w:bidi w:val="0"/>
                              <w:spacing w:before="0" w:after="283"/>
                              <w:ind w:left="320" w:right="0" w:hanging="0"/>
                              <w:jc w:val="left"/>
                              <w:rPr/>
                            </w:pPr>
                            <w:hyperlink w:anchor="tCGM6">
                              <w:r>
                                <w:rPr>
                                  <w:rStyle w:val="InternetLink"/>
                                  <w:rFonts w:ascii="Arial;Helvetica;sans-serif" w:hAnsi="Arial;Helvetica;sans-serif"/>
                                  <w:color w:val="000000"/>
                                  <w:sz w:val="18"/>
                                </w:rPr>
                                <w:t>Information Security Risk Oversight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6">
                              <w:r>
                                <w:rPr>
                                  <w:rStyle w:val="InternetLink"/>
                                  <w:rFonts w:ascii="Arial;Helvetica;sans-serif" w:hAnsi="Arial;Helvetica;sans-serif"/>
                                  <w:color w:val="000000"/>
                                  <w:sz w:val="18"/>
                                </w:rPr>
                                <w:t>25</w:t>
                              </w:r>
                            </w:hyperlink>
                          </w:p>
                        </w:tc>
                      </w:tr>
                      <w:tr>
                        <w:trPr/>
                        <w:tc>
                          <w:tcPr>
                            <w:tcW w:w="9351" w:type="dxa"/>
                            <w:tcBorders/>
                            <w:vAlign w:val="center"/>
                          </w:tcPr>
                          <w:p>
                            <w:pPr>
                              <w:pStyle w:val="TableContents"/>
                              <w:bidi w:val="0"/>
                              <w:spacing w:before="0" w:after="283"/>
                              <w:ind w:left="320" w:right="0" w:hanging="0"/>
                              <w:jc w:val="left"/>
                              <w:rPr/>
                            </w:pPr>
                            <w:hyperlink w:anchor="tCGM8">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8">
                              <w:r>
                                <w:rPr>
                                  <w:rStyle w:val="InternetLink"/>
                                  <w:rFonts w:ascii="Arial;Helvetica;sans-serif" w:hAnsi="Arial;Helvetica;sans-serif"/>
                                  <w:color w:val="000000"/>
                                  <w:sz w:val="18"/>
                                </w:rPr>
                                <w:t>26</w:t>
                              </w:r>
                            </w:hyperlink>
                          </w:p>
                        </w:tc>
                      </w:tr>
                      <w:tr>
                        <w:trPr/>
                        <w:tc>
                          <w:tcPr>
                            <w:tcW w:w="9351" w:type="dxa"/>
                            <w:tcBorders/>
                            <w:vAlign w:val="center"/>
                          </w:tcPr>
                          <w:p>
                            <w:pPr>
                              <w:pStyle w:val="TableContents"/>
                              <w:bidi w:val="0"/>
                              <w:spacing w:before="0" w:after="283"/>
                              <w:ind w:left="320" w:right="0" w:hanging="0"/>
                              <w:jc w:val="left"/>
                              <w:rPr/>
                            </w:pPr>
                            <w:hyperlink w:anchor="tCGM9">
                              <w:r>
                                <w:rPr>
                                  <w:rStyle w:val="InternetLink"/>
                                  <w:rFonts w:ascii="Arial;Helvetica;sans-serif" w:hAnsi="Arial;Helvetica;sans-serif"/>
                                  <w:color w:val="000000"/>
                                  <w:sz w:val="18"/>
                                </w:rPr>
                                <w:t>Board Meetings and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9">
                              <w:r>
                                <w:rPr>
                                  <w:rStyle w:val="InternetLink"/>
                                  <w:rFonts w:ascii="Arial;Helvetica;sans-serif" w:hAnsi="Arial;Helvetica;sans-serif"/>
                                  <w:color w:val="000000"/>
                                  <w:sz w:val="18"/>
                                </w:rPr>
                                <w:t>26</w:t>
                              </w:r>
                            </w:hyperlink>
                          </w:p>
                        </w:tc>
                      </w:tr>
                      <w:tr>
                        <w:trPr/>
                        <w:tc>
                          <w:tcPr>
                            <w:tcW w:w="9351" w:type="dxa"/>
                            <w:tcBorders/>
                            <w:vAlign w:val="center"/>
                          </w:tcPr>
                          <w:p>
                            <w:pPr>
                              <w:pStyle w:val="TableContents"/>
                              <w:bidi w:val="0"/>
                              <w:spacing w:before="0" w:after="283"/>
                              <w:ind w:left="320" w:right="0" w:hanging="0"/>
                              <w:jc w:val="left"/>
                              <w:rPr/>
                            </w:pPr>
                            <w:hyperlink w:anchor="tCGM10">
                              <w:r>
                                <w:rPr>
                                  <w:rStyle w:val="InternetLink"/>
                                  <w:rFonts w:ascii="Arial;Helvetica;sans-serif" w:hAnsi="Arial;Helvetica;sans-serif"/>
                                  <w:color w:val="000000"/>
                                  <w:sz w:val="18"/>
                                </w:rPr>
                                <w:t>Attendance at Annual Meetings of Shareholders by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0">
                              <w:r>
                                <w:rPr>
                                  <w:rStyle w:val="InternetLink"/>
                                  <w:rFonts w:ascii="Arial;Helvetica;sans-serif" w:hAnsi="Arial;Helvetica;sans-serif"/>
                                  <w:color w:val="000000"/>
                                  <w:sz w:val="18"/>
                                </w:rPr>
                                <w:t>27</w:t>
                              </w:r>
                            </w:hyperlink>
                          </w:p>
                        </w:tc>
                      </w:tr>
                      <w:tr>
                        <w:trPr/>
                        <w:tc>
                          <w:tcPr>
                            <w:tcW w:w="9351" w:type="dxa"/>
                            <w:tcBorders/>
                            <w:vAlign w:val="center"/>
                          </w:tcPr>
                          <w:p>
                            <w:pPr>
                              <w:pStyle w:val="TableContents"/>
                              <w:bidi w:val="0"/>
                              <w:spacing w:before="0" w:after="283"/>
                              <w:ind w:left="320" w:right="0" w:hanging="0"/>
                              <w:jc w:val="left"/>
                              <w:rPr/>
                            </w:pPr>
                            <w:hyperlink w:anchor="tCTBOD">
                              <w:r>
                                <w:rPr>
                                  <w:rStyle w:val="InternetLink"/>
                                  <w:rFonts w:ascii="Arial;Helvetica;sans-serif" w:hAnsi="Arial;Helvetica;sans-serif"/>
                                  <w:color w:val="000000"/>
                                  <w:sz w:val="18"/>
                                </w:rPr>
                                <w:t>Contacting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TBOD">
                              <w:r>
                                <w:rPr>
                                  <w:rStyle w:val="InternetLink"/>
                                  <w:rFonts w:ascii="Arial;Helvetica;sans-serif" w:hAnsi="Arial;Helvetica;sans-serif"/>
                                  <w:color w:val="000000"/>
                                  <w:sz w:val="18"/>
                                </w:rPr>
                                <w:t>27</w:t>
                              </w:r>
                            </w:hyperlink>
                          </w:p>
                        </w:tc>
                      </w:tr>
                      <w:tr>
                        <w:trPr/>
                        <w:tc>
                          <w:tcPr>
                            <w:tcW w:w="9351" w:type="dxa"/>
                            <w:tcBorders/>
                            <w:vAlign w:val="center"/>
                          </w:tcPr>
                          <w:p>
                            <w:pPr>
                              <w:pStyle w:val="TableContents"/>
                              <w:bidi w:val="0"/>
                              <w:spacing w:before="0" w:after="283"/>
                              <w:ind w:left="320" w:right="0" w:hanging="0"/>
                              <w:jc w:val="left"/>
                              <w:rPr/>
                            </w:pPr>
                            <w:hyperlink w:anchor="tSOG">
                              <w:r>
                                <w:rPr>
                                  <w:rStyle w:val="InternetLink"/>
                                  <w:rFonts w:ascii="Arial;Helvetica;sans-serif" w:hAnsi="Arial;Helvetica;sans-serif"/>
                                  <w:color w:val="000000"/>
                                  <w:sz w:val="18"/>
                                </w:rPr>
                                <w:t>Share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SOG">
                              <w:r>
                                <w:rPr>
                                  <w:rStyle w:val="InternetLink"/>
                                  <w:rFonts w:ascii="Arial;Helvetica;sans-serif" w:hAnsi="Arial;Helvetica;sans-serif"/>
                                  <w:color w:val="000000"/>
                                  <w:sz w:val="18"/>
                                </w:rPr>
                                <w:t>28</w:t>
                              </w:r>
                            </w:hyperlink>
                          </w:p>
                        </w:tc>
                      </w:tr>
                      <w:tr>
                        <w:trPr/>
                        <w:tc>
                          <w:tcPr>
                            <w:tcW w:w="9351" w:type="dxa"/>
                            <w:tcBorders/>
                            <w:vAlign w:val="center"/>
                          </w:tcPr>
                          <w:p>
                            <w:pPr>
                              <w:pStyle w:val="TableContents"/>
                              <w:bidi w:val="0"/>
                              <w:spacing w:before="0" w:after="283"/>
                              <w:ind w:left="32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ITP">
                              <w:r>
                                <w:rPr>
                                  <w:rStyle w:val="InternetLink"/>
                                  <w:rFonts w:ascii="Arial;Helvetica;sans-serif" w:hAnsi="Arial;Helvetica;sans-serif"/>
                                  <w:color w:val="000000"/>
                                  <w:sz w:val="18"/>
                                </w:rPr>
                                <w:t>28</w:t>
                              </w:r>
                            </w:hyperlink>
                          </w:p>
                        </w:tc>
                      </w:tr>
                      <w:tr>
                        <w:trPr/>
                        <w:tc>
                          <w:tcPr>
                            <w:tcW w:w="9351" w:type="dxa"/>
                            <w:tcBorders/>
                            <w:vAlign w:val="center"/>
                          </w:tcPr>
                          <w:p>
                            <w:pPr>
                              <w:pStyle w:val="TableContents"/>
                              <w:bidi w:val="0"/>
                              <w:spacing w:before="0" w:after="283"/>
                              <w:ind w:left="320" w:right="0" w:hanging="0"/>
                              <w:jc w:val="left"/>
                              <w:rPr/>
                            </w:pPr>
                            <w:hyperlink w:anchor="tPTIO">
                              <w:r>
                                <w:rPr>
                                  <w:rStyle w:val="InternetLink"/>
                                  <w:rFonts w:ascii="Arial;Helvetica;sans-serif" w:hAnsi="Arial;Helvetica;sans-serif"/>
                                  <w:color w:val="000000"/>
                                  <w:sz w:val="18"/>
                                </w:rPr>
                                <w:t>Prohibited Transactions in Our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PTIO">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CGM13">
                              <w:r>
                                <w:rPr>
                                  <w:rStyle w:val="InternetLink"/>
                                  <w:rFonts w:ascii="Arial;Helvetica;sans-serif" w:hAnsi="Arial;Helvetica;sans-serif"/>
                                  <w:color w:val="000000"/>
                                  <w:sz w:val="18"/>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3">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DRNP">
                              <w:r>
                                <w:rPr>
                                  <w:rStyle w:val="InternetLink"/>
                                  <w:rFonts w:ascii="Arial;Helvetica;sans-serif" w:hAnsi="Arial;Helvetica;sans-serif"/>
                                  <w:color w:val="000000"/>
                                  <w:sz w:val="18"/>
                                </w:rPr>
                                <w:t>Director Re-Nomination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DRNP">
                              <w:r>
                                <w:rPr>
                                  <w:rStyle w:val="InternetLink"/>
                                  <w:rFonts w:ascii="Arial;Helvetica;sans-serif" w:hAnsi="Arial;Helvetica;sans-serif"/>
                                  <w:color w:val="000000"/>
                                  <w:sz w:val="18"/>
                                </w:rPr>
                                <w:t>29</w:t>
                              </w:r>
                            </w:hyperlink>
                          </w:p>
                        </w:tc>
                      </w:tr>
                      <w:tr>
                        <w:trPr/>
                        <w:tc>
                          <w:tcPr>
                            <w:tcW w:w="9351" w:type="dxa"/>
                            <w:tcBorders/>
                            <w:vAlign w:val="center"/>
                          </w:tcPr>
                          <w:p>
                            <w:pPr>
                              <w:pStyle w:val="TableContents"/>
                              <w:bidi w:val="0"/>
                              <w:spacing w:before="0" w:after="283"/>
                              <w:ind w:left="320" w:right="0" w:hanging="0"/>
                              <w:jc w:val="left"/>
                              <w:rPr/>
                            </w:pPr>
                            <w:hyperlink w:anchor="tCGM14">
                              <w:r>
                                <w:rPr>
                                  <w:rStyle w:val="InternetLink"/>
                                  <w:rFonts w:ascii="Arial;Helvetica;sans-serif" w:hAnsi="Arial;Helvetica;sans-serif"/>
                                  <w:color w:val="000000"/>
                                  <w:sz w:val="18"/>
                                </w:rPr>
                                <w:t>Process for Recommending Candidates for Election to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CGM14">
                              <w:r>
                                <w:rPr>
                                  <w:rStyle w:val="InternetLink"/>
                                  <w:rFonts w:ascii="Arial;Helvetica;sans-serif" w:hAnsi="Arial;Helvetica;sans-serif"/>
                                  <w:color w:val="000000"/>
                                  <w:sz w:val="18"/>
                                </w:rPr>
                                <w:t>30</w:t>
                              </w:r>
                            </w:hyperlink>
                          </w:p>
                        </w:tc>
                      </w:tr>
                      <w:tr>
                        <w:trPr/>
                        <w:tc>
                          <w:tcPr>
                            <w:tcW w:w="9351"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SA">
                              <w:r>
                                <w:rPr>
                                  <w:rStyle w:val="InternetLink"/>
                                  <w:rFonts w:ascii="Arial;Helvetica;sans-serif" w:hAnsi="Arial;Helvetica;sans-serif"/>
                                  <w:b/>
                                  <w:color w:val="578255"/>
                                  <w:sz w:val="24"/>
                                </w:rPr>
                                <w:t>ENVIRONMENTAL, SOCIAL AND GOVERNANCE (ESG) PRACTICES AND POLICIES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4"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SA">
                              <w:r>
                                <w:rPr>
                                  <w:rStyle w:val="InternetLink"/>
                                  <w:rFonts w:ascii="Arial;Helvetica;sans-serif" w:hAnsi="Arial;Helvetica;sans-serif"/>
                                  <w:b/>
                                  <w:color w:val="578255"/>
                                  <w:sz w:val="20"/>
                                </w:rPr>
                                <w:t>31</w:t>
                              </w:r>
                            </w:hyperlink>
                          </w:p>
                        </w:tc>
                      </w:tr>
                      <w:tr>
                        <w:trPr/>
                        <w:tc>
                          <w:tcPr>
                            <w:tcW w:w="9351" w:type="dxa"/>
                            <w:tcBorders/>
                            <w:vAlign w:val="center"/>
                          </w:tcPr>
                          <w:p>
                            <w:pPr>
                              <w:pStyle w:val="TableContents"/>
                              <w:bidi w:val="0"/>
                              <w:spacing w:before="0" w:after="283"/>
                              <w:ind w:left="320" w:right="0" w:hanging="0"/>
                              <w:jc w:val="left"/>
                              <w:rPr/>
                            </w:pPr>
                            <w:hyperlink w:anchor="tOVER">
                              <w:r>
                                <w:rPr>
                                  <w:rStyle w:val="InternetLink"/>
                                  <w:rFonts w:ascii="Arial;Helvetica;sans-serif" w:hAnsi="Arial;Helvetica;sans-serif"/>
                                  <w:color w:val="000000"/>
                                  <w:sz w:val="18"/>
                                </w:rPr>
                                <w:t>Overview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OVER">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ENV">
                              <w:r>
                                <w:rPr>
                                  <w:rStyle w:val="InternetLink"/>
                                  <w:rFonts w:ascii="Arial;Helvetica;sans-serif" w:hAnsi="Arial;Helvetica;sans-serif"/>
                                  <w:color w:val="000000"/>
                                  <w:sz w:val="18"/>
                                </w:rPr>
                                <w:t>Environmental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ENV">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SOC">
                              <w:r>
                                <w:rPr>
                                  <w:rStyle w:val="InternetLink"/>
                                  <w:rFonts w:ascii="Arial;Helvetica;sans-serif" w:hAnsi="Arial;Helvetica;sans-serif"/>
                                  <w:color w:val="000000"/>
                                  <w:sz w:val="18"/>
                                </w:rPr>
                                <w:t>Social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SOC">
                              <w:r>
                                <w:rPr>
                                  <w:rStyle w:val="InternetLink"/>
                                  <w:rFonts w:ascii="Arial;Helvetica;sans-serif" w:hAnsi="Arial;Helvetica;sans-serif"/>
                                  <w:color w:val="000000"/>
                                  <w:sz w:val="18"/>
                                </w:rPr>
                                <w:t>31</w:t>
                              </w:r>
                            </w:hyperlink>
                          </w:p>
                        </w:tc>
                      </w:tr>
                      <w:tr>
                        <w:trPr/>
                        <w:tc>
                          <w:tcPr>
                            <w:tcW w:w="9351" w:type="dxa"/>
                            <w:tcBorders/>
                            <w:vAlign w:val="center"/>
                          </w:tcPr>
                          <w:p>
                            <w:pPr>
                              <w:pStyle w:val="TableContents"/>
                              <w:bidi w:val="0"/>
                              <w:spacing w:before="0" w:after="283"/>
                              <w:ind w:left="320" w:right="0" w:hanging="0"/>
                              <w:jc w:val="left"/>
                              <w:rPr/>
                            </w:pPr>
                            <w:hyperlink w:anchor="tGOV">
                              <w:r>
                                <w:rPr>
                                  <w:rStyle w:val="InternetLink"/>
                                  <w:rFonts w:ascii="Arial;Helvetica;sans-serif" w:hAnsi="Arial;Helvetica;sans-serif"/>
                                  <w:color w:val="000000"/>
                                  <w:sz w:val="18"/>
                                </w:rPr>
                                <w:t>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4" w:type="dxa"/>
                            <w:tcBorders/>
                            <w:vAlign w:val="center"/>
                          </w:tcPr>
                          <w:p>
                            <w:pPr>
                              <w:pStyle w:val="TableContents"/>
                              <w:bidi w:val="0"/>
                              <w:spacing w:before="0" w:after="283"/>
                              <w:ind w:left="318" w:right="0" w:hanging="0"/>
                              <w:jc w:val="left"/>
                              <w:rPr/>
                            </w:pPr>
                            <w:hyperlink w:anchor="tGOV">
                              <w:r>
                                <w:rPr>
                                  <w:rStyle w:val="InternetLink"/>
                                  <w:rFonts w:ascii="Arial;Helvetica;sans-serif" w:hAnsi="Arial;Helvetica;sans-serif"/>
                                  <w:color w:val="000000"/>
                                  <w:sz w:val="18"/>
                                </w:rPr>
                                <w:t>32</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1" w:name="ny20081940x1_def14a_103-toc_pg2"/>
        <w:bookmarkEnd w:id="11"/>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24200" cy="9972040"/>
                <wp:effectExtent l="0" t="0" r="0" b="0"/>
                <wp:wrapSquare wrapText="right"/>
                <wp:docPr id="5" name="Frame3"/>
                <a:graphic xmlns:a="http://schemas.openxmlformats.org/drawingml/2006/main">
                  <a:graphicData uri="http://schemas.microsoft.com/office/word/2010/wordprocessingShape">
                    <wps:wsp>
                      <wps:cNvSpPr txBox="1"/>
                      <wps:spPr>
                        <a:xfrm>
                          <a:off x="0" y="0"/>
                          <a:ext cx="31242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365"/>
                              <w:gridCol w:w="170"/>
                              <w:gridCol w:w="170"/>
                              <w:gridCol w:w="500"/>
                            </w:tblGrid>
                            <w:tr>
                              <w:trPr/>
                              <w:tc>
                                <w:tcPr>
                                  <w:tcW w:w="9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2">
                                    <w:r>
                                      <w:rPr>
                                        <w:rStyle w:val="InternetLink"/>
                                        <w:rFonts w:ascii="Arial;Helvetica;sans-serif" w:hAnsi="Arial;Helvetica;sans-serif"/>
                                        <w:b/>
                                        <w:color w:val="578255"/>
                                        <w:sz w:val="24"/>
                                      </w:rPr>
                                      <w:t>PROPOSAL TWO: RATIFICATION OF APPOINTMENT OF INDEPENDENT REGISTERED PUBLIC ACCOUNTING FIRM</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2">
                                    <w:r>
                                      <w:rPr>
                                        <w:rStyle w:val="InternetLink"/>
                                        <w:rFonts w:ascii="Arial;Helvetica;sans-serif" w:hAnsi="Arial;Helvetica;sans-serif"/>
                                        <w:b/>
                                        <w:color w:val="578255"/>
                                        <w:sz w:val="20"/>
                                      </w:rPr>
                                      <w:t>34</w:t>
                                    </w:r>
                                  </w:hyperlink>
                                </w:p>
                              </w:tc>
                            </w:tr>
                            <w:tr>
                              <w:trPr/>
                              <w:tc>
                                <w:tcPr>
                                  <w:tcW w:w="9365" w:type="dxa"/>
                                  <w:tcBorders/>
                                  <w:vAlign w:val="center"/>
                                </w:tcPr>
                                <w:p>
                                  <w:pPr>
                                    <w:pStyle w:val="TableContents"/>
                                    <w:bidi w:val="0"/>
                                    <w:spacing w:before="0" w:after="283"/>
                                    <w:ind w:left="320" w:right="0" w:hanging="0"/>
                                    <w:jc w:val="left"/>
                                    <w:rPr/>
                                  </w:pPr>
                                  <w:hyperlink w:anchor="tPROP2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1">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2">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3">
                                    <w:r>
                                      <w:rPr>
                                        <w:rStyle w:val="InternetLink"/>
                                        <w:rFonts w:ascii="Arial;Helvetica;sans-serif" w:hAnsi="Arial;Helvetica;sans-serif"/>
                                        <w:color w:val="000000"/>
                                        <w:sz w:val="18"/>
                                      </w:rPr>
                                      <w:t>Accounting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3">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3a">
                                    <w:r>
                                      <w:rPr>
                                        <w:rStyle w:val="InternetLink"/>
                                        <w:rFonts w:ascii="Arial;Helvetica;sans-serif" w:hAnsi="Arial;Helvetica;sans-serif"/>
                                        <w:color w:val="000000"/>
                                        <w:sz w:val="18"/>
                                      </w:rPr>
                                      <w:t>Auditor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3a">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4">
                                    <w:r>
                                      <w:rPr>
                                        <w:rStyle w:val="InternetLink"/>
                                        <w:rFonts w:ascii="Arial;Helvetica;sans-serif" w:hAnsi="Arial;Helvetica;sans-serif"/>
                                        <w:color w:val="000000"/>
                                        <w:sz w:val="18"/>
                                      </w:rPr>
                                      <w:t>Pre-Approval of Audit and Non-Audit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4">
                                    <w:r>
                                      <w:rPr>
                                        <w:rStyle w:val="InternetLink"/>
                                        <w:rFonts w:ascii="Arial;Helvetica;sans-serif" w:hAnsi="Arial;Helvetica;sans-serif"/>
                                        <w:color w:val="000000"/>
                                        <w:sz w:val="18"/>
                                      </w:rPr>
                                      <w:t>34</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3">
                                    <w:r>
                                      <w:rPr>
                                        <w:rStyle w:val="InternetLink"/>
                                        <w:rFonts w:ascii="Arial;Helvetica;sans-serif" w:hAnsi="Arial;Helvetica;sans-serif"/>
                                        <w:b/>
                                        <w:color w:val="578255"/>
                                        <w:sz w:val="24"/>
                                      </w:rPr>
                                      <w:t>PROPOSAL THREE: ADVISORY VOTE TO APPROVE COMPENSATION OF NAMED 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3">
                                    <w:r>
                                      <w:rPr>
                                        <w:rStyle w:val="InternetLink"/>
                                        <w:rFonts w:ascii="Arial;Helvetica;sans-serif" w:hAnsi="Arial;Helvetica;sans-serif"/>
                                        <w:b/>
                                        <w:color w:val="578255"/>
                                        <w:sz w:val="20"/>
                                      </w:rPr>
                                      <w:t>35</w:t>
                                    </w:r>
                                  </w:hyperlink>
                                </w:p>
                              </w:tc>
                            </w:tr>
                            <w:tr>
                              <w:trPr/>
                              <w:tc>
                                <w:tcPr>
                                  <w:tcW w:w="9365" w:type="dxa"/>
                                  <w:tcBorders/>
                                  <w:vAlign w:val="center"/>
                                </w:tcPr>
                                <w:p>
                                  <w:pPr>
                                    <w:pStyle w:val="TableContents"/>
                                    <w:bidi w:val="0"/>
                                    <w:spacing w:before="0" w:after="283"/>
                                    <w:ind w:left="320" w:right="0" w:hanging="0"/>
                                    <w:jc w:val="left"/>
                                    <w:rPr/>
                                  </w:pPr>
                                  <w:hyperlink w:anchor="tPROP3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31">
                                    <w:r>
                                      <w:rPr>
                                        <w:rStyle w:val="InternetLink"/>
                                        <w:rFonts w:ascii="Arial;Helvetica;sans-serif" w:hAnsi="Arial;Helvetica;sans-serif"/>
                                        <w:color w:val="000000"/>
                                        <w:sz w:val="18"/>
                                      </w:rPr>
                                      <w:t>35</w:t>
                                    </w:r>
                                  </w:hyperlink>
                                </w:p>
                              </w:tc>
                            </w:tr>
                            <w:tr>
                              <w:trPr/>
                              <w:tc>
                                <w:tcPr>
                                  <w:tcW w:w="9365" w:type="dxa"/>
                                  <w:tcBorders/>
                                  <w:vAlign w:val="center"/>
                                </w:tcPr>
                                <w:p>
                                  <w:pPr>
                                    <w:pStyle w:val="TableContents"/>
                                    <w:bidi w:val="0"/>
                                    <w:spacing w:before="0" w:after="283"/>
                                    <w:ind w:left="320" w:right="0" w:hanging="0"/>
                                    <w:jc w:val="left"/>
                                    <w:rPr/>
                                  </w:pPr>
                                  <w:hyperlink w:anchor="tPROP3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32">
                                    <w:r>
                                      <w:rPr>
                                        <w:rStyle w:val="InternetLink"/>
                                        <w:rFonts w:ascii="Arial;Helvetica;sans-serif" w:hAnsi="Arial;Helvetica;sans-serif"/>
                                        <w:color w:val="000000"/>
                                        <w:sz w:val="18"/>
                                      </w:rPr>
                                      <w:t>35</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ACR">
                                    <w:r>
                                      <w:rPr>
                                        <w:rStyle w:val="InternetLink"/>
                                        <w:rFonts w:ascii="Arial;Helvetica;sans-serif" w:hAnsi="Arial;Helvetica;sans-serif"/>
                                        <w:b/>
                                        <w:color w:val="578255"/>
                                        <w:sz w:val="24"/>
                                      </w:rPr>
                                      <w:t>AUDIT COMMITTEE REPORT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ACR">
                                    <w:r>
                                      <w:rPr>
                                        <w:rStyle w:val="InternetLink"/>
                                        <w:rFonts w:ascii="Arial;Helvetica;sans-serif" w:hAnsi="Arial;Helvetica;sans-serif"/>
                                        <w:b/>
                                        <w:color w:val="578255"/>
                                        <w:sz w:val="20"/>
                                      </w:rPr>
                                      <w:t>36</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O">
                                    <w:r>
                                      <w:rPr>
                                        <w:rStyle w:val="InternetLink"/>
                                        <w:rFonts w:ascii="Arial;Helvetica;sans-serif" w:hAnsi="Arial;Helvetica;sans-serif"/>
                                        <w:b/>
                                        <w:color w:val="578255"/>
                                        <w:sz w:val="24"/>
                                      </w:rPr>
                                      <w:t>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O">
                                    <w:r>
                                      <w:rPr>
                                        <w:rStyle w:val="InternetLink"/>
                                        <w:rFonts w:ascii="Arial;Helvetica;sans-serif" w:hAnsi="Arial;Helvetica;sans-serif"/>
                                        <w:b/>
                                        <w:color w:val="578255"/>
                                        <w:sz w:val="20"/>
                                      </w:rPr>
                                      <w:t>37</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
                                    <w:r>
                                      <w:rPr>
                                        <w:rStyle w:val="InternetLink"/>
                                        <w:rFonts w:ascii="Arial;Helvetica;sans-serif" w:hAnsi="Arial;Helvetica;sans-serif"/>
                                        <w:b/>
                                        <w:color w:val="578255"/>
                                        <w:sz w:val="24"/>
                                      </w:rPr>
                                      <w:t>EXECUTIVE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C">
                                    <w:r>
                                      <w:rPr>
                                        <w:rStyle w:val="InternetLink"/>
                                        <w:rFonts w:ascii="Arial;Helvetica;sans-serif" w:hAnsi="Arial;Helvetica;sans-serif"/>
                                        <w:b/>
                                        <w:color w:val="578255"/>
                                        <w:sz w:val="20"/>
                                      </w:rPr>
                                      <w:t>38</w:t>
                                    </w:r>
                                  </w:hyperlink>
                                </w:p>
                              </w:tc>
                            </w:tr>
                            <w:tr>
                              <w:trPr/>
                              <w:tc>
                                <w:tcPr>
                                  <w:tcW w:w="9365" w:type="dxa"/>
                                  <w:tcBorders/>
                                  <w:vAlign w:val="center"/>
                                </w:tcPr>
                                <w:p>
                                  <w:pPr>
                                    <w:pStyle w:val="TableContents"/>
                                    <w:bidi w:val="0"/>
                                    <w:spacing w:before="0" w:after="283"/>
                                    <w:ind w:left="320" w:right="0" w:hanging="0"/>
                                    <w:jc w:val="left"/>
                                    <w:rPr/>
                                  </w:pPr>
                                  <w:hyperlink w:anchor="tEC1">
                                    <w:r>
                                      <w:rPr>
                                        <w:rStyle w:val="InternetLink"/>
                                        <w:rFonts w:ascii="Arial;Helvetica;sans-serif" w:hAnsi="Arial;Helvetica;sans-serif"/>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1">
                                    <w:r>
                                      <w:rPr>
                                        <w:rStyle w:val="InternetLink"/>
                                        <w:rFonts w:ascii="Arial;Helvetica;sans-serif" w:hAnsi="Arial;Helvetica;sans-serif"/>
                                        <w:color w:val="000000"/>
                                        <w:sz w:val="18"/>
                                      </w:rPr>
                                      <w:t>38</w:t>
                                    </w:r>
                                  </w:hyperlink>
                                </w:p>
                              </w:tc>
                            </w:tr>
                            <w:tr>
                              <w:trPr/>
                              <w:tc>
                                <w:tcPr>
                                  <w:tcW w:w="9365" w:type="dxa"/>
                                  <w:tcBorders/>
                                  <w:vAlign w:val="center"/>
                                </w:tcPr>
                                <w:p>
                                  <w:pPr>
                                    <w:pStyle w:val="TableContents"/>
                                    <w:bidi w:val="0"/>
                                    <w:spacing w:before="0" w:after="283"/>
                                    <w:ind w:left="320" w:right="0" w:hanging="0"/>
                                    <w:jc w:val="left"/>
                                    <w:rPr/>
                                  </w:pPr>
                                  <w:hyperlink w:anchor="tEC2">
                                    <w:r>
                                      <w:rPr>
                                        <w:rStyle w:val="InternetLink"/>
                                        <w:rFonts w:ascii="Arial;Helvetica;sans-serif" w:hAnsi="Arial;Helvetica;sans-serif"/>
                                        <w:color w:val="000000"/>
                                        <w:sz w:val="18"/>
                                      </w:rPr>
                                      <w:t>Compensation and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2">
                                    <w:r>
                                      <w:rPr>
                                        <w:rStyle w:val="InternetLink"/>
                                        <w:rFonts w:ascii="Arial;Helvetica;sans-serif" w:hAnsi="Arial;Helvetica;sans-serif"/>
                                        <w:color w:val="000000"/>
                                        <w:sz w:val="18"/>
                                      </w:rPr>
                                      <w:t>49</w:t>
                                    </w:r>
                                  </w:hyperlink>
                                </w:p>
                              </w:tc>
                            </w:tr>
                            <w:tr>
                              <w:trPr/>
                              <w:tc>
                                <w:tcPr>
                                  <w:tcW w:w="9365" w:type="dxa"/>
                                  <w:tcBorders/>
                                  <w:vAlign w:val="center"/>
                                </w:tcPr>
                                <w:p>
                                  <w:pPr>
                                    <w:pStyle w:val="TableContents"/>
                                    <w:bidi w:val="0"/>
                                    <w:spacing w:before="0" w:after="283"/>
                                    <w:ind w:left="320" w:right="0" w:hanging="0"/>
                                    <w:jc w:val="left"/>
                                    <w:rPr/>
                                  </w:pPr>
                                  <w:hyperlink w:anchor="tEC3">
                                    <w:r>
                                      <w:rPr>
                                        <w:rStyle w:val="InternetLink"/>
                                        <w:rFonts w:ascii="Arial;Helvetica;sans-serif" w:hAnsi="Arial;Helvetica;sans-serif"/>
                                        <w:color w:val="000000"/>
                                        <w:sz w:val="18"/>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3">
                                    <w:r>
                                      <w:rPr>
                                        <w:rStyle w:val="InternetLink"/>
                                        <w:rFonts w:ascii="Arial;Helvetica;sans-serif" w:hAnsi="Arial;Helvetica;sans-serif"/>
                                        <w:color w:val="000000"/>
                                        <w:sz w:val="18"/>
                                      </w:rPr>
                                      <w:t>49</w:t>
                                    </w:r>
                                  </w:hyperlink>
                                </w:p>
                              </w:tc>
                            </w:tr>
                            <w:tr>
                              <w:trPr/>
                              <w:tc>
                                <w:tcPr>
                                  <w:tcW w:w="9365" w:type="dxa"/>
                                  <w:tcBorders/>
                                  <w:vAlign w:val="center"/>
                                </w:tcPr>
                                <w:p>
                                  <w:pPr>
                                    <w:pStyle w:val="TableContents"/>
                                    <w:bidi w:val="0"/>
                                    <w:spacing w:before="0" w:after="283"/>
                                    <w:ind w:left="320" w:right="0" w:hanging="0"/>
                                    <w:jc w:val="left"/>
                                    <w:rPr/>
                                  </w:pPr>
                                  <w:hyperlink w:anchor="tEC4">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4">
                                    <w:r>
                                      <w:rPr>
                                        <w:rStyle w:val="InternetLink"/>
                                        <w:rFonts w:ascii="Arial;Helvetica;sans-serif" w:hAnsi="Arial;Helvetica;sans-serif"/>
                                        <w:color w:val="000000"/>
                                        <w:sz w:val="18"/>
                                      </w:rPr>
                                      <w:t>50</w:t>
                                    </w:r>
                                  </w:hyperlink>
                                </w:p>
                              </w:tc>
                            </w:tr>
                            <w:tr>
                              <w:trPr/>
                              <w:tc>
                                <w:tcPr>
                                  <w:tcW w:w="9365" w:type="dxa"/>
                                  <w:tcBorders/>
                                  <w:vAlign w:val="center"/>
                                </w:tcPr>
                                <w:p>
                                  <w:pPr>
                                    <w:pStyle w:val="TableContents"/>
                                    <w:bidi w:val="0"/>
                                    <w:spacing w:before="0" w:after="283"/>
                                    <w:ind w:left="320" w:right="0" w:hanging="0"/>
                                    <w:jc w:val="left"/>
                                    <w:rPr/>
                                  </w:pPr>
                                  <w:hyperlink w:anchor="tEC5">
                                    <w:r>
                                      <w:rPr>
                                        <w:rStyle w:val="InternetLink"/>
                                        <w:rFonts w:ascii="Arial;Helvetica;sans-serif" w:hAnsi="Arial;Helvetica;sans-serif"/>
                                        <w:color w:val="000000"/>
                                        <w:sz w:val="18"/>
                                      </w:rPr>
                                      <w:t>Grants of Plan-Based Awards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5">
                                    <w:r>
                                      <w:rPr>
                                        <w:rStyle w:val="InternetLink"/>
                                        <w:rFonts w:ascii="Arial;Helvetica;sans-serif" w:hAnsi="Arial;Helvetica;sans-serif"/>
                                        <w:color w:val="000000"/>
                                        <w:sz w:val="18"/>
                                      </w:rPr>
                                      <w:t>52</w:t>
                                    </w:r>
                                  </w:hyperlink>
                                </w:p>
                              </w:tc>
                            </w:tr>
                            <w:tr>
                              <w:trPr/>
                              <w:tc>
                                <w:tcPr>
                                  <w:tcW w:w="9365" w:type="dxa"/>
                                  <w:tcBorders/>
                                  <w:vAlign w:val="center"/>
                                </w:tcPr>
                                <w:p>
                                  <w:pPr>
                                    <w:pStyle w:val="TableContents"/>
                                    <w:bidi w:val="0"/>
                                    <w:spacing w:before="0" w:after="283"/>
                                    <w:ind w:left="320" w:right="0" w:hanging="0"/>
                                    <w:jc w:val="left"/>
                                    <w:rPr/>
                                  </w:pPr>
                                  <w:hyperlink w:anchor="tEC6">
                                    <w:r>
                                      <w:rPr>
                                        <w:rStyle w:val="InternetLink"/>
                                        <w:rFonts w:ascii="Arial;Helvetica;sans-serif" w:hAnsi="Arial;Helvetica;sans-serif"/>
                                        <w:color w:val="000000"/>
                                        <w:sz w:val="18"/>
                                      </w:rPr>
                                      <w:t>Outstanding Equity Awards at Fiscal 2026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6">
                                    <w:r>
                                      <w:rPr>
                                        <w:rStyle w:val="InternetLink"/>
                                        <w:rFonts w:ascii="Arial;Helvetica;sans-serif" w:hAnsi="Arial;Helvetica;sans-serif"/>
                                        <w:color w:val="000000"/>
                                        <w:sz w:val="18"/>
                                      </w:rPr>
                                      <w:t>53</w:t>
                                    </w:r>
                                  </w:hyperlink>
                                </w:p>
                              </w:tc>
                            </w:tr>
                            <w:tr>
                              <w:trPr/>
                              <w:tc>
                                <w:tcPr>
                                  <w:tcW w:w="9365" w:type="dxa"/>
                                  <w:tcBorders/>
                                  <w:vAlign w:val="center"/>
                                </w:tcPr>
                                <w:p>
                                  <w:pPr>
                                    <w:pStyle w:val="TableContents"/>
                                    <w:bidi w:val="0"/>
                                    <w:spacing w:before="0" w:after="283"/>
                                    <w:ind w:left="320" w:right="0" w:hanging="0"/>
                                    <w:jc w:val="left"/>
                                    <w:rPr/>
                                  </w:pPr>
                                  <w:hyperlink w:anchor="tEC7">
                                    <w:r>
                                      <w:rPr>
                                        <w:rStyle w:val="InternetLink"/>
                                        <w:rFonts w:ascii="Arial;Helvetica;sans-serif" w:hAnsi="Arial;Helvetica;sans-serif"/>
                                        <w:color w:val="000000"/>
                                        <w:sz w:val="18"/>
                                      </w:rPr>
                                      <w:t>Option Exercises and Shares Vested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7">
                                    <w:r>
                                      <w:rPr>
                                        <w:rStyle w:val="InternetLink"/>
                                        <w:rFonts w:ascii="Arial;Helvetica;sans-serif" w:hAnsi="Arial;Helvetica;sans-serif"/>
                                        <w:color w:val="000000"/>
                                        <w:sz w:val="18"/>
                                      </w:rPr>
                                      <w:t>54</w:t>
                                    </w:r>
                                  </w:hyperlink>
                                </w:p>
                              </w:tc>
                            </w:tr>
                            <w:tr>
                              <w:trPr/>
                              <w:tc>
                                <w:tcPr>
                                  <w:tcW w:w="9365" w:type="dxa"/>
                                  <w:tcBorders/>
                                  <w:vAlign w:val="center"/>
                                </w:tcPr>
                                <w:p>
                                  <w:pPr>
                                    <w:pStyle w:val="TableContents"/>
                                    <w:bidi w:val="0"/>
                                    <w:spacing w:before="0" w:after="283"/>
                                    <w:ind w:left="320" w:right="0" w:hanging="0"/>
                                    <w:jc w:val="left"/>
                                    <w:rPr/>
                                  </w:pPr>
                                  <w:hyperlink w:anchor="tEC8">
                                    <w:r>
                                      <w:rPr>
                                        <w:rStyle w:val="InternetLink"/>
                                        <w:rFonts w:ascii="Arial;Helvetica;sans-serif" w:hAnsi="Arial;Helvetica;sans-serif"/>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8">
                                    <w:r>
                                      <w:rPr>
                                        <w:rStyle w:val="InternetLink"/>
                                        <w:rFonts w:ascii="Arial;Helvetica;sans-serif" w:hAnsi="Arial;Helvetica;sans-serif"/>
                                        <w:color w:val="000000"/>
                                        <w:sz w:val="18"/>
                                      </w:rPr>
                                      <w:t>55</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MAT">
                                    <w:r>
                                      <w:rPr>
                                        <w:rStyle w:val="InternetLink"/>
                                        <w:rFonts w:ascii="Arial;Helvetica;sans-serif" w:hAnsi="Arial;Helvetica;sans-serif"/>
                                        <w:b/>
                                        <w:color w:val="578255"/>
                                        <w:sz w:val="24"/>
                                      </w:rPr>
                                      <w:t>ADDITIONAL COMPENSATION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MAT">
                                    <w:r>
                                      <w:rPr>
                                        <w:rStyle w:val="InternetLink"/>
                                        <w:rFonts w:ascii="Arial;Helvetica;sans-serif" w:hAnsi="Arial;Helvetica;sans-serif"/>
                                        <w:b/>
                                        <w:color w:val="578255"/>
                                        <w:sz w:val="20"/>
                                      </w:rPr>
                                      <w:t>62</w:t>
                                    </w:r>
                                  </w:hyperlink>
                                </w:p>
                              </w:tc>
                            </w:tr>
                            <w:tr>
                              <w:trPr/>
                              <w:tc>
                                <w:tcPr>
                                  <w:tcW w:w="9365" w:type="dxa"/>
                                  <w:tcBorders/>
                                  <w:vAlign w:val="center"/>
                                </w:tcPr>
                                <w:p>
                                  <w:pPr>
                                    <w:pStyle w:val="TableContents"/>
                                    <w:bidi w:val="0"/>
                                    <w:spacing w:before="0" w:after="283"/>
                                    <w:ind w:left="320" w:right="0" w:hanging="0"/>
                                    <w:jc w:val="left"/>
                                    <w:rPr/>
                                  </w:pPr>
                                  <w:hyperlink w:anchor="tCEO">
                                    <w:r>
                                      <w:rPr>
                                        <w:rStyle w:val="InternetLink"/>
                                        <w:rFonts w:ascii="Arial;Helvetica;sans-serif" w:hAnsi="Arial;Helvetica;sans-serif"/>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CEO">
                                    <w:r>
                                      <w:rPr>
                                        <w:rStyle w:val="InternetLink"/>
                                        <w:rFonts w:ascii="Arial;Helvetica;sans-serif" w:hAnsi="Arial;Helvetica;sans-serif"/>
                                        <w:color w:val="000000"/>
                                        <w:sz w:val="18"/>
                                      </w:rPr>
                                      <w:t>62</w:t>
                                    </w:r>
                                  </w:hyperlink>
                                </w:p>
                              </w:tc>
                            </w:tr>
                            <w:tr>
                              <w:trPr/>
                              <w:tc>
                                <w:tcPr>
                                  <w:tcW w:w="9365" w:type="dxa"/>
                                  <w:tcBorders/>
                                  <w:vAlign w:val="center"/>
                                </w:tcPr>
                                <w:p>
                                  <w:pPr>
                                    <w:pStyle w:val="TableContents"/>
                                    <w:bidi w:val="0"/>
                                    <w:spacing w:before="0" w:after="283"/>
                                    <w:ind w:left="320" w:right="0" w:hanging="0"/>
                                    <w:jc w:val="left"/>
                                    <w:rPr/>
                                  </w:pPr>
                                  <w:hyperlink w:anchor="tPVP">
                                    <w:r>
                                      <w:rPr>
                                        <w:rStyle w:val="InternetLink"/>
                                        <w:rFonts w:ascii="Arial;Helvetica;sans-serif" w:hAnsi="Arial;Helvetica;sans-serif"/>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VP">
                                    <w:r>
                                      <w:rPr>
                                        <w:rStyle w:val="InternetLink"/>
                                        <w:rFonts w:ascii="Arial;Helvetica;sans-serif" w:hAnsi="Arial;Helvetica;sans-serif"/>
                                        <w:color w:val="000000"/>
                                        <w:sz w:val="18"/>
                                      </w:rPr>
                                      <w:t>62</w:t>
                                    </w:r>
                                  </w:hyperlink>
                                </w:p>
                              </w:tc>
                            </w:tr>
                            <w:tr>
                              <w:trPr/>
                              <w:tc>
                                <w:tcPr>
                                  <w:tcW w:w="9365" w:type="dxa"/>
                                  <w:tcBorders/>
                                  <w:vAlign w:val="center"/>
                                </w:tcPr>
                                <w:p>
                                  <w:pPr>
                                    <w:pStyle w:val="TableContents"/>
                                    <w:bidi w:val="0"/>
                                    <w:spacing w:before="0" w:after="283"/>
                                    <w:ind w:left="320" w:right="0" w:hanging="0"/>
                                    <w:jc w:val="left"/>
                                    <w:rPr/>
                                  </w:pPr>
                                  <w:hyperlink w:anchor="tPPR">
                                    <w:r>
                                      <w:rPr>
                                        <w:rStyle w:val="InternetLink"/>
                                        <w:rFonts w:ascii="Arial;Helvetica;sans-serif" w:hAnsi="Arial;Helvetica;sans-serif"/>
                                        <w:color w:val="000000"/>
                                        <w:sz w:val="18"/>
                                      </w:rPr>
                                      <w:t>Policies and Practices Related to the Grant of Certain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PR">
                                    <w:r>
                                      <w:rPr>
                                        <w:rStyle w:val="InternetLink"/>
                                        <w:rFonts w:ascii="Arial;Helvetica;sans-serif" w:hAnsi="Arial;Helvetica;sans-serif"/>
                                        <w:color w:val="000000"/>
                                        <w:sz w:val="18"/>
                                      </w:rPr>
                                      <w:t>66</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365"/>
                        <w:gridCol w:w="170"/>
                        <w:gridCol w:w="170"/>
                        <w:gridCol w:w="500"/>
                      </w:tblGrid>
                      <w:tr>
                        <w:trPr/>
                        <w:tc>
                          <w:tcPr>
                            <w:tcW w:w="9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2">
                              <w:r>
                                <w:rPr>
                                  <w:rStyle w:val="InternetLink"/>
                                  <w:rFonts w:ascii="Arial;Helvetica;sans-serif" w:hAnsi="Arial;Helvetica;sans-serif"/>
                                  <w:b/>
                                  <w:color w:val="578255"/>
                                  <w:sz w:val="24"/>
                                </w:rPr>
                                <w:t>PROPOSAL TWO: RATIFICATION OF APPOINTMENT OF INDEPENDENT REGISTERED PUBLIC ACCOUNTING FIRM</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2">
                              <w:r>
                                <w:rPr>
                                  <w:rStyle w:val="InternetLink"/>
                                  <w:rFonts w:ascii="Arial;Helvetica;sans-serif" w:hAnsi="Arial;Helvetica;sans-serif"/>
                                  <w:b/>
                                  <w:color w:val="578255"/>
                                  <w:sz w:val="20"/>
                                </w:rPr>
                                <w:t>34</w:t>
                              </w:r>
                            </w:hyperlink>
                          </w:p>
                        </w:tc>
                      </w:tr>
                      <w:tr>
                        <w:trPr/>
                        <w:tc>
                          <w:tcPr>
                            <w:tcW w:w="9365" w:type="dxa"/>
                            <w:tcBorders/>
                            <w:vAlign w:val="center"/>
                          </w:tcPr>
                          <w:p>
                            <w:pPr>
                              <w:pStyle w:val="TableContents"/>
                              <w:bidi w:val="0"/>
                              <w:spacing w:before="0" w:after="283"/>
                              <w:ind w:left="320" w:right="0" w:hanging="0"/>
                              <w:jc w:val="left"/>
                              <w:rPr/>
                            </w:pPr>
                            <w:hyperlink w:anchor="tPROP2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1">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2">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3">
                              <w:r>
                                <w:rPr>
                                  <w:rStyle w:val="InternetLink"/>
                                  <w:rFonts w:ascii="Arial;Helvetica;sans-serif" w:hAnsi="Arial;Helvetica;sans-serif"/>
                                  <w:color w:val="000000"/>
                                  <w:sz w:val="18"/>
                                </w:rPr>
                                <w:t>Accounting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3">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3a">
                              <w:r>
                                <w:rPr>
                                  <w:rStyle w:val="InternetLink"/>
                                  <w:rFonts w:ascii="Arial;Helvetica;sans-serif" w:hAnsi="Arial;Helvetica;sans-serif"/>
                                  <w:color w:val="000000"/>
                                  <w:sz w:val="18"/>
                                </w:rPr>
                                <w:t>Auditor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3a">
                              <w:r>
                                <w:rPr>
                                  <w:rStyle w:val="InternetLink"/>
                                  <w:rFonts w:ascii="Arial;Helvetica;sans-serif" w:hAnsi="Arial;Helvetica;sans-serif"/>
                                  <w:color w:val="000000"/>
                                  <w:sz w:val="18"/>
                                </w:rPr>
                                <w:t>34</w:t>
                              </w:r>
                            </w:hyperlink>
                          </w:p>
                        </w:tc>
                      </w:tr>
                      <w:tr>
                        <w:trPr/>
                        <w:tc>
                          <w:tcPr>
                            <w:tcW w:w="9365" w:type="dxa"/>
                            <w:tcBorders/>
                            <w:vAlign w:val="center"/>
                          </w:tcPr>
                          <w:p>
                            <w:pPr>
                              <w:pStyle w:val="TableContents"/>
                              <w:bidi w:val="0"/>
                              <w:spacing w:before="0" w:after="283"/>
                              <w:ind w:left="320" w:right="0" w:hanging="0"/>
                              <w:jc w:val="left"/>
                              <w:rPr/>
                            </w:pPr>
                            <w:hyperlink w:anchor="tPROP24">
                              <w:r>
                                <w:rPr>
                                  <w:rStyle w:val="InternetLink"/>
                                  <w:rFonts w:ascii="Arial;Helvetica;sans-serif" w:hAnsi="Arial;Helvetica;sans-serif"/>
                                  <w:color w:val="000000"/>
                                  <w:sz w:val="18"/>
                                </w:rPr>
                                <w:t>Pre-Approval of Audit and Non-Audit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24">
                              <w:r>
                                <w:rPr>
                                  <w:rStyle w:val="InternetLink"/>
                                  <w:rFonts w:ascii="Arial;Helvetica;sans-serif" w:hAnsi="Arial;Helvetica;sans-serif"/>
                                  <w:color w:val="000000"/>
                                  <w:sz w:val="18"/>
                                </w:rPr>
                                <w:t>34</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PROP3">
                              <w:r>
                                <w:rPr>
                                  <w:rStyle w:val="InternetLink"/>
                                  <w:rFonts w:ascii="Arial;Helvetica;sans-serif" w:hAnsi="Arial;Helvetica;sans-serif"/>
                                  <w:b/>
                                  <w:color w:val="578255"/>
                                  <w:sz w:val="24"/>
                                </w:rPr>
                                <w:t>PROPOSAL THREE: ADVISORY VOTE TO APPROVE COMPENSATION OF NAMED 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PROP3">
                              <w:r>
                                <w:rPr>
                                  <w:rStyle w:val="InternetLink"/>
                                  <w:rFonts w:ascii="Arial;Helvetica;sans-serif" w:hAnsi="Arial;Helvetica;sans-serif"/>
                                  <w:b/>
                                  <w:color w:val="578255"/>
                                  <w:sz w:val="20"/>
                                </w:rPr>
                                <w:t>35</w:t>
                              </w:r>
                            </w:hyperlink>
                          </w:p>
                        </w:tc>
                      </w:tr>
                      <w:tr>
                        <w:trPr/>
                        <w:tc>
                          <w:tcPr>
                            <w:tcW w:w="9365" w:type="dxa"/>
                            <w:tcBorders/>
                            <w:vAlign w:val="center"/>
                          </w:tcPr>
                          <w:p>
                            <w:pPr>
                              <w:pStyle w:val="TableContents"/>
                              <w:bidi w:val="0"/>
                              <w:spacing w:before="0" w:after="283"/>
                              <w:ind w:left="320" w:right="0" w:hanging="0"/>
                              <w:jc w:val="left"/>
                              <w:rPr/>
                            </w:pPr>
                            <w:hyperlink w:anchor="tPROP31">
                              <w:r>
                                <w:rPr>
                                  <w:rStyle w:val="InternetLink"/>
                                  <w:rFonts w:ascii="Arial;Helvetica;sans-serif" w:hAnsi="Arial;Helvetica;sans-serif"/>
                                  <w:color w:val="000000"/>
                                  <w:sz w:val="18"/>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31">
                              <w:r>
                                <w:rPr>
                                  <w:rStyle w:val="InternetLink"/>
                                  <w:rFonts w:ascii="Arial;Helvetica;sans-serif" w:hAnsi="Arial;Helvetica;sans-serif"/>
                                  <w:color w:val="000000"/>
                                  <w:sz w:val="18"/>
                                </w:rPr>
                                <w:t>35</w:t>
                              </w:r>
                            </w:hyperlink>
                          </w:p>
                        </w:tc>
                      </w:tr>
                      <w:tr>
                        <w:trPr/>
                        <w:tc>
                          <w:tcPr>
                            <w:tcW w:w="9365" w:type="dxa"/>
                            <w:tcBorders/>
                            <w:vAlign w:val="center"/>
                          </w:tcPr>
                          <w:p>
                            <w:pPr>
                              <w:pStyle w:val="TableContents"/>
                              <w:bidi w:val="0"/>
                              <w:spacing w:before="0" w:after="283"/>
                              <w:ind w:left="320" w:right="0" w:hanging="0"/>
                              <w:jc w:val="left"/>
                              <w:rPr/>
                            </w:pPr>
                            <w:hyperlink w:anchor="tPROP32">
                              <w:r>
                                <w:rPr>
                                  <w:rStyle w:val="InternetLink"/>
                                  <w:rFonts w:ascii="Arial;Helvetica;sans-serif" w:hAnsi="Arial;Helvetica;sans-serif"/>
                                  <w:color w:val="000000"/>
                                  <w:sz w:val="18"/>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ROP32">
                              <w:r>
                                <w:rPr>
                                  <w:rStyle w:val="InternetLink"/>
                                  <w:rFonts w:ascii="Arial;Helvetica;sans-serif" w:hAnsi="Arial;Helvetica;sans-serif"/>
                                  <w:color w:val="000000"/>
                                  <w:sz w:val="18"/>
                                </w:rPr>
                                <w:t>35</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ACR">
                              <w:r>
                                <w:rPr>
                                  <w:rStyle w:val="InternetLink"/>
                                  <w:rFonts w:ascii="Arial;Helvetica;sans-serif" w:hAnsi="Arial;Helvetica;sans-serif"/>
                                  <w:b/>
                                  <w:color w:val="578255"/>
                                  <w:sz w:val="24"/>
                                </w:rPr>
                                <w:t>AUDIT COMMITTEE REPORT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ACR">
                              <w:r>
                                <w:rPr>
                                  <w:rStyle w:val="InternetLink"/>
                                  <w:rFonts w:ascii="Arial;Helvetica;sans-serif" w:hAnsi="Arial;Helvetica;sans-serif"/>
                                  <w:b/>
                                  <w:color w:val="578255"/>
                                  <w:sz w:val="20"/>
                                </w:rPr>
                                <w:t>36</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O">
                              <w:r>
                                <w:rPr>
                                  <w:rStyle w:val="InternetLink"/>
                                  <w:rFonts w:ascii="Arial;Helvetica;sans-serif" w:hAnsi="Arial;Helvetica;sans-serif"/>
                                  <w:b/>
                                  <w:color w:val="578255"/>
                                  <w:sz w:val="24"/>
                                </w:rPr>
                                <w:t>EXECUTIVE OFFICERS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O">
                              <w:r>
                                <w:rPr>
                                  <w:rStyle w:val="InternetLink"/>
                                  <w:rFonts w:ascii="Arial;Helvetica;sans-serif" w:hAnsi="Arial;Helvetica;sans-serif"/>
                                  <w:b/>
                                  <w:color w:val="578255"/>
                                  <w:sz w:val="20"/>
                                </w:rPr>
                                <w:t>37</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
                              <w:r>
                                <w:rPr>
                                  <w:rStyle w:val="InternetLink"/>
                                  <w:rFonts w:ascii="Arial;Helvetica;sans-serif" w:hAnsi="Arial;Helvetica;sans-serif"/>
                                  <w:b/>
                                  <w:color w:val="578255"/>
                                  <w:sz w:val="24"/>
                                </w:rPr>
                                <w:t>EXECUTIVE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EC">
                              <w:r>
                                <w:rPr>
                                  <w:rStyle w:val="InternetLink"/>
                                  <w:rFonts w:ascii="Arial;Helvetica;sans-serif" w:hAnsi="Arial;Helvetica;sans-serif"/>
                                  <w:b/>
                                  <w:color w:val="578255"/>
                                  <w:sz w:val="20"/>
                                </w:rPr>
                                <w:t>38</w:t>
                              </w:r>
                            </w:hyperlink>
                          </w:p>
                        </w:tc>
                      </w:tr>
                      <w:tr>
                        <w:trPr/>
                        <w:tc>
                          <w:tcPr>
                            <w:tcW w:w="9365" w:type="dxa"/>
                            <w:tcBorders/>
                            <w:vAlign w:val="center"/>
                          </w:tcPr>
                          <w:p>
                            <w:pPr>
                              <w:pStyle w:val="TableContents"/>
                              <w:bidi w:val="0"/>
                              <w:spacing w:before="0" w:after="283"/>
                              <w:ind w:left="320" w:right="0" w:hanging="0"/>
                              <w:jc w:val="left"/>
                              <w:rPr/>
                            </w:pPr>
                            <w:hyperlink w:anchor="tEC1">
                              <w:r>
                                <w:rPr>
                                  <w:rStyle w:val="InternetLink"/>
                                  <w:rFonts w:ascii="Arial;Helvetica;sans-serif" w:hAnsi="Arial;Helvetica;sans-serif"/>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1">
                              <w:r>
                                <w:rPr>
                                  <w:rStyle w:val="InternetLink"/>
                                  <w:rFonts w:ascii="Arial;Helvetica;sans-serif" w:hAnsi="Arial;Helvetica;sans-serif"/>
                                  <w:color w:val="000000"/>
                                  <w:sz w:val="18"/>
                                </w:rPr>
                                <w:t>38</w:t>
                              </w:r>
                            </w:hyperlink>
                          </w:p>
                        </w:tc>
                      </w:tr>
                      <w:tr>
                        <w:trPr/>
                        <w:tc>
                          <w:tcPr>
                            <w:tcW w:w="9365" w:type="dxa"/>
                            <w:tcBorders/>
                            <w:vAlign w:val="center"/>
                          </w:tcPr>
                          <w:p>
                            <w:pPr>
                              <w:pStyle w:val="TableContents"/>
                              <w:bidi w:val="0"/>
                              <w:spacing w:before="0" w:after="283"/>
                              <w:ind w:left="320" w:right="0" w:hanging="0"/>
                              <w:jc w:val="left"/>
                              <w:rPr/>
                            </w:pPr>
                            <w:hyperlink w:anchor="tEC2">
                              <w:r>
                                <w:rPr>
                                  <w:rStyle w:val="InternetLink"/>
                                  <w:rFonts w:ascii="Arial;Helvetica;sans-serif" w:hAnsi="Arial;Helvetica;sans-serif"/>
                                  <w:color w:val="000000"/>
                                  <w:sz w:val="18"/>
                                </w:rPr>
                                <w:t>Compensation and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2">
                              <w:r>
                                <w:rPr>
                                  <w:rStyle w:val="InternetLink"/>
                                  <w:rFonts w:ascii="Arial;Helvetica;sans-serif" w:hAnsi="Arial;Helvetica;sans-serif"/>
                                  <w:color w:val="000000"/>
                                  <w:sz w:val="18"/>
                                </w:rPr>
                                <w:t>49</w:t>
                              </w:r>
                            </w:hyperlink>
                          </w:p>
                        </w:tc>
                      </w:tr>
                      <w:tr>
                        <w:trPr/>
                        <w:tc>
                          <w:tcPr>
                            <w:tcW w:w="9365" w:type="dxa"/>
                            <w:tcBorders/>
                            <w:vAlign w:val="center"/>
                          </w:tcPr>
                          <w:p>
                            <w:pPr>
                              <w:pStyle w:val="TableContents"/>
                              <w:bidi w:val="0"/>
                              <w:spacing w:before="0" w:after="283"/>
                              <w:ind w:left="320" w:right="0" w:hanging="0"/>
                              <w:jc w:val="left"/>
                              <w:rPr/>
                            </w:pPr>
                            <w:hyperlink w:anchor="tEC3">
                              <w:r>
                                <w:rPr>
                                  <w:rStyle w:val="InternetLink"/>
                                  <w:rFonts w:ascii="Arial;Helvetica;sans-serif" w:hAnsi="Arial;Helvetica;sans-serif"/>
                                  <w:color w:val="000000"/>
                                  <w:sz w:val="18"/>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3">
                              <w:r>
                                <w:rPr>
                                  <w:rStyle w:val="InternetLink"/>
                                  <w:rFonts w:ascii="Arial;Helvetica;sans-serif" w:hAnsi="Arial;Helvetica;sans-serif"/>
                                  <w:color w:val="000000"/>
                                  <w:sz w:val="18"/>
                                </w:rPr>
                                <w:t>49</w:t>
                              </w:r>
                            </w:hyperlink>
                          </w:p>
                        </w:tc>
                      </w:tr>
                      <w:tr>
                        <w:trPr/>
                        <w:tc>
                          <w:tcPr>
                            <w:tcW w:w="9365" w:type="dxa"/>
                            <w:tcBorders/>
                            <w:vAlign w:val="center"/>
                          </w:tcPr>
                          <w:p>
                            <w:pPr>
                              <w:pStyle w:val="TableContents"/>
                              <w:bidi w:val="0"/>
                              <w:spacing w:before="0" w:after="283"/>
                              <w:ind w:left="320" w:right="0" w:hanging="0"/>
                              <w:jc w:val="left"/>
                              <w:rPr/>
                            </w:pPr>
                            <w:hyperlink w:anchor="tEC4">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4">
                              <w:r>
                                <w:rPr>
                                  <w:rStyle w:val="InternetLink"/>
                                  <w:rFonts w:ascii="Arial;Helvetica;sans-serif" w:hAnsi="Arial;Helvetica;sans-serif"/>
                                  <w:color w:val="000000"/>
                                  <w:sz w:val="18"/>
                                </w:rPr>
                                <w:t>50</w:t>
                              </w:r>
                            </w:hyperlink>
                          </w:p>
                        </w:tc>
                      </w:tr>
                      <w:tr>
                        <w:trPr/>
                        <w:tc>
                          <w:tcPr>
                            <w:tcW w:w="9365" w:type="dxa"/>
                            <w:tcBorders/>
                            <w:vAlign w:val="center"/>
                          </w:tcPr>
                          <w:p>
                            <w:pPr>
                              <w:pStyle w:val="TableContents"/>
                              <w:bidi w:val="0"/>
                              <w:spacing w:before="0" w:after="283"/>
                              <w:ind w:left="320" w:right="0" w:hanging="0"/>
                              <w:jc w:val="left"/>
                              <w:rPr/>
                            </w:pPr>
                            <w:hyperlink w:anchor="tEC5">
                              <w:r>
                                <w:rPr>
                                  <w:rStyle w:val="InternetLink"/>
                                  <w:rFonts w:ascii="Arial;Helvetica;sans-serif" w:hAnsi="Arial;Helvetica;sans-serif"/>
                                  <w:color w:val="000000"/>
                                  <w:sz w:val="18"/>
                                </w:rPr>
                                <w:t>Grants of Plan-Based Awards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5">
                              <w:r>
                                <w:rPr>
                                  <w:rStyle w:val="InternetLink"/>
                                  <w:rFonts w:ascii="Arial;Helvetica;sans-serif" w:hAnsi="Arial;Helvetica;sans-serif"/>
                                  <w:color w:val="000000"/>
                                  <w:sz w:val="18"/>
                                </w:rPr>
                                <w:t>52</w:t>
                              </w:r>
                            </w:hyperlink>
                          </w:p>
                        </w:tc>
                      </w:tr>
                      <w:tr>
                        <w:trPr/>
                        <w:tc>
                          <w:tcPr>
                            <w:tcW w:w="9365" w:type="dxa"/>
                            <w:tcBorders/>
                            <w:vAlign w:val="center"/>
                          </w:tcPr>
                          <w:p>
                            <w:pPr>
                              <w:pStyle w:val="TableContents"/>
                              <w:bidi w:val="0"/>
                              <w:spacing w:before="0" w:after="283"/>
                              <w:ind w:left="320" w:right="0" w:hanging="0"/>
                              <w:jc w:val="left"/>
                              <w:rPr/>
                            </w:pPr>
                            <w:hyperlink w:anchor="tEC6">
                              <w:r>
                                <w:rPr>
                                  <w:rStyle w:val="InternetLink"/>
                                  <w:rFonts w:ascii="Arial;Helvetica;sans-serif" w:hAnsi="Arial;Helvetica;sans-serif"/>
                                  <w:color w:val="000000"/>
                                  <w:sz w:val="18"/>
                                </w:rPr>
                                <w:t>Outstanding Equity Awards at Fiscal 2026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6">
                              <w:r>
                                <w:rPr>
                                  <w:rStyle w:val="InternetLink"/>
                                  <w:rFonts w:ascii="Arial;Helvetica;sans-serif" w:hAnsi="Arial;Helvetica;sans-serif"/>
                                  <w:color w:val="000000"/>
                                  <w:sz w:val="18"/>
                                </w:rPr>
                                <w:t>53</w:t>
                              </w:r>
                            </w:hyperlink>
                          </w:p>
                        </w:tc>
                      </w:tr>
                      <w:tr>
                        <w:trPr/>
                        <w:tc>
                          <w:tcPr>
                            <w:tcW w:w="9365" w:type="dxa"/>
                            <w:tcBorders/>
                            <w:vAlign w:val="center"/>
                          </w:tcPr>
                          <w:p>
                            <w:pPr>
                              <w:pStyle w:val="TableContents"/>
                              <w:bidi w:val="0"/>
                              <w:spacing w:before="0" w:after="283"/>
                              <w:ind w:left="320" w:right="0" w:hanging="0"/>
                              <w:jc w:val="left"/>
                              <w:rPr/>
                            </w:pPr>
                            <w:hyperlink w:anchor="tEC7">
                              <w:r>
                                <w:rPr>
                                  <w:rStyle w:val="InternetLink"/>
                                  <w:rFonts w:ascii="Arial;Helvetica;sans-serif" w:hAnsi="Arial;Helvetica;sans-serif"/>
                                  <w:color w:val="000000"/>
                                  <w:sz w:val="18"/>
                                </w:rPr>
                                <w:t>Option Exercises and Shares Vested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7">
                              <w:r>
                                <w:rPr>
                                  <w:rStyle w:val="InternetLink"/>
                                  <w:rFonts w:ascii="Arial;Helvetica;sans-serif" w:hAnsi="Arial;Helvetica;sans-serif"/>
                                  <w:color w:val="000000"/>
                                  <w:sz w:val="18"/>
                                </w:rPr>
                                <w:t>54</w:t>
                              </w:r>
                            </w:hyperlink>
                          </w:p>
                        </w:tc>
                      </w:tr>
                      <w:tr>
                        <w:trPr/>
                        <w:tc>
                          <w:tcPr>
                            <w:tcW w:w="9365" w:type="dxa"/>
                            <w:tcBorders/>
                            <w:vAlign w:val="center"/>
                          </w:tcPr>
                          <w:p>
                            <w:pPr>
                              <w:pStyle w:val="TableContents"/>
                              <w:bidi w:val="0"/>
                              <w:spacing w:before="0" w:after="283"/>
                              <w:ind w:left="320" w:right="0" w:hanging="0"/>
                              <w:jc w:val="left"/>
                              <w:rPr/>
                            </w:pPr>
                            <w:hyperlink w:anchor="tEC8">
                              <w:r>
                                <w:rPr>
                                  <w:rStyle w:val="InternetLink"/>
                                  <w:rFonts w:ascii="Arial;Helvetica;sans-serif" w:hAnsi="Arial;Helvetica;sans-serif"/>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EC8">
                              <w:r>
                                <w:rPr>
                                  <w:rStyle w:val="InternetLink"/>
                                  <w:rFonts w:ascii="Arial;Helvetica;sans-serif" w:hAnsi="Arial;Helvetica;sans-serif"/>
                                  <w:color w:val="000000"/>
                                  <w:sz w:val="18"/>
                                </w:rPr>
                                <w:t>55</w:t>
                              </w:r>
                            </w:hyperlink>
                          </w:p>
                        </w:tc>
                      </w:tr>
                      <w:tr>
                        <w:trPr/>
                        <w:tc>
                          <w:tcPr>
                            <w:tcW w:w="936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MAT">
                              <w:r>
                                <w:rPr>
                                  <w:rStyle w:val="InternetLink"/>
                                  <w:rFonts w:ascii="Arial;Helvetica;sans-serif" w:hAnsi="Arial;Helvetica;sans-serif"/>
                                  <w:b/>
                                  <w:color w:val="578255"/>
                                  <w:sz w:val="24"/>
                                </w:rPr>
                                <w:t>ADDITIONAL COMPENSATION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130" w:after="283"/>
                              <w:ind w:left="318" w:right="0" w:hanging="0"/>
                              <w:jc w:val="left"/>
                              <w:rPr/>
                            </w:pPr>
                            <w:hyperlink w:anchor="tMAT">
                              <w:r>
                                <w:rPr>
                                  <w:rStyle w:val="InternetLink"/>
                                  <w:rFonts w:ascii="Arial;Helvetica;sans-serif" w:hAnsi="Arial;Helvetica;sans-serif"/>
                                  <w:b/>
                                  <w:color w:val="578255"/>
                                  <w:sz w:val="20"/>
                                </w:rPr>
                                <w:t>62</w:t>
                              </w:r>
                            </w:hyperlink>
                          </w:p>
                        </w:tc>
                      </w:tr>
                      <w:tr>
                        <w:trPr/>
                        <w:tc>
                          <w:tcPr>
                            <w:tcW w:w="9365" w:type="dxa"/>
                            <w:tcBorders/>
                            <w:vAlign w:val="center"/>
                          </w:tcPr>
                          <w:p>
                            <w:pPr>
                              <w:pStyle w:val="TableContents"/>
                              <w:bidi w:val="0"/>
                              <w:spacing w:before="0" w:after="283"/>
                              <w:ind w:left="320" w:right="0" w:hanging="0"/>
                              <w:jc w:val="left"/>
                              <w:rPr/>
                            </w:pPr>
                            <w:hyperlink w:anchor="tCEO">
                              <w:r>
                                <w:rPr>
                                  <w:rStyle w:val="InternetLink"/>
                                  <w:rFonts w:ascii="Arial;Helvetica;sans-serif" w:hAnsi="Arial;Helvetica;sans-serif"/>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CEO">
                              <w:r>
                                <w:rPr>
                                  <w:rStyle w:val="InternetLink"/>
                                  <w:rFonts w:ascii="Arial;Helvetica;sans-serif" w:hAnsi="Arial;Helvetica;sans-serif"/>
                                  <w:color w:val="000000"/>
                                  <w:sz w:val="18"/>
                                </w:rPr>
                                <w:t>62</w:t>
                              </w:r>
                            </w:hyperlink>
                          </w:p>
                        </w:tc>
                      </w:tr>
                      <w:tr>
                        <w:trPr/>
                        <w:tc>
                          <w:tcPr>
                            <w:tcW w:w="9365" w:type="dxa"/>
                            <w:tcBorders/>
                            <w:vAlign w:val="center"/>
                          </w:tcPr>
                          <w:p>
                            <w:pPr>
                              <w:pStyle w:val="TableContents"/>
                              <w:bidi w:val="0"/>
                              <w:spacing w:before="0" w:after="283"/>
                              <w:ind w:left="320" w:right="0" w:hanging="0"/>
                              <w:jc w:val="left"/>
                              <w:rPr/>
                            </w:pPr>
                            <w:hyperlink w:anchor="tPVP">
                              <w:r>
                                <w:rPr>
                                  <w:rStyle w:val="InternetLink"/>
                                  <w:rFonts w:ascii="Arial;Helvetica;sans-serif" w:hAnsi="Arial;Helvetica;sans-serif"/>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VP">
                              <w:r>
                                <w:rPr>
                                  <w:rStyle w:val="InternetLink"/>
                                  <w:rFonts w:ascii="Arial;Helvetica;sans-serif" w:hAnsi="Arial;Helvetica;sans-serif"/>
                                  <w:color w:val="000000"/>
                                  <w:sz w:val="18"/>
                                </w:rPr>
                                <w:t>62</w:t>
                              </w:r>
                            </w:hyperlink>
                          </w:p>
                        </w:tc>
                      </w:tr>
                      <w:tr>
                        <w:trPr/>
                        <w:tc>
                          <w:tcPr>
                            <w:tcW w:w="9365" w:type="dxa"/>
                            <w:tcBorders/>
                            <w:vAlign w:val="center"/>
                          </w:tcPr>
                          <w:p>
                            <w:pPr>
                              <w:pStyle w:val="TableContents"/>
                              <w:bidi w:val="0"/>
                              <w:spacing w:before="0" w:after="283"/>
                              <w:ind w:left="320" w:right="0" w:hanging="0"/>
                              <w:jc w:val="left"/>
                              <w:rPr/>
                            </w:pPr>
                            <w:hyperlink w:anchor="tPPR">
                              <w:r>
                                <w:rPr>
                                  <w:rStyle w:val="InternetLink"/>
                                  <w:rFonts w:ascii="Arial;Helvetica;sans-serif" w:hAnsi="Arial;Helvetica;sans-serif"/>
                                  <w:color w:val="000000"/>
                                  <w:sz w:val="18"/>
                                </w:rPr>
                                <w:t>Policies and Practices Related to the Grant of Certain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318" w:right="0" w:hanging="0"/>
                              <w:jc w:val="left"/>
                              <w:rPr/>
                            </w:pPr>
                            <w:hyperlink w:anchor="tPPR">
                              <w:r>
                                <w:rPr>
                                  <w:rStyle w:val="InternetLink"/>
                                  <w:rFonts w:ascii="Arial;Helvetica;sans-serif" w:hAnsi="Arial;Helvetica;sans-serif"/>
                                  <w:color w:val="000000"/>
                                  <w:sz w:val="18"/>
                                </w:rPr>
                                <w:t>66</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16">
                <wp:simplePos x="0" y="0"/>
                <wp:positionH relativeFrom="column">
                  <wp:align>left</wp:align>
                </wp:positionH>
                <wp:positionV relativeFrom="line">
                  <wp:posOffset>635</wp:posOffset>
                </wp:positionV>
                <wp:extent cx="3124200" cy="4560570"/>
                <wp:effectExtent l="0" t="0" r="0" b="0"/>
                <wp:wrapSquare wrapText="right"/>
                <wp:docPr id="6" name="Frame4"/>
                <a:graphic xmlns:a="http://schemas.openxmlformats.org/drawingml/2006/main">
                  <a:graphicData uri="http://schemas.microsoft.com/office/word/2010/wordprocessingShape">
                    <wps:wsp>
                      <wps:cNvSpPr txBox="1"/>
                      <wps:spPr>
                        <a:xfrm>
                          <a:off x="0" y="0"/>
                          <a:ext cx="3124200" cy="4560570"/>
                        </a:xfrm>
                        <a:prstGeom prst="rect"/>
                        <a:solidFill>
                          <a:srgbClr val="FFFFFF"/>
                        </a:solidFill>
                      </wps:spPr>
                      <wps:txbx>
                        <w:txbxContent>
                          <w:tbl>
                            <w:tblPr>
                              <w:tblW w:w="10070" w:type="dxa"/>
                              <w:jc w:val="left"/>
                              <w:tblInd w:w="0" w:type="dxa"/>
                              <w:tblLayout w:type="fixed"/>
                              <w:tblCellMar>
                                <w:top w:w="0" w:type="dxa"/>
                                <w:left w:w="0" w:type="dxa"/>
                                <w:bottom w:w="0" w:type="dxa"/>
                                <w:right w:w="0" w:type="dxa"/>
                              </w:tblCellMar>
                            </w:tblPr>
                            <w:tblGrid>
                              <w:gridCol w:w="9215"/>
                              <w:gridCol w:w="170"/>
                              <w:gridCol w:w="170"/>
                              <w:gridCol w:w="515"/>
                            </w:tblGrid>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RT">
                                    <w:r>
                                      <w:rPr>
                                        <w:rStyle w:val="InternetLink"/>
                                        <w:rFonts w:ascii="Arial;Helvetica;sans-serif" w:hAnsi="Arial;Helvetica;sans-serif"/>
                                        <w:b/>
                                        <w:color w:val="578255"/>
                                        <w:sz w:val="24"/>
                                      </w:rPr>
                                      <w:t>CERTAIN RELATIONSHIPS AND RELATED TRANSACTIONS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CRT">
                                    <w:r>
                                      <w:rPr>
                                        <w:rStyle w:val="InternetLink"/>
                                        <w:rFonts w:ascii="Arial;Helvetica;sans-serif" w:hAnsi="Arial;Helvetica;sans-serif"/>
                                        <w:b/>
                                        <w:color w:val="578255"/>
                                        <w:sz w:val="20"/>
                                      </w:rPr>
                                      <w:t>67</w:t>
                                    </w:r>
                                  </w:hyperlink>
                                </w:p>
                              </w:tc>
                            </w:tr>
                            <w:tr>
                              <w:trPr/>
                              <w:tc>
                                <w:tcPr>
                                  <w:tcW w:w="9215" w:type="dxa"/>
                                  <w:tcBorders/>
                                  <w:vAlign w:val="center"/>
                                </w:tcPr>
                                <w:p>
                                  <w:pPr>
                                    <w:pStyle w:val="TableContents"/>
                                    <w:bidi w:val="0"/>
                                    <w:spacing w:before="0" w:after="283"/>
                                    <w:ind w:left="320" w:right="0" w:hanging="0"/>
                                    <w:jc w:val="left"/>
                                    <w:rPr/>
                                  </w:pPr>
                                  <w:hyperlink w:anchor="tCPT">
                                    <w:r>
                                      <w:rPr>
                                        <w:rStyle w:val="InternetLink"/>
                                        <w:rFonts w:ascii="Arial;Helvetica;sans-serif" w:hAnsi="Arial;Helvetica;sans-serif"/>
                                        <w:color w:val="000000"/>
                                        <w:sz w:val="18"/>
                                      </w:rPr>
                                      <w:t>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CPT">
                                    <w:r>
                                      <w:rPr>
                                        <w:rStyle w:val="InternetLink"/>
                                        <w:rFonts w:ascii="Arial;Helvetica;sans-serif" w:hAnsi="Arial;Helvetica;sans-serif"/>
                                        <w:color w:val="000000"/>
                                        <w:sz w:val="18"/>
                                      </w:rPr>
                                      <w:t>67</w:t>
                                    </w:r>
                                  </w:hyperlink>
                                </w:p>
                              </w:tc>
                            </w:tr>
                            <w:tr>
                              <w:trPr/>
                              <w:tc>
                                <w:tcPr>
                                  <w:tcW w:w="9215" w:type="dxa"/>
                                  <w:tcBorders/>
                                  <w:vAlign w:val="center"/>
                                </w:tcPr>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 xml:space="preserve">Policy for Approval of Related Party </w:t>
                                    </w:r>
                                  </w:hyperlink>
                                </w:p>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PPT">
                                    <w:r>
                                      <w:rPr>
                                        <w:rStyle w:val="InternetLink"/>
                                        <w:rFonts w:ascii="Arial;Helvetica;sans-serif" w:hAnsi="Arial;Helvetica;sans-serif"/>
                                        <w:color w:val="000000"/>
                                        <w:sz w:val="18"/>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SOM">
                                    <w:r>
                                      <w:rPr>
                                        <w:rStyle w:val="InternetLink"/>
                                        <w:rFonts w:ascii="Arial;Helvetica;sans-serif" w:hAnsi="Arial;Helvetica;sans-serif"/>
                                        <w:b/>
                                        <w:color w:val="578255"/>
                                        <w:sz w:val="24"/>
                                      </w:rPr>
                                      <w:t>SECURITY OWNERSHIP BY PRINCIPAL SHAREHOLDERS AND MANAGEMENT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SOM">
                                    <w:r>
                                      <w:rPr>
                                        <w:rStyle w:val="InternetLink"/>
                                        <w:rFonts w:ascii="Arial;Helvetica;sans-serif" w:hAnsi="Arial;Helvetica;sans-serif"/>
                                        <w:b/>
                                        <w:color w:val="578255"/>
                                        <w:sz w:val="20"/>
                                      </w:rPr>
                                      <w:t>68</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P">
                                    <w:r>
                                      <w:rPr>
                                        <w:rStyle w:val="InternetLink"/>
                                        <w:rFonts w:ascii="Arial;Helvetica;sans-serif" w:hAnsi="Arial;Helvetica;sans-serif"/>
                                        <w:b/>
                                        <w:color w:val="578255"/>
                                        <w:sz w:val="24"/>
                                      </w:rPr>
                                      <w:t>EQUITY COMPENSATION PLAN INFORMATION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ECP">
                                    <w:r>
                                      <w:rPr>
                                        <w:rStyle w:val="InternetLink"/>
                                        <w:rFonts w:ascii="Arial;Helvetica;sans-serif" w:hAnsi="Arial;Helvetica;sans-serif"/>
                                        <w:b/>
                                        <w:color w:val="578255"/>
                                        <w:sz w:val="20"/>
                                      </w:rPr>
                                      <w:t>69</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SR">
                                    <w:r>
                                      <w:rPr>
                                        <w:rStyle w:val="InternetLink"/>
                                        <w:rFonts w:ascii="Arial;Helvetica;sans-serif" w:hAnsi="Arial;Helvetica;sans-serif"/>
                                        <w:b/>
                                        <w:color w:val="578255"/>
                                        <w:sz w:val="24"/>
                                      </w:rPr>
                                      <w:t>NO DELINQUENT SECTION 16(a) REPORTS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DSR">
                                    <w:r>
                                      <w:rPr>
                                        <w:rStyle w:val="InternetLink"/>
                                        <w:rFonts w:ascii="Arial;Helvetica;sans-serif" w:hAnsi="Arial;Helvetica;sans-serif"/>
                                        <w:b/>
                                        <w:color w:val="578255"/>
                                        <w:sz w:val="20"/>
                                      </w:rPr>
                                      <w:t>69</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OTM">
                                    <w:r>
                                      <w:rPr>
                                        <w:rStyle w:val="InternetLink"/>
                                        <w:rFonts w:ascii="Arial;Helvetica;sans-serif" w:hAnsi="Arial;Helvetica;sans-serif"/>
                                        <w:b/>
                                        <w:color w:val="578255"/>
                                        <w:sz w:val="24"/>
                                      </w:rPr>
                                      <w:t>OTHER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OTM">
                                    <w:r>
                                      <w:rPr>
                                        <w:rStyle w:val="InternetLink"/>
                                        <w:rFonts w:ascii="Arial;Helvetica;sans-serif" w:hAnsi="Arial;Helvetica;sans-serif"/>
                                        <w:b/>
                                        <w:color w:val="578255"/>
                                        <w:sz w:val="20"/>
                                      </w:rPr>
                                      <w:t>69</w:t>
                                    </w:r>
                                  </w:hyperlink>
                                </w:p>
                              </w:tc>
                            </w:tr>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right"/>
                                    <w:rPr>
                                      <w:color w:val="000000"/>
                                    </w:rPr>
                                  </w:pPr>
                                  <w:r>
                                    <w:rPr>
                                      <w:color w:val="000000"/>
                                    </w:rPr>
                                    <w:t> </w:t>
                                  </w:r>
                                </w:p>
                              </w:tc>
                            </w:tr>
                            <w:tr>
                              <w:trPr/>
                              <w:tc>
                                <w:tcPr>
                                  <w:tcW w:w="9215" w:type="dxa"/>
                                  <w:tcBorders>
                                    <w:bottom w:val="single" w:sz="8" w:space="0" w:color="000000"/>
                                  </w:tcBorders>
                                  <w:tcMar>
                                    <w:bottom w:w="28" w:type="dxa"/>
                                  </w:tcMar>
                                  <w:vAlign w:val="center"/>
                                </w:tcPr>
                                <w:p>
                                  <w:pPr>
                                    <w:pStyle w:val="TableContents"/>
                                    <w:bidi w:val="0"/>
                                    <w:spacing w:before="130" w:after="283"/>
                                    <w:ind w:left="0" w:right="0" w:hanging="0"/>
                                    <w:jc w:val="left"/>
                                    <w:rPr/>
                                  </w:pPr>
                                  <w:hyperlink w:anchor="tAPPA">
                                    <w:r>
                                      <w:rPr>
                                        <w:rStyle w:val="InternetLink"/>
                                        <w:rFonts w:ascii="Arial;Helvetica;sans-serif" w:hAnsi="Arial;Helvetica;sans-serif"/>
                                        <w:b/>
                                        <w:color w:val="578255"/>
                                        <w:sz w:val="24"/>
                                      </w:rPr>
                                      <w:t>APPENDIX A – GAAP TO NON-GAAP RECONCILIATION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130" w:after="283"/>
                                    <w:ind w:left="218" w:right="0" w:hanging="0"/>
                                    <w:jc w:val="left"/>
                                    <w:rPr/>
                                  </w:pPr>
                                  <w:hyperlink w:anchor="tAPPA">
                                    <w:r>
                                      <w:rPr>
                                        <w:rStyle w:val="InternetLink"/>
                                        <w:rFonts w:ascii="Arial;Helvetica;sans-serif" w:hAnsi="Arial;Helvetica;sans-serif"/>
                                        <w:b/>
                                        <w:color w:val="578255"/>
                                        <w:sz w:val="20"/>
                                      </w:rPr>
                                      <w:t>A-1</w:t>
                                    </w:r>
                                  </w:hyperlink>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359.1pt;mso-wrap-distance-left:18pt;mso-wrap-distance-right:0pt;mso-wrap-distance-top:0pt;mso-wrap-distance-bottom:0pt;margin-top:0pt;mso-position-vertical:top;mso-position-vertical-relative:text;margin-left:18pt;mso-position-horizontal:left;mso-position-horizontal-relative:text">
                <v:textbox>
                  <w:txbxContent>
                    <w:tbl>
                      <w:tblPr>
                        <w:tblW w:w="10070" w:type="dxa"/>
                        <w:jc w:val="left"/>
                        <w:tblInd w:w="0" w:type="dxa"/>
                        <w:tblLayout w:type="fixed"/>
                        <w:tblCellMar>
                          <w:top w:w="0" w:type="dxa"/>
                          <w:left w:w="0" w:type="dxa"/>
                          <w:bottom w:w="0" w:type="dxa"/>
                          <w:right w:w="0" w:type="dxa"/>
                        </w:tblCellMar>
                      </w:tblPr>
                      <w:tblGrid>
                        <w:gridCol w:w="9215"/>
                        <w:gridCol w:w="170"/>
                        <w:gridCol w:w="170"/>
                        <w:gridCol w:w="515"/>
                      </w:tblGrid>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u w:val="single"/>
                              </w:rPr>
                              <w:t>Page</w:t>
                            </w:r>
                            <w:r>
                              <w:rPr>
                                <w:rFonts w:ascii="Arial;Helvetica;sans-serif" w:hAnsi="Arial;Helvetica;sans-serif"/>
                                <w:color w:val="000000"/>
                                <w:sz w:val="17"/>
                              </w:rPr>
                              <w:t xml:space="preserve"> </w:t>
                            </w:r>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CRT">
                              <w:r>
                                <w:rPr>
                                  <w:rStyle w:val="InternetLink"/>
                                  <w:rFonts w:ascii="Arial;Helvetica;sans-serif" w:hAnsi="Arial;Helvetica;sans-serif"/>
                                  <w:b/>
                                  <w:color w:val="578255"/>
                                  <w:sz w:val="24"/>
                                </w:rPr>
                                <w:t>CERTAIN RELATIONSHIPS AND RELATED TRANSACTIONS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CRT">
                              <w:r>
                                <w:rPr>
                                  <w:rStyle w:val="InternetLink"/>
                                  <w:rFonts w:ascii="Arial;Helvetica;sans-serif" w:hAnsi="Arial;Helvetica;sans-serif"/>
                                  <w:b/>
                                  <w:color w:val="578255"/>
                                  <w:sz w:val="20"/>
                                </w:rPr>
                                <w:t>67</w:t>
                              </w:r>
                            </w:hyperlink>
                          </w:p>
                        </w:tc>
                      </w:tr>
                      <w:tr>
                        <w:trPr/>
                        <w:tc>
                          <w:tcPr>
                            <w:tcW w:w="9215" w:type="dxa"/>
                            <w:tcBorders/>
                            <w:vAlign w:val="center"/>
                          </w:tcPr>
                          <w:p>
                            <w:pPr>
                              <w:pStyle w:val="TableContents"/>
                              <w:bidi w:val="0"/>
                              <w:spacing w:before="0" w:after="283"/>
                              <w:ind w:left="320" w:right="0" w:hanging="0"/>
                              <w:jc w:val="left"/>
                              <w:rPr/>
                            </w:pPr>
                            <w:hyperlink w:anchor="tCPT">
                              <w:r>
                                <w:rPr>
                                  <w:rStyle w:val="InternetLink"/>
                                  <w:rFonts w:ascii="Arial;Helvetica;sans-serif" w:hAnsi="Arial;Helvetica;sans-serif"/>
                                  <w:color w:val="000000"/>
                                  <w:sz w:val="18"/>
                                </w:rPr>
                                <w:t>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CPT">
                              <w:r>
                                <w:rPr>
                                  <w:rStyle w:val="InternetLink"/>
                                  <w:rFonts w:ascii="Arial;Helvetica;sans-serif" w:hAnsi="Arial;Helvetica;sans-serif"/>
                                  <w:color w:val="000000"/>
                                  <w:sz w:val="18"/>
                                </w:rPr>
                                <w:t>67</w:t>
                              </w:r>
                            </w:hyperlink>
                          </w:p>
                        </w:tc>
                      </w:tr>
                      <w:tr>
                        <w:trPr/>
                        <w:tc>
                          <w:tcPr>
                            <w:tcW w:w="9215" w:type="dxa"/>
                            <w:tcBorders/>
                            <w:vAlign w:val="center"/>
                          </w:tcPr>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 xml:space="preserve">Policy for Approval of Related Party </w:t>
                              </w:r>
                            </w:hyperlink>
                          </w:p>
                          <w:p>
                            <w:pPr>
                              <w:pStyle w:val="TableContents"/>
                              <w:bidi w:val="0"/>
                              <w:spacing w:before="0" w:after="283"/>
                              <w:ind w:left="320" w:right="0" w:hanging="0"/>
                              <w:jc w:val="left"/>
                              <w:rPr/>
                            </w:pPr>
                            <w:hyperlink w:anchor="tPPT">
                              <w:r>
                                <w:rPr>
                                  <w:rStyle w:val="InternetLink"/>
                                  <w:rFonts w:ascii="Arial;Helvetica;sans-serif" w:hAnsi="Arial;Helvetica;sans-serif"/>
                                  <w:color w:val="000000"/>
                                  <w:sz w:val="18"/>
                                </w:rPr>
                                <w:t>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18" w:right="0" w:hanging="0"/>
                              <w:jc w:val="left"/>
                              <w:rPr/>
                            </w:pPr>
                            <w:hyperlink w:anchor="tPPT">
                              <w:r>
                                <w:rPr>
                                  <w:rStyle w:val="InternetLink"/>
                                  <w:rFonts w:ascii="Arial;Helvetica;sans-serif" w:hAnsi="Arial;Helvetica;sans-serif"/>
                                  <w:color w:val="000000"/>
                                  <w:sz w:val="18"/>
                                </w:rPr>
                                <w:t>67</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SOM">
                              <w:r>
                                <w:rPr>
                                  <w:rStyle w:val="InternetLink"/>
                                  <w:rFonts w:ascii="Arial;Helvetica;sans-serif" w:hAnsi="Arial;Helvetica;sans-serif"/>
                                  <w:b/>
                                  <w:color w:val="578255"/>
                                  <w:sz w:val="24"/>
                                </w:rPr>
                                <w:t>SECURITY OWNERSHIP BY PRINCIPAL SHAREHOLDERS AND MANAGEMENT</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SOM">
                              <w:r>
                                <w:rPr>
                                  <w:rStyle w:val="InternetLink"/>
                                  <w:rFonts w:ascii="Arial;Helvetica;sans-serif" w:hAnsi="Arial;Helvetica;sans-serif"/>
                                  <w:b/>
                                  <w:color w:val="578255"/>
                                  <w:sz w:val="20"/>
                                </w:rPr>
                                <w:t>68</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ECP">
                              <w:r>
                                <w:rPr>
                                  <w:rStyle w:val="InternetLink"/>
                                  <w:rFonts w:ascii="Arial;Helvetica;sans-serif" w:hAnsi="Arial;Helvetica;sans-serif"/>
                                  <w:b/>
                                  <w:color w:val="578255"/>
                                  <w:sz w:val="24"/>
                                </w:rPr>
                                <w:t>EQUITY COMPENSATION PLAN INFORMATION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ECP">
                              <w:r>
                                <w:rPr>
                                  <w:rStyle w:val="InternetLink"/>
                                  <w:rFonts w:ascii="Arial;Helvetica;sans-serif" w:hAnsi="Arial;Helvetica;sans-serif"/>
                                  <w:b/>
                                  <w:color w:val="578255"/>
                                  <w:sz w:val="20"/>
                                </w:rPr>
                                <w:t>69</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DSR">
                              <w:r>
                                <w:rPr>
                                  <w:rStyle w:val="InternetLink"/>
                                  <w:rFonts w:ascii="Arial;Helvetica;sans-serif" w:hAnsi="Arial;Helvetica;sans-serif"/>
                                  <w:b/>
                                  <w:color w:val="578255"/>
                                  <w:sz w:val="24"/>
                                </w:rPr>
                                <w:t>NO DELINQUENT SECTION 16(a) REPORTS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DSR">
                              <w:r>
                                <w:rPr>
                                  <w:rStyle w:val="InternetLink"/>
                                  <w:rFonts w:ascii="Arial;Helvetica;sans-serif" w:hAnsi="Arial;Helvetica;sans-serif"/>
                                  <w:b/>
                                  <w:color w:val="578255"/>
                                  <w:sz w:val="20"/>
                                </w:rPr>
                                <w:t>69</w:t>
                              </w:r>
                            </w:hyperlink>
                          </w:p>
                        </w:tc>
                      </w:tr>
                      <w:tr>
                        <w:trPr/>
                        <w:tc>
                          <w:tcPr>
                            <w:tcW w:w="9215" w:type="dxa"/>
                            <w:tcBorders>
                              <w:bottom w:val="single" w:sz="8" w:space="0" w:color="000000"/>
                            </w:tcBorders>
                            <w:tcMar>
                              <w:bottom w:w="43" w:type="dxa"/>
                            </w:tcMar>
                            <w:vAlign w:val="center"/>
                          </w:tcPr>
                          <w:p>
                            <w:pPr>
                              <w:pStyle w:val="TableContents"/>
                              <w:bidi w:val="0"/>
                              <w:spacing w:before="130" w:after="283"/>
                              <w:ind w:left="0" w:right="0" w:hanging="0"/>
                              <w:jc w:val="left"/>
                              <w:rPr/>
                            </w:pPr>
                            <w:hyperlink w:anchor="tOTM">
                              <w:r>
                                <w:rPr>
                                  <w:rStyle w:val="InternetLink"/>
                                  <w:rFonts w:ascii="Arial;Helvetica;sans-serif" w:hAnsi="Arial;Helvetica;sans-serif"/>
                                  <w:b/>
                                  <w:color w:val="578255"/>
                                  <w:sz w:val="24"/>
                                </w:rPr>
                                <w:t>OTHER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130" w:after="283"/>
                              <w:ind w:left="218" w:right="0" w:hanging="0"/>
                              <w:jc w:val="left"/>
                              <w:rPr/>
                            </w:pPr>
                            <w:hyperlink w:anchor="tOTM">
                              <w:r>
                                <w:rPr>
                                  <w:rStyle w:val="InternetLink"/>
                                  <w:rFonts w:ascii="Arial;Helvetica;sans-serif" w:hAnsi="Arial;Helvetica;sans-serif"/>
                                  <w:b/>
                                  <w:color w:val="578255"/>
                                  <w:sz w:val="20"/>
                                </w:rPr>
                                <w:t>69</w:t>
                              </w:r>
                            </w:hyperlink>
                          </w:p>
                        </w:tc>
                      </w:tr>
                      <w:tr>
                        <w:trPr/>
                        <w:tc>
                          <w:tcPr>
                            <w:tcW w:w="92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right"/>
                              <w:rPr>
                                <w:color w:val="000000"/>
                              </w:rPr>
                            </w:pPr>
                            <w:r>
                              <w:rPr>
                                <w:color w:val="000000"/>
                              </w:rPr>
                              <w:t> </w:t>
                            </w:r>
                          </w:p>
                        </w:tc>
                      </w:tr>
                      <w:tr>
                        <w:trPr/>
                        <w:tc>
                          <w:tcPr>
                            <w:tcW w:w="9215" w:type="dxa"/>
                            <w:tcBorders>
                              <w:bottom w:val="single" w:sz="8" w:space="0" w:color="000000"/>
                            </w:tcBorders>
                            <w:tcMar>
                              <w:bottom w:w="28" w:type="dxa"/>
                            </w:tcMar>
                            <w:vAlign w:val="center"/>
                          </w:tcPr>
                          <w:p>
                            <w:pPr>
                              <w:pStyle w:val="TableContents"/>
                              <w:bidi w:val="0"/>
                              <w:spacing w:before="130" w:after="283"/>
                              <w:ind w:left="0" w:right="0" w:hanging="0"/>
                              <w:jc w:val="left"/>
                              <w:rPr/>
                            </w:pPr>
                            <w:hyperlink w:anchor="tAPPA">
                              <w:r>
                                <w:rPr>
                                  <w:rStyle w:val="InternetLink"/>
                                  <w:rFonts w:ascii="Arial;Helvetica;sans-serif" w:hAnsi="Arial;Helvetica;sans-serif"/>
                                  <w:b/>
                                  <w:color w:val="578255"/>
                                  <w:sz w:val="24"/>
                                </w:rPr>
                                <w:t>APPENDIX A – GAAP TO NON-GAAP RECONCILIATION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130" w:after="283"/>
                              <w:ind w:left="218" w:right="0" w:hanging="0"/>
                              <w:jc w:val="left"/>
                              <w:rPr/>
                            </w:pPr>
                            <w:hyperlink w:anchor="tAPPA">
                              <w:r>
                                <w:rPr>
                                  <w:rStyle w:val="InternetLink"/>
                                  <w:rFonts w:ascii="Arial;Helvetica;sans-serif" w:hAnsi="Arial;Helvetica;sans-serif"/>
                                  <w:b/>
                                  <w:color w:val="578255"/>
                                  <w:sz w:val="20"/>
                                </w:rPr>
                                <w:t>A-1</w:t>
                              </w:r>
                            </w:hyperlink>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2" w:name="ny20081940x1_def14a_104-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40"/>
        <w:ind w:left="120" w:right="0" w:hanging="0"/>
        <w:jc w:val="left"/>
        <w:rPr>
          <w:rFonts w:ascii="Arial;Helvetica;sans-serif" w:hAnsi="Arial;Helvetica;sans-serif"/>
          <w:b/>
          <w:color w:val="578255"/>
          <w:sz w:val="44"/>
          <w:bdr w:val="single" w:sz="8" w:space="12" w:color="000000"/>
        </w:rPr>
      </w:pPr>
      <w:bookmarkStart w:id="13" w:name="tPROXY"/>
      <w:bookmarkEnd w:id="13"/>
      <w:r>
        <w:rPr>
          <w:rFonts w:ascii="Arial;Helvetica;sans-serif" w:hAnsi="Arial;Helvetica;sans-serif"/>
          <w:b/>
          <w:color w:val="578255"/>
          <w:sz w:val="44"/>
          <w:bdr w:val="single" w:sz="8" w:space="12" w:color="000000"/>
        </w:rPr>
        <w:t xml:space="preserve">2026 PROXY STATEMENT SUMMARY </w:t>
      </w:r>
    </w:p>
    <w:p>
      <w:pPr>
        <w:pStyle w:val="TextBody"/>
        <w:bidi w:val="0"/>
        <w:spacing w:before="400" w:after="240"/>
        <w:ind w:left="120" w:right="0" w:hanging="0"/>
        <w:jc w:val="left"/>
        <w:rPr>
          <w:rFonts w:ascii="Arial;Helvetica;sans-serif" w:hAnsi="Arial;Helvetica;sans-serif"/>
          <w:b/>
          <w:color w:val="000000"/>
          <w:sz w:val="28"/>
          <w:bdr w:val="single" w:sz="8" w:space="12" w:color="000000"/>
        </w:rPr>
      </w:pPr>
      <w:bookmarkStart w:id="14" w:name="tAM"/>
      <w:bookmarkEnd w:id="14"/>
      <w:r>
        <w:rPr>
          <w:rFonts w:ascii="Arial;Helvetica;sans-serif" w:hAnsi="Arial;Helvetica;sans-serif"/>
          <w:b/>
          <w:color w:val="000000"/>
          <w:sz w:val="28"/>
          <w:bdr w:val="single" w:sz="8" w:space="12" w:color="000000"/>
        </w:rPr>
        <w:t xml:space="preserve">2026 Annual General Meeting </w:t>
      </w:r>
    </w:p>
    <w:tbl>
      <w:tblPr>
        <w:tblW w:w="10085" w:type="dxa"/>
        <w:jc w:val="left"/>
        <w:tblInd w:w="120" w:type="dxa"/>
        <w:tblLayout w:type="fixed"/>
        <w:tblCellMar>
          <w:top w:w="0" w:type="dxa"/>
          <w:left w:w="0" w:type="dxa"/>
          <w:bottom w:w="0" w:type="dxa"/>
          <w:right w:w="0" w:type="dxa"/>
        </w:tblCellMar>
      </w:tblPr>
      <w:tblGrid>
        <w:gridCol w:w="185"/>
        <w:gridCol w:w="1195"/>
        <w:gridCol w:w="170"/>
        <w:gridCol w:w="170"/>
        <w:gridCol w:w="8149"/>
        <w:gridCol w:w="216"/>
      </w:tblGrid>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Thursday, December 10, 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9:00 a.m. Pacific Standard Time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Location: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Online via the Internet at </w:t>
            </w:r>
            <w:r>
              <w:rPr>
                <w:rFonts w:ascii="Arial;Helvetica;sans-serif" w:hAnsi="Arial;Helvetica;sans-serif"/>
                <w:b/>
                <w:color w:val="578255"/>
                <w:spacing w:val="-2"/>
                <w:sz w:val="19"/>
              </w:rPr>
              <w:t>www.virtualshareholdermeeting.com/FN2026</w:t>
            </w:r>
            <w:r>
              <w:rPr>
                <w:rFonts w:ascii="Arial;Helvetica;sans-serif" w:hAnsi="Arial;Helvetica;sans-serif"/>
                <w:color w:val="000000"/>
                <w:sz w:val="19"/>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Record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October 13, 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Voting: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Shareholders as of the record date are entitled to vote. Shareholders may cast one vote for each ordinary share held by them as of the record date on all matters properly presented at the Annual Meeting. At the close of business on the record date, there were 35,833,867 ordinary shares outstanding and entitled to vote at the Annual Meeting, as well as 3,964,001 ordinary shares outstanding and held as treasury shares (which are not entitled to vote).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Admission to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You are entitled to attend the Annual Meeting online, vote and submit questions during the meeting by visiting </w:t>
            </w:r>
            <w:r>
              <w:rPr>
                <w:rFonts w:ascii="Arial;Helvetica;sans-serif" w:hAnsi="Arial;Helvetica;sans-serif"/>
                <w:b/>
                <w:color w:val="578255"/>
                <w:spacing w:val="-2"/>
                <w:sz w:val="19"/>
              </w:rPr>
              <w:t>www.virtualshareholdermeeting.com/FN2026</w:t>
            </w:r>
            <w:r>
              <w:rPr>
                <w:rFonts w:ascii="Arial;Helvetica;sans-serif" w:hAnsi="Arial;Helvetica;sans-serif"/>
                <w:color w:val="000000"/>
                <w:sz w:val="19"/>
              </w:rPr>
              <w:t xml:space="preserve"> and entering the 16-digit control number included on your Notice of Internet Availability of Proxy Materials, voting instruction form or proxy card (if you requested printed materials). You will only be entitled to vote and submit questions at the Annual Meeting if you are a shareholder as of the record date.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10" w:after="240"/>
        <w:ind w:left="120" w:right="0" w:hanging="0"/>
        <w:jc w:val="left"/>
        <w:rPr>
          <w:rFonts w:ascii="Arial;Helvetica;sans-serif" w:hAnsi="Arial;Helvetica;sans-serif"/>
          <w:b/>
          <w:color w:val="000000"/>
          <w:sz w:val="28"/>
          <w:bdr w:val="single" w:sz="8" w:space="12" w:color="000000"/>
        </w:rPr>
      </w:pPr>
      <w:bookmarkStart w:id="15" w:name="tMAM"/>
      <w:bookmarkEnd w:id="15"/>
      <w:r>
        <w:rPr>
          <w:rFonts w:ascii="Arial;Helvetica;sans-serif" w:hAnsi="Arial;Helvetica;sans-serif"/>
          <w:b/>
          <w:color w:val="000000"/>
          <w:sz w:val="28"/>
          <w:bdr w:val="single" w:sz="8" w:space="12" w:color="000000"/>
        </w:rPr>
        <w:t xml:space="preserve">Matters to Be Voted on at the Annual Meeting </w:t>
      </w:r>
    </w:p>
    <w:tbl>
      <w:tblPr>
        <w:tblW w:w="10085" w:type="dxa"/>
        <w:jc w:val="left"/>
        <w:tblInd w:w="120" w:type="dxa"/>
        <w:tblLayout w:type="fixed"/>
        <w:tblCellMar>
          <w:top w:w="0" w:type="dxa"/>
          <w:left w:w="0" w:type="dxa"/>
          <w:bottom w:w="0" w:type="dxa"/>
          <w:right w:w="0" w:type="dxa"/>
        </w:tblCellMar>
      </w:tblPr>
      <w:tblGrid>
        <w:gridCol w:w="185"/>
        <w:gridCol w:w="944"/>
        <w:gridCol w:w="170"/>
        <w:gridCol w:w="170"/>
        <w:gridCol w:w="4740"/>
        <w:gridCol w:w="170"/>
        <w:gridCol w:w="170"/>
        <w:gridCol w:w="1685"/>
        <w:gridCol w:w="170"/>
        <w:gridCol w:w="170"/>
        <w:gridCol w:w="1294"/>
        <w:gridCol w:w="217"/>
      </w:tblGrid>
      <w:tr>
        <w:trPr/>
        <w:tc>
          <w:tcPr>
            <w:tcW w:w="185" w:type="dxa"/>
            <w:tcBorders/>
            <w:shd w:fill="819F7C" w:val="clear"/>
            <w:vAlign w:val="center"/>
          </w:tcPr>
          <w:p>
            <w:pPr>
              <w:pStyle w:val="TableContents"/>
              <w:bidi w:val="0"/>
              <w:spacing w:before="0" w:after="0"/>
              <w:jc w:val="left"/>
              <w:rPr/>
            </w:pPr>
            <w:r>
              <w:rPr/>
              <w:t> </w:t>
            </w:r>
          </w:p>
        </w:tc>
        <w:tc>
          <w:tcPr>
            <w:tcW w:w="94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4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Matter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4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Board</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Recommendation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Page Reference for</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More Information</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Election of two Class II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 xml:space="preserve">” each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nominee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1">
              <w:r>
                <w:rPr>
                  <w:rStyle w:val="InternetLink"/>
                  <w:rFonts w:ascii="Arial;Helvetica;sans-serif" w:hAnsi="Arial;Helvetica;sans-serif"/>
                  <w:color w:val="000080"/>
                  <w:sz w:val="19"/>
                </w:rPr>
                <w:t>14</w:t>
              </w:r>
            </w:hyperlink>
            <w:r>
              <w:rPr>
                <w:rFonts w:ascii="Arial;Helvetica;sans-serif" w:hAnsi="Arial;Helvetica;sans-serif"/>
                <w:color w:val="000000"/>
                <w:sz w:val="19"/>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4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Ratification of the appointment of PricewaterhouseCoopers ABAS Ltd. as Fabrinet’s independent auditor for the fiscal year ending June 25, 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4" w:type="dxa"/>
            <w:tcBorders/>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2">
              <w:r>
                <w:rPr>
                  <w:rStyle w:val="InternetLink"/>
                  <w:rFonts w:ascii="Arial;Helvetica;sans-serif" w:hAnsi="Arial;Helvetica;sans-serif"/>
                  <w:color w:val="000080"/>
                  <w:sz w:val="19"/>
                </w:rPr>
                <w:t>34</w:t>
              </w:r>
            </w:hyperlink>
            <w:r>
              <w:rPr>
                <w:rFonts w:ascii="Arial;Helvetica;sans-serif" w:hAnsi="Arial;Helvetica;sans-serif"/>
                <w:color w:val="000000"/>
                <w:sz w:val="19"/>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Proposal 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Advisory vote to approve named executive officer 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b/>
                <w:color w:val="000000"/>
                <w:sz w:val="19"/>
              </w:rPr>
              <w:t>FOR</w:t>
            </w:r>
            <w:r>
              <w:rPr>
                <w:rFonts w:ascii="Arial;Helvetica;sans-serif" w:hAnsi="Arial;Helvetica;sans-serif"/>
                <w:color w:val="000000"/>
                <w:sz w:val="19"/>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283"/>
              <w:jc w:val="center"/>
              <w:rPr/>
            </w:pPr>
            <w:r>
              <w:rPr>
                <w:rFonts w:ascii="Arial;Helvetica;sans-serif" w:hAnsi="Arial;Helvetica;sans-serif"/>
                <w:color w:val="000000"/>
                <w:sz w:val="19"/>
              </w:rPr>
              <w:t xml:space="preserve">Page </w:t>
            </w:r>
            <w:hyperlink w:anchor="tPROP3">
              <w:r>
                <w:rPr>
                  <w:rStyle w:val="InternetLink"/>
                  <w:rFonts w:ascii="Arial;Helvetica;sans-serif" w:hAnsi="Arial;Helvetica;sans-serif"/>
                  <w:color w:val="000080"/>
                  <w:sz w:val="19"/>
                </w:rPr>
                <w:t>35</w:t>
              </w:r>
            </w:hyperlink>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44"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4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p>
      <w:pPr>
        <w:pStyle w:val="TextBody"/>
        <w:bidi w:val="0"/>
        <w:spacing w:before="370" w:after="240"/>
        <w:ind w:left="120" w:right="0" w:hanging="0"/>
        <w:jc w:val="left"/>
        <w:rPr>
          <w:rFonts w:ascii="Arial;Helvetica;sans-serif" w:hAnsi="Arial;Helvetica;sans-serif"/>
          <w:b/>
          <w:i/>
          <w:color w:val="000000"/>
          <w:sz w:val="20"/>
          <w:bdr w:val="single" w:sz="8" w:space="12" w:color="000000"/>
        </w:rPr>
      </w:pPr>
      <w:r>
        <w:rPr>
          <w:rFonts w:ascii="Arial;Helvetica;sans-serif" w:hAnsi="Arial;Helvetica;sans-serif"/>
          <w:b/>
          <w:i/>
          <w:color w:val="000000"/>
          <w:sz w:val="20"/>
          <w:bdr w:val="single" w:sz="8" w:space="12" w:color="000000"/>
        </w:rPr>
        <w:t xml:space="preserve">Class II Director Nominees: Terms to Expire in 2029 </w:t>
      </w:r>
    </w:p>
    <w:tbl>
      <w:tblPr>
        <w:tblW w:w="10085" w:type="dxa"/>
        <w:jc w:val="left"/>
        <w:tblInd w:w="120" w:type="dxa"/>
        <w:tblLayout w:type="fixed"/>
        <w:tblCellMar>
          <w:top w:w="0" w:type="dxa"/>
          <w:left w:w="0" w:type="dxa"/>
          <w:bottom w:w="0" w:type="dxa"/>
          <w:right w:w="0" w:type="dxa"/>
        </w:tblCellMar>
      </w:tblPr>
      <w:tblGrid>
        <w:gridCol w:w="185"/>
        <w:gridCol w:w="1294"/>
        <w:gridCol w:w="170"/>
        <w:gridCol w:w="170"/>
        <w:gridCol w:w="1208"/>
        <w:gridCol w:w="170"/>
        <w:gridCol w:w="170"/>
        <w:gridCol w:w="4474"/>
        <w:gridCol w:w="170"/>
        <w:gridCol w:w="170"/>
        <w:gridCol w:w="1688"/>
        <w:gridCol w:w="216"/>
      </w:tblGrid>
      <w:tr>
        <w:trPr/>
        <w:tc>
          <w:tcPr>
            <w:tcW w:w="185"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0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7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8"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9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08"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Tenure (Years)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74"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Experience and Qualifications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88"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Committees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94"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0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7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CEO experience and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deep industry knowledge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8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None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94"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Thomas F. Kelly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Extensive managerial and operational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experience; audit, financial reporting and cybersecurity expertise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Audit (Chair), </w:t>
            </w:r>
          </w:p>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Compensation</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81940x1_def14a_104-summary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2026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17" w:name="tBFH"/>
      <w:bookmarkEnd w:id="17"/>
      <w:r>
        <w:rPr>
          <w:rFonts w:ascii="Arial;Helvetica;sans-serif" w:hAnsi="Arial;Helvetica;sans-serif"/>
          <w:b/>
          <w:color w:val="000000"/>
          <w:sz w:val="28"/>
          <w:bdr w:val="single" w:sz="8" w:space="12" w:color="000000"/>
        </w:rPr>
        <w:t xml:space="preserve">Business and Financial Highlights </w:t>
      </w:r>
    </w:p>
    <w:p>
      <w:pPr>
        <w:pStyle w:val="TextBody"/>
        <w:bidi w:val="0"/>
        <w:spacing w:before="24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In 2026, we achieved our sixth successive fiscal year of record revenue, net income and net income per diluted share. During fiscal 2026, we also repurchased 13,766 ordinary shares under our share repurchase program for an aggregate purchase price of $5.2 million, which offset dilution from issuances under our equity incentive plans.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The following table illustrates select fiscal 2026 and fiscal 2025 results, as well as the closing share price of our ordinary shares following announcement of our fiscal 2026 and fiscal 2025 year-end results: </w:t>
      </w:r>
    </w:p>
    <w:tbl>
      <w:tblPr>
        <w:tblW w:w="10085" w:type="dxa"/>
        <w:jc w:val="left"/>
        <w:tblInd w:w="120" w:type="dxa"/>
        <w:tblLayout w:type="fixed"/>
        <w:tblCellMar>
          <w:top w:w="0" w:type="dxa"/>
          <w:left w:w="0" w:type="dxa"/>
          <w:bottom w:w="0" w:type="dxa"/>
          <w:right w:w="0" w:type="dxa"/>
        </w:tblCellMar>
      </w:tblPr>
      <w:tblGrid>
        <w:gridCol w:w="185"/>
        <w:gridCol w:w="4661"/>
        <w:gridCol w:w="170"/>
        <w:gridCol w:w="170"/>
        <w:gridCol w:w="1415"/>
        <w:gridCol w:w="170"/>
        <w:gridCol w:w="170"/>
        <w:gridCol w:w="1415"/>
        <w:gridCol w:w="170"/>
        <w:gridCol w:w="170"/>
        <w:gridCol w:w="1173"/>
        <w:gridCol w:w="216"/>
      </w:tblGrid>
      <w:tr>
        <w:trPr/>
        <w:tc>
          <w:tcPr>
            <w:tcW w:w="185" w:type="dxa"/>
            <w:tcBorders/>
            <w:shd w:fill="819F7C" w:val="clear"/>
            <w:vAlign w:val="center"/>
          </w:tcPr>
          <w:p>
            <w:pPr>
              <w:pStyle w:val="TableContents"/>
              <w:bidi w:val="0"/>
              <w:spacing w:before="0" w:after="0"/>
              <w:jc w:val="left"/>
              <w:rPr/>
            </w:pPr>
            <w:r>
              <w:rPr/>
              <w:t> </w:t>
            </w:r>
          </w:p>
        </w:tc>
        <w:tc>
          <w:tcPr>
            <w:tcW w:w="4661"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73"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661"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2026</w:t>
            </w:r>
            <w:r>
              <w:rPr>
                <w:rFonts w:ascii="Arial;Helvetica;sans-serif" w:hAnsi="Arial;Helvetica;sans-serif"/>
                <w:b/>
                <w:color w:val="FFFFFF"/>
                <w:position w:val="7"/>
                <w:sz w:val="16"/>
                <w:sz w:val="20"/>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15"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73" w:type="dxa"/>
            <w:tcBorders/>
            <w:shd w:fill="819F7C"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Change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$4,641.1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$3,419.3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35.7%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GAAP gross margin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(10 basis points)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gross margin</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(20 basis points)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Operating margin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50 basis points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operating margin</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30 basis points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$473.0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$332.5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42.3%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net income</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$510.9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$368.8 million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38.5%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Net income per diluted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42.3%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661"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Non-GAAP net income per diluted share</w:t>
            </w:r>
            <w:r>
              <w:rPr>
                <w:rFonts w:ascii="Arial;Helvetica;sans-serif" w:hAnsi="Arial;Helvetica;sans-serif"/>
                <w:color w:val="000000"/>
                <w:position w:val="7"/>
                <w:sz w:val="16"/>
                <w:sz w:val="20"/>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1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73"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38.5%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1"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Closing share price (on business day following announcement of fiscal year-end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3"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59.4%</w:t>
            </w:r>
          </w:p>
        </w:tc>
        <w:tc>
          <w:tcPr>
            <w:tcW w:w="216" w:type="dxa"/>
            <w:tcBorders/>
            <w:vAlign w:val="center"/>
          </w:tcPr>
          <w:p>
            <w:pPr>
              <w:pStyle w:val="TableContents"/>
              <w:bidi w:val="0"/>
              <w:spacing w:before="0" w:after="0"/>
              <w:jc w:val="left"/>
              <w:rPr/>
            </w:pPr>
            <w:r>
              <w:rPr/>
              <w:t> </w:t>
            </w:r>
          </w:p>
        </w:tc>
      </w:tr>
    </w:tbl>
    <w:tbl>
      <w:tblPr>
        <w:tblW w:w="10085" w:type="dxa"/>
        <w:jc w:val="left"/>
        <w:tblInd w:w="120" w:type="dxa"/>
        <w:tblLayout w:type="fixed"/>
        <w:tblCellMar>
          <w:top w:w="0" w:type="dxa"/>
          <w:left w:w="0" w:type="dxa"/>
          <w:bottom w:w="0" w:type="dxa"/>
          <w:right w:w="0" w:type="dxa"/>
        </w:tblCellMar>
      </w:tblPr>
      <w:tblGrid>
        <w:gridCol w:w="202"/>
        <w:gridCol w:w="9883"/>
      </w:tblGrid>
      <w:tr>
        <w:trPr/>
        <w:tc>
          <w:tcPr>
            <w:tcW w:w="2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88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Please see the section titled “Management’s Discussion and Analysis of Financial Condition and Results of Operations” in our Annual Report on Form 10-K for our fiscal year ended June 26, 2026 (filed with the Securities and Exchange Commission on August 18, 2026), for a more detailed discussion of our fiscal 2026 financial results. </w:t>
            </w:r>
          </w:p>
        </w:tc>
      </w:tr>
    </w:tbl>
    <w:tbl>
      <w:tblPr>
        <w:tblW w:w="10085" w:type="dxa"/>
        <w:jc w:val="left"/>
        <w:tblInd w:w="120" w:type="dxa"/>
        <w:tblLayout w:type="fixed"/>
        <w:tblCellMar>
          <w:top w:w="0" w:type="dxa"/>
          <w:left w:w="0" w:type="dxa"/>
          <w:bottom w:w="0" w:type="dxa"/>
          <w:right w:w="0" w:type="dxa"/>
        </w:tblCellMar>
      </w:tblPr>
      <w:tblGrid>
        <w:gridCol w:w="210"/>
        <w:gridCol w:w="987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87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Please refer to </w:t>
            </w:r>
            <w:r>
              <w:rPr>
                <w:rFonts w:ascii="Arial;Helvetica;sans-serif" w:hAnsi="Arial;Helvetica;sans-serif"/>
                <w:b/>
                <w:color w:val="000000"/>
                <w:sz w:val="15"/>
              </w:rPr>
              <w:t>Appendix A</w:t>
            </w:r>
            <w:r>
              <w:rPr>
                <w:rFonts w:ascii="Arial;Helvetica;sans-serif" w:hAnsi="Arial;Helvetica;sans-serif"/>
                <w:color w:val="000000"/>
                <w:sz w:val="15"/>
              </w:rPr>
              <w:t xml:space="preserve"> for a reconciliation of this non-GAAP financial measure to the most directly comparable financial measure calculated in accordance with generally accepted accounting principles in the United States (“</w:t>
            </w:r>
            <w:r>
              <w:rPr>
                <w:rFonts w:ascii="Arial;Helvetica;sans-serif" w:hAnsi="Arial;Helvetica;sans-serif"/>
                <w:b/>
                <w:color w:val="000000"/>
                <w:sz w:val="15"/>
              </w:rPr>
              <w:t>GAAP</w:t>
            </w:r>
            <w:r>
              <w:rPr>
                <w:rFonts w:ascii="Arial;Helvetica;sans-serif" w:hAnsi="Arial;Helvetica;sans-serif"/>
                <w:color w:val="000000"/>
                <w:sz w:val="15"/>
              </w:rPr>
              <w:t xml:space="preserve">”). </w:t>
            </w:r>
          </w:p>
        </w:tc>
      </w:tr>
    </w:tbl>
    <w:tbl>
      <w:tblPr>
        <w:tblW w:w="3360" w:type="dxa"/>
        <w:jc w:val="left"/>
        <w:tblInd w:w="12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81940x1_def14a_104-summary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right"/>
        <w:rPr>
          <w:rFonts w:ascii="Arial;Helvetica;sans-serif" w:hAnsi="Arial;Helvetica;sans-serif"/>
          <w:color w:val="000000"/>
          <w:sz w:val="16"/>
        </w:rPr>
      </w:pPr>
      <w:r>
        <w:rPr>
          <w:rFonts w:ascii="Arial;Helvetica;sans-serif" w:hAnsi="Arial;Helvetica;sans-serif"/>
          <w:color w:val="000000"/>
          <w:sz w:val="16"/>
        </w:rPr>
        <w:t xml:space="preserve">2026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19" w:name="tGH"/>
      <w:bookmarkEnd w:id="19"/>
      <w:r>
        <w:rPr>
          <w:rFonts w:ascii="Arial;Helvetica;sans-serif" w:hAnsi="Arial;Helvetica;sans-serif"/>
          <w:b/>
          <w:color w:val="000000"/>
          <w:sz w:val="28"/>
          <w:bdr w:val="single" w:sz="8" w:space="12" w:color="000000"/>
        </w:rPr>
        <w:t xml:space="preserve">Governance Highlights </w:t>
      </w:r>
    </w:p>
    <w:p>
      <w:pPr>
        <w:pStyle w:val="TextBody"/>
        <w:bidi w:val="0"/>
        <w:spacing w:before="280" w:after="240"/>
        <w:ind w:left="120" w:right="0" w:hanging="0"/>
        <w:jc w:val="left"/>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commitment to good corporate governance is illustrated by the following practices: </w:t>
      </w:r>
    </w:p>
    <w:p>
      <w:pPr>
        <w:pStyle w:val="TextBody"/>
        <w:bidi w:val="0"/>
        <w:spacing w:before="28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Board Composition at a Glance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24200" cy="1577340"/>
                <wp:effectExtent l="0" t="0" r="0" b="0"/>
                <wp:wrapSquare wrapText="right"/>
                <wp:docPr id="9" name="Frame5"/>
                <a:graphic xmlns:a="http://schemas.openxmlformats.org/drawingml/2006/main">
                  <a:graphicData uri="http://schemas.microsoft.com/office/word/2010/wordprocessingShape">
                    <wps:wsp>
                      <wps:cNvSpPr txBox="1"/>
                      <wps:spPr>
                        <a:xfrm>
                          <a:off x="0" y="0"/>
                          <a:ext cx="3124200" cy="1577340"/>
                        </a:xfrm>
                        <a:prstGeom prst="rect"/>
                        <a:solidFill>
                          <a:srgbClr val="FFFFFF"/>
                        </a:solidFill>
                      </wps:spPr>
                      <wps:txbx>
                        <w:txbxContent>
                          <w:tbl>
                            <w:tblPr>
                              <w:tblW w:w="5620" w:type="dxa"/>
                              <w:jc w:val="left"/>
                              <w:tblInd w:w="120" w:type="dxa"/>
                              <w:tblLayout w:type="fixed"/>
                              <w:tblCellMar>
                                <w:top w:w="0" w:type="dxa"/>
                                <w:left w:w="0" w:type="dxa"/>
                                <w:bottom w:w="0" w:type="dxa"/>
                                <w:right w:w="0" w:type="dxa"/>
                              </w:tblCellMar>
                            </w:tblPr>
                            <w:tblGrid>
                              <w:gridCol w:w="455"/>
                              <w:gridCol w:w="51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4775" cy="104775"/>
                                                </a:xfrm>
                                                <a:prstGeom prst="rect">
                                                  <a:avLst/>
                                                </a:prstGeom>
                                              </pic:spPr>
                                            </pic:pic>
                                          </a:graphicData>
                                        </a:graphic>
                                      </wp:inline>
                                    </w:drawing>
                                  </w:r>
                                  <w:r>
                                    <w:rPr>
                                      <w:color w:val="578255"/>
                                    </w:rPr>
                                    <w:t> </w:t>
                                  </w:r>
                                </w:p>
                              </w:tc>
                              <w:tc>
                                <w:tcPr>
                                  <w:tcW w:w="51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independence (5 out of 6 directors are independent) </w:t>
                                  </w:r>
                                </w:p>
                              </w:tc>
                            </w:tr>
                          </w:tbl>
                          <w:tbl>
                            <w:tblPr>
                              <w:tblW w:w="8275" w:type="dxa"/>
                              <w:jc w:val="left"/>
                              <w:tblInd w:w="120" w:type="dxa"/>
                              <w:tblLayout w:type="fixed"/>
                              <w:tblCellMar>
                                <w:top w:w="0" w:type="dxa"/>
                                <w:left w:w="0" w:type="dxa"/>
                                <w:bottom w:w="0" w:type="dxa"/>
                                <w:right w:w="0" w:type="dxa"/>
                              </w:tblCellMar>
                            </w:tblPr>
                            <w:tblGrid>
                              <w:gridCol w:w="455"/>
                              <w:gridCol w:w="78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4775" cy="104775"/>
                                                </a:xfrm>
                                                <a:prstGeom prst="rect">
                                                  <a:avLst/>
                                                </a:prstGeom>
                                              </pic:spPr>
                                            </pic:pic>
                                          </a:graphicData>
                                        </a:graphic>
                                      </wp:inline>
                                    </w:drawing>
                                  </w:r>
                                  <w:r>
                                    <w:rPr>
                                      <w:color w:val="578255"/>
                                    </w:rPr>
                                    <w:t> </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directors regularly meet in executive sessions without management present </w:t>
                                  </w:r>
                                </w:p>
                              </w:tc>
                            </w:tr>
                          </w:tbl>
                          <w:tbl>
                            <w:tblPr>
                              <w:tblW w:w="8350" w:type="dxa"/>
                              <w:jc w:val="left"/>
                              <w:tblInd w:w="120" w:type="dxa"/>
                              <w:tblLayout w:type="fixed"/>
                              <w:tblCellMar>
                                <w:top w:w="0" w:type="dxa"/>
                                <w:left w:w="0" w:type="dxa"/>
                                <w:bottom w:w="0" w:type="dxa"/>
                                <w:right w:w="0" w:type="dxa"/>
                              </w:tblCellMar>
                            </w:tblPr>
                            <w:tblGrid>
                              <w:gridCol w:w="455"/>
                              <w:gridCol w:w="789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4775" cy="104775"/>
                                                </a:xfrm>
                                                <a:prstGeom prst="rect">
                                                  <a:avLst/>
                                                </a:prstGeom>
                                              </pic:spPr>
                                            </pic:pic>
                                          </a:graphicData>
                                        </a:graphic>
                                      </wp:inline>
                                    </w:drawing>
                                  </w:r>
                                  <w:r>
                                    <w:rPr>
                                      <w:color w:val="578255"/>
                                    </w:rPr>
                                    <w:t> </w:t>
                                  </w:r>
                                </w:p>
                              </w:tc>
                              <w:tc>
                                <w:tcPr>
                                  <w:tcW w:w="78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Incumbent directors attended 100% of Board and Committee meetings held in fiscal 2026 </w:t>
                                  </w:r>
                                </w:p>
                              </w:tc>
                            </w:tr>
                          </w:tbl>
                          <w:tbl>
                            <w:tblPr>
                              <w:tblW w:w="4045" w:type="dxa"/>
                              <w:jc w:val="left"/>
                              <w:tblInd w:w="120" w:type="dxa"/>
                              <w:tblLayout w:type="fixed"/>
                              <w:tblCellMar>
                                <w:top w:w="0" w:type="dxa"/>
                                <w:left w:w="0" w:type="dxa"/>
                                <w:bottom w:w="0" w:type="dxa"/>
                                <w:right w:w="0" w:type="dxa"/>
                              </w:tblCellMar>
                            </w:tblPr>
                            <w:tblGrid>
                              <w:gridCol w:w="455"/>
                              <w:gridCol w:w="3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4775" cy="104775"/>
                                                </a:xfrm>
                                                <a:prstGeom prst="rect">
                                                  <a:avLst/>
                                                </a:prstGeom>
                                              </pic:spPr>
                                            </pic:pic>
                                          </a:graphicData>
                                        </a:graphic>
                                      </wp:inline>
                                    </w:drawing>
                                  </w:r>
                                  <w:r>
                                    <w:rPr>
                                      <w:color w:val="578255"/>
                                    </w:rPr>
                                    <w:t> </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Diversity of Board skills and experience </w:t>
                                  </w:r>
                                </w:p>
                              </w:tc>
                            </w:tr>
                          </w:tbl>
                          <w:tbl>
                            <w:tblPr>
                              <w:tblW w:w="4195" w:type="dxa"/>
                              <w:jc w:val="left"/>
                              <w:tblInd w:w="120" w:type="dxa"/>
                              <w:tblLayout w:type="fixed"/>
                              <w:tblCellMar>
                                <w:top w:w="0" w:type="dxa"/>
                                <w:left w:w="0" w:type="dxa"/>
                                <w:bottom w:w="0" w:type="dxa"/>
                                <w:right w:w="0" w:type="dxa"/>
                              </w:tblCellMar>
                            </w:tblPr>
                            <w:tblGrid>
                              <w:gridCol w:w="455"/>
                              <w:gridCol w:w="37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4775" cy="104775"/>
                                                </a:xfrm>
                                                <a:prstGeom prst="rect">
                                                  <a:avLst/>
                                                </a:prstGeom>
                                              </pic:spPr>
                                            </pic:pic>
                                          </a:graphicData>
                                        </a:graphic>
                                      </wp:inline>
                                    </w:drawing>
                                  </w:r>
                                  <w:r>
                                    <w:rPr>
                                      <w:color w:val="578255"/>
                                    </w:rPr>
                                    <w:t> </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evaluations </w:t>
                                  </w:r>
                                </w:p>
                              </w:tc>
                            </w:tr>
                          </w:tbl>
                          <w:tbl>
                            <w:tblPr>
                              <w:tblW w:w="5125" w:type="dxa"/>
                              <w:jc w:val="left"/>
                              <w:tblInd w:w="120" w:type="dxa"/>
                              <w:tblLayout w:type="fixed"/>
                              <w:tblCellMar>
                                <w:top w:w="0" w:type="dxa"/>
                                <w:left w:w="0" w:type="dxa"/>
                                <w:bottom w:w="0" w:type="dxa"/>
                                <w:right w:w="0" w:type="dxa"/>
                              </w:tblCellMar>
                            </w:tblPr>
                            <w:tblGrid>
                              <w:gridCol w:w="455"/>
                              <w:gridCol w:w="467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4775" cy="104775"/>
                                                </a:xfrm>
                                                <a:prstGeom prst="rect">
                                                  <a:avLst/>
                                                </a:prstGeom>
                                              </pic:spPr>
                                            </pic:pic>
                                          </a:graphicData>
                                        </a:graphic>
                                      </wp:inline>
                                    </w:drawing>
                                  </w:r>
                                  <w:r>
                                    <w:rPr>
                                      <w:color w:val="578255"/>
                                    </w:rPr>
                                    <w:t> </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Strong corporate governance guidelines and policies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124.2pt;mso-wrap-distance-left:0pt;mso-wrap-distance-right:0pt;mso-wrap-distance-top:0pt;mso-wrap-distance-bottom:0pt;margin-top:0pt;mso-position-vertical:top;mso-position-vertical-relative:text;margin-left:0pt;mso-position-horizontal:left;mso-position-horizontal-relative:text">
                <v:textbox>
                  <w:txbxContent>
                    <w:tbl>
                      <w:tblPr>
                        <w:tblW w:w="5620" w:type="dxa"/>
                        <w:jc w:val="left"/>
                        <w:tblInd w:w="120" w:type="dxa"/>
                        <w:tblLayout w:type="fixed"/>
                        <w:tblCellMar>
                          <w:top w:w="0" w:type="dxa"/>
                          <w:left w:w="0" w:type="dxa"/>
                          <w:bottom w:w="0" w:type="dxa"/>
                          <w:right w:w="0" w:type="dxa"/>
                        </w:tblCellMar>
                      </w:tblPr>
                      <w:tblGrid>
                        <w:gridCol w:w="455"/>
                        <w:gridCol w:w="51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2"/>
                                          <a:stretch>
                                            <a:fillRect/>
                                          </a:stretch>
                                        </pic:blipFill>
                                        <pic:spPr bwMode="auto">
                                          <a:xfrm>
                                            <a:off x="0" y="0"/>
                                            <a:ext cx="104775" cy="104775"/>
                                          </a:xfrm>
                                          <a:prstGeom prst="rect">
                                            <a:avLst/>
                                          </a:prstGeom>
                                        </pic:spPr>
                                      </pic:pic>
                                    </a:graphicData>
                                  </a:graphic>
                                </wp:inline>
                              </w:drawing>
                            </w:r>
                            <w:r>
                              <w:rPr>
                                <w:color w:val="578255"/>
                              </w:rPr>
                              <w:t> </w:t>
                            </w:r>
                          </w:p>
                        </w:tc>
                        <w:tc>
                          <w:tcPr>
                            <w:tcW w:w="51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independence (5 out of 6 directors are independent) </w:t>
                            </w:r>
                          </w:p>
                        </w:tc>
                      </w:tr>
                    </w:tbl>
                    <w:tbl>
                      <w:tblPr>
                        <w:tblW w:w="8275" w:type="dxa"/>
                        <w:jc w:val="left"/>
                        <w:tblInd w:w="120" w:type="dxa"/>
                        <w:tblLayout w:type="fixed"/>
                        <w:tblCellMar>
                          <w:top w:w="0" w:type="dxa"/>
                          <w:left w:w="0" w:type="dxa"/>
                          <w:bottom w:w="0" w:type="dxa"/>
                          <w:right w:w="0" w:type="dxa"/>
                        </w:tblCellMar>
                      </w:tblPr>
                      <w:tblGrid>
                        <w:gridCol w:w="455"/>
                        <w:gridCol w:w="78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3"/>
                                          <a:stretch>
                                            <a:fillRect/>
                                          </a:stretch>
                                        </pic:blipFill>
                                        <pic:spPr bwMode="auto">
                                          <a:xfrm>
                                            <a:off x="0" y="0"/>
                                            <a:ext cx="104775" cy="104775"/>
                                          </a:xfrm>
                                          <a:prstGeom prst="rect">
                                            <a:avLst/>
                                          </a:prstGeom>
                                        </pic:spPr>
                                      </pic:pic>
                                    </a:graphicData>
                                  </a:graphic>
                                </wp:inline>
                              </w:drawing>
                            </w:r>
                            <w:r>
                              <w:rPr>
                                <w:color w:val="578255"/>
                              </w:rPr>
                              <w:t> </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directors regularly meet in executive sessions without management present </w:t>
                            </w:r>
                          </w:p>
                        </w:tc>
                      </w:tr>
                    </w:tbl>
                    <w:tbl>
                      <w:tblPr>
                        <w:tblW w:w="8350" w:type="dxa"/>
                        <w:jc w:val="left"/>
                        <w:tblInd w:w="120" w:type="dxa"/>
                        <w:tblLayout w:type="fixed"/>
                        <w:tblCellMar>
                          <w:top w:w="0" w:type="dxa"/>
                          <w:left w:w="0" w:type="dxa"/>
                          <w:bottom w:w="0" w:type="dxa"/>
                          <w:right w:w="0" w:type="dxa"/>
                        </w:tblCellMar>
                      </w:tblPr>
                      <w:tblGrid>
                        <w:gridCol w:w="455"/>
                        <w:gridCol w:w="789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4"/>
                                          <a:stretch>
                                            <a:fillRect/>
                                          </a:stretch>
                                        </pic:blipFill>
                                        <pic:spPr bwMode="auto">
                                          <a:xfrm>
                                            <a:off x="0" y="0"/>
                                            <a:ext cx="104775" cy="104775"/>
                                          </a:xfrm>
                                          <a:prstGeom prst="rect">
                                            <a:avLst/>
                                          </a:prstGeom>
                                        </pic:spPr>
                                      </pic:pic>
                                    </a:graphicData>
                                  </a:graphic>
                                </wp:inline>
                              </w:drawing>
                            </w:r>
                            <w:r>
                              <w:rPr>
                                <w:color w:val="578255"/>
                              </w:rPr>
                              <w:t> </w:t>
                            </w:r>
                          </w:p>
                        </w:tc>
                        <w:tc>
                          <w:tcPr>
                            <w:tcW w:w="78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Incumbent directors attended 100% of Board and Committee meetings held in fiscal 2026 </w:t>
                            </w:r>
                          </w:p>
                        </w:tc>
                      </w:tr>
                    </w:tbl>
                    <w:tbl>
                      <w:tblPr>
                        <w:tblW w:w="4045" w:type="dxa"/>
                        <w:jc w:val="left"/>
                        <w:tblInd w:w="120" w:type="dxa"/>
                        <w:tblLayout w:type="fixed"/>
                        <w:tblCellMar>
                          <w:top w:w="0" w:type="dxa"/>
                          <w:left w:w="0" w:type="dxa"/>
                          <w:bottom w:w="0" w:type="dxa"/>
                          <w:right w:w="0" w:type="dxa"/>
                        </w:tblCellMar>
                      </w:tblPr>
                      <w:tblGrid>
                        <w:gridCol w:w="455"/>
                        <w:gridCol w:w="3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r>
                              <w:rPr>
                                <w:color w:val="578255"/>
                              </w:rPr>
                              <w:t> </w:t>
                            </w:r>
                          </w:p>
                        </w:tc>
                        <w:tc>
                          <w:tcPr>
                            <w:tcW w:w="3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Diversity of Board skills and experience </w:t>
                            </w:r>
                          </w:p>
                        </w:tc>
                      </w:tr>
                    </w:tbl>
                    <w:tbl>
                      <w:tblPr>
                        <w:tblW w:w="4195" w:type="dxa"/>
                        <w:jc w:val="left"/>
                        <w:tblInd w:w="120" w:type="dxa"/>
                        <w:tblLayout w:type="fixed"/>
                        <w:tblCellMar>
                          <w:top w:w="0" w:type="dxa"/>
                          <w:left w:w="0" w:type="dxa"/>
                          <w:bottom w:w="0" w:type="dxa"/>
                          <w:right w:w="0" w:type="dxa"/>
                        </w:tblCellMar>
                      </w:tblPr>
                      <w:tblGrid>
                        <w:gridCol w:w="455"/>
                        <w:gridCol w:w="37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6"/>
                                          <a:stretch>
                                            <a:fillRect/>
                                          </a:stretch>
                                        </pic:blipFill>
                                        <pic:spPr bwMode="auto">
                                          <a:xfrm>
                                            <a:off x="0" y="0"/>
                                            <a:ext cx="104775" cy="104775"/>
                                          </a:xfrm>
                                          <a:prstGeom prst="rect">
                                            <a:avLst/>
                                          </a:prstGeom>
                                        </pic:spPr>
                                      </pic:pic>
                                    </a:graphicData>
                                  </a:graphic>
                                </wp:inline>
                              </w:drawing>
                            </w:r>
                            <w:r>
                              <w:rPr>
                                <w:color w:val="578255"/>
                              </w:rPr>
                              <w:t> </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evaluations </w:t>
                            </w:r>
                          </w:p>
                        </w:tc>
                      </w:tr>
                    </w:tbl>
                    <w:tbl>
                      <w:tblPr>
                        <w:tblW w:w="5125" w:type="dxa"/>
                        <w:jc w:val="left"/>
                        <w:tblInd w:w="120" w:type="dxa"/>
                        <w:tblLayout w:type="fixed"/>
                        <w:tblCellMar>
                          <w:top w:w="0" w:type="dxa"/>
                          <w:left w:w="0" w:type="dxa"/>
                          <w:bottom w:w="0" w:type="dxa"/>
                          <w:right w:w="0" w:type="dxa"/>
                        </w:tblCellMar>
                      </w:tblPr>
                      <w:tblGrid>
                        <w:gridCol w:w="455"/>
                        <w:gridCol w:w="467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color w:val="578255"/>
                              </w:rPr>
                              <w:t> </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Strong corporate governance guidelines and policies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82">
                <wp:simplePos x="0" y="0"/>
                <wp:positionH relativeFrom="column">
                  <wp:align>left</wp:align>
                </wp:positionH>
                <wp:positionV relativeFrom="line">
                  <wp:posOffset>635</wp:posOffset>
                </wp:positionV>
                <wp:extent cx="3124200" cy="1226820"/>
                <wp:effectExtent l="0" t="0" r="0" b="0"/>
                <wp:wrapSquare wrapText="right"/>
                <wp:docPr id="22" name="Frame6"/>
                <a:graphic xmlns:a="http://schemas.openxmlformats.org/drawingml/2006/main">
                  <a:graphicData uri="http://schemas.microsoft.com/office/word/2010/wordprocessingShape">
                    <wps:wsp>
                      <wps:cNvSpPr txBox="1"/>
                      <wps:spPr>
                        <a:xfrm>
                          <a:off x="0" y="0"/>
                          <a:ext cx="3124200" cy="1226820"/>
                        </a:xfrm>
                        <a:prstGeom prst="rect"/>
                        <a:solidFill>
                          <a:srgbClr val="FFFFFF"/>
                        </a:solidFill>
                      </wps:spPr>
                      <wps:txbx>
                        <w:txbxContent>
                          <w:tbl>
                            <w:tblPr>
                              <w:tblW w:w="6400" w:type="dxa"/>
                              <w:jc w:val="left"/>
                              <w:tblInd w:w="120" w:type="dxa"/>
                              <w:tblLayout w:type="fixed"/>
                              <w:tblCellMar>
                                <w:top w:w="0" w:type="dxa"/>
                                <w:left w:w="0" w:type="dxa"/>
                                <w:bottom w:w="0" w:type="dxa"/>
                                <w:right w:w="0" w:type="dxa"/>
                              </w:tblCellMar>
                            </w:tblPr>
                            <w:tblGrid>
                              <w:gridCol w:w="455"/>
                              <w:gridCol w:w="59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color w:val="578255"/>
                                    </w:rPr>
                                    <w:t> </w:t>
                                  </w:r>
                                </w:p>
                              </w:tc>
                              <w:tc>
                                <w:tcPr>
                                  <w:tcW w:w="59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director resignation policy for uncontested elections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9"/>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tbl>
                            <w:tblPr>
                              <w:tblW w:w="3145" w:type="dxa"/>
                              <w:jc w:val="left"/>
                              <w:tblInd w:w="12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r>
                                    <w:rPr>
                                      <w:color w:val="578255"/>
                                    </w:rPr>
                                    <w:t> </w:t>
                                  </w:r>
                                </w:p>
                              </w:tc>
                              <w:tc>
                                <w:tcPr>
                                  <w:tcW w:w="26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Succession planning process </w:t>
                                  </w:r>
                                </w:p>
                              </w:tc>
                            </w:tr>
                          </w:tbl>
                          <w:tbl>
                            <w:tblPr>
                              <w:tblW w:w="3205" w:type="dxa"/>
                              <w:jc w:val="left"/>
                              <w:tblInd w:w="120" w:type="dxa"/>
                              <w:tblLayout w:type="fixed"/>
                              <w:tblCellMar>
                                <w:top w:w="0" w:type="dxa"/>
                                <w:left w:w="0" w:type="dxa"/>
                                <w:bottom w:w="0" w:type="dxa"/>
                                <w:right w:w="0" w:type="dxa"/>
                              </w:tblCellMar>
                            </w:tblPr>
                            <w:tblGrid>
                              <w:gridCol w:w="455"/>
                              <w:gridCol w:w="27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104775" cy="104775"/>
                                                </a:xfrm>
                                                <a:prstGeom prst="rect">
                                                  <a:avLst/>
                                                </a:prstGeom>
                                              </pic:spPr>
                                            </pic:pic>
                                          </a:graphicData>
                                        </a:graphic>
                                      </wp:inline>
                                    </w:drawing>
                                  </w:r>
                                  <w:r>
                                    <w:rPr>
                                      <w:color w:val="578255"/>
                                    </w:rPr>
                                    <w:t> </w:t>
                                  </w:r>
                                </w:p>
                              </w:tc>
                              <w:tc>
                                <w:tcPr>
                                  <w:tcW w:w="2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outreach program </w:t>
                                  </w:r>
                                </w:p>
                              </w:tc>
                            </w:tr>
                          </w:tbl>
                          <w:tbl>
                            <w:tblPr>
                              <w:tblW w:w="3835" w:type="dxa"/>
                              <w:jc w:val="left"/>
                              <w:tblInd w:w="120" w:type="dxa"/>
                              <w:tblLayout w:type="fixed"/>
                              <w:tblCellMar>
                                <w:top w:w="0" w:type="dxa"/>
                                <w:left w:w="0" w:type="dxa"/>
                                <w:bottom w:w="0" w:type="dxa"/>
                                <w:right w:w="0" w:type="dxa"/>
                              </w:tblCellMar>
                            </w:tblPr>
                            <w:tblGrid>
                              <w:gridCol w:w="455"/>
                              <w:gridCol w:w="33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2"/>
                                                <a:stretch>
                                                  <a:fillRect/>
                                                </a:stretch>
                                              </pic:blipFill>
                                              <pic:spPr bwMode="auto">
                                                <a:xfrm>
                                                  <a:off x="0" y="0"/>
                                                  <a:ext cx="104775" cy="104775"/>
                                                </a:xfrm>
                                                <a:prstGeom prst="rect">
                                                  <a:avLst/>
                                                </a:prstGeom>
                                              </pic:spPr>
                                            </pic:pic>
                                          </a:graphicData>
                                        </a:graphic>
                                      </wp:inline>
                                    </w:drawing>
                                  </w:r>
                                  <w:r>
                                    <w:rPr>
                                      <w:color w:val="578255"/>
                                    </w:rPr>
                                    <w:t> </w:t>
                                  </w:r>
                                </w:p>
                              </w:tc>
                              <w:tc>
                                <w:tcPr>
                                  <w:tcW w:w="3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risk oversight and assessment </w:t>
                                  </w:r>
                                </w:p>
                              </w:tc>
                            </w:tr>
                          </w:tbl>
                          <w:tbl>
                            <w:tblPr>
                              <w:tblW w:w="7045" w:type="dxa"/>
                              <w:jc w:val="left"/>
                              <w:tblInd w:w="120" w:type="dxa"/>
                              <w:tblLayout w:type="fixed"/>
                              <w:tblCellMar>
                                <w:top w:w="0" w:type="dxa"/>
                                <w:left w:w="0" w:type="dxa"/>
                                <w:bottom w:w="0" w:type="dxa"/>
                                <w:right w:w="0" w:type="dxa"/>
                              </w:tblCellMar>
                            </w:tblPr>
                            <w:tblGrid>
                              <w:gridCol w:w="455"/>
                              <w:gridCol w:w="6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color w:val="578255"/>
                                    </w:rPr>
                                    <w:t> </w:t>
                                  </w:r>
                                </w:p>
                              </w:tc>
                              <w:tc>
                                <w:tcPr>
                                  <w:tcW w:w="6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refreshment (2 out of 6 directors have a tenure of less than 5 years)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96.6pt;mso-wrap-distance-left:18pt;mso-wrap-distance-right:0pt;mso-wrap-distance-top:0pt;mso-wrap-distance-bottom:0pt;margin-top:0pt;mso-position-vertical:top;mso-position-vertical-relative:text;margin-left:264pt;mso-position-horizontal:left;mso-position-horizontal-relative:text">
                <v:textbox>
                  <w:txbxContent>
                    <w:tbl>
                      <w:tblPr>
                        <w:tblW w:w="6400" w:type="dxa"/>
                        <w:jc w:val="left"/>
                        <w:tblInd w:w="120" w:type="dxa"/>
                        <w:tblLayout w:type="fixed"/>
                        <w:tblCellMar>
                          <w:top w:w="0" w:type="dxa"/>
                          <w:left w:w="0" w:type="dxa"/>
                          <w:bottom w:w="0" w:type="dxa"/>
                          <w:right w:w="0" w:type="dxa"/>
                        </w:tblCellMar>
                      </w:tblPr>
                      <w:tblGrid>
                        <w:gridCol w:w="455"/>
                        <w:gridCol w:w="59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r>
                              <w:rPr>
                                <w:color w:val="578255"/>
                              </w:rPr>
                              <w:t> </w:t>
                            </w:r>
                          </w:p>
                        </w:tc>
                        <w:tc>
                          <w:tcPr>
                            <w:tcW w:w="59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director resignation policy for uncontested elections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5"/>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tbl>
                      <w:tblPr>
                        <w:tblW w:w="3145" w:type="dxa"/>
                        <w:jc w:val="left"/>
                        <w:tblInd w:w="12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26"/>
                                          <a:stretch>
                                            <a:fillRect/>
                                          </a:stretch>
                                        </pic:blipFill>
                                        <pic:spPr bwMode="auto">
                                          <a:xfrm>
                                            <a:off x="0" y="0"/>
                                            <a:ext cx="104775" cy="104775"/>
                                          </a:xfrm>
                                          <a:prstGeom prst="rect">
                                            <a:avLst/>
                                          </a:prstGeom>
                                        </pic:spPr>
                                      </pic:pic>
                                    </a:graphicData>
                                  </a:graphic>
                                </wp:inline>
                              </w:drawing>
                            </w:r>
                            <w:r>
                              <w:rPr>
                                <w:color w:val="578255"/>
                              </w:rPr>
                              <w:t> </w:t>
                            </w:r>
                          </w:p>
                        </w:tc>
                        <w:tc>
                          <w:tcPr>
                            <w:tcW w:w="26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Succession planning process </w:t>
                            </w:r>
                          </w:p>
                        </w:tc>
                      </w:tr>
                    </w:tbl>
                    <w:tbl>
                      <w:tblPr>
                        <w:tblW w:w="3205" w:type="dxa"/>
                        <w:jc w:val="left"/>
                        <w:tblInd w:w="120" w:type="dxa"/>
                        <w:tblLayout w:type="fixed"/>
                        <w:tblCellMar>
                          <w:top w:w="0" w:type="dxa"/>
                          <w:left w:w="0" w:type="dxa"/>
                          <w:bottom w:w="0" w:type="dxa"/>
                          <w:right w:w="0" w:type="dxa"/>
                        </w:tblCellMar>
                      </w:tblPr>
                      <w:tblGrid>
                        <w:gridCol w:w="455"/>
                        <w:gridCol w:w="27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r>
                              <w:rPr>
                                <w:color w:val="578255"/>
                              </w:rPr>
                              <w:t> </w:t>
                            </w:r>
                          </w:p>
                        </w:tc>
                        <w:tc>
                          <w:tcPr>
                            <w:tcW w:w="2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outreach program </w:t>
                            </w:r>
                          </w:p>
                        </w:tc>
                      </w:tr>
                    </w:tbl>
                    <w:tbl>
                      <w:tblPr>
                        <w:tblW w:w="3835" w:type="dxa"/>
                        <w:jc w:val="left"/>
                        <w:tblInd w:w="120" w:type="dxa"/>
                        <w:tblLayout w:type="fixed"/>
                        <w:tblCellMar>
                          <w:top w:w="0" w:type="dxa"/>
                          <w:left w:w="0" w:type="dxa"/>
                          <w:bottom w:w="0" w:type="dxa"/>
                          <w:right w:w="0" w:type="dxa"/>
                        </w:tblCellMar>
                      </w:tblPr>
                      <w:tblGrid>
                        <w:gridCol w:w="455"/>
                        <w:gridCol w:w="33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r>
                              <w:rPr>
                                <w:color w:val="578255"/>
                              </w:rPr>
                              <w:t> </w:t>
                            </w:r>
                          </w:p>
                        </w:tc>
                        <w:tc>
                          <w:tcPr>
                            <w:tcW w:w="3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risk oversight and assessment </w:t>
                            </w:r>
                          </w:p>
                        </w:tc>
                      </w:tr>
                    </w:tbl>
                    <w:tbl>
                      <w:tblPr>
                        <w:tblW w:w="7045" w:type="dxa"/>
                        <w:jc w:val="left"/>
                        <w:tblInd w:w="120" w:type="dxa"/>
                        <w:tblLayout w:type="fixed"/>
                        <w:tblCellMar>
                          <w:top w:w="0" w:type="dxa"/>
                          <w:left w:w="0" w:type="dxa"/>
                          <w:bottom w:w="0" w:type="dxa"/>
                          <w:right w:w="0" w:type="dxa"/>
                        </w:tblCellMar>
                      </w:tblPr>
                      <w:tblGrid>
                        <w:gridCol w:w="455"/>
                        <w:gridCol w:w="659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r>
                              <w:rPr>
                                <w:color w:val="578255"/>
                              </w:rPr>
                              <w:t> </w:t>
                            </w:r>
                          </w:p>
                        </w:tc>
                        <w:tc>
                          <w:tcPr>
                            <w:tcW w:w="6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refreshment (2 out of 6 directors have a tenure of less than 5 years) </w:t>
                            </w:r>
                          </w:p>
                        </w:tc>
                      </w:tr>
                    </w:tbl>
                    <w:p>
                      <w:pPr>
                        <w:pStyle w:val="TextBody"/>
                        <w:bidi w:val="0"/>
                        <w:spacing w:before="0" w:after="283"/>
                        <w:ind w:left="120" w:right="0" w:hanging="0"/>
                        <w:jc w:val="left"/>
                        <w:rPr/>
                      </w:pPr>
                      <w:r>
                        <w:rPr/>
                      </w:r>
                    </w:p>
                  </w:txbxContent>
                </v:textbox>
                <w10:wrap type="square" side="right"/>
              </v:rect>
            </w:pict>
          </mc:Fallback>
        </mc:AlternateContent>
      </w:r>
    </w:p>
    <w:p>
      <w:pPr>
        <w:pStyle w:val="TextBody"/>
        <w:bidi w:val="0"/>
        <w:spacing w:before="150" w:after="240"/>
        <w:ind w:left="120" w:right="0" w:hanging="0"/>
        <w:jc w:val="left"/>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The charts below reflect the composition of our Board. </w:t>
      </w:r>
    </w:p>
    <w:p>
      <w:pPr>
        <w:pStyle w:val="TextBody"/>
        <w:bidi w:val="0"/>
        <w:spacing w:before="425" w:after="240"/>
        <w:jc w:val="center"/>
        <w:rPr>
          <w:color w:val="000000"/>
          <w:bdr w:val="single" w:sz="8" w:space="12" w:color="000000"/>
        </w:rPr>
      </w:pPr>
      <w:r>
        <w:rPr>
          <w:color w:val="000000"/>
          <w:bdr w:val="single" w:sz="8" w:space="12" w:color="000000"/>
        </w:rPr>
        <w:drawing>
          <wp:inline distT="0" distB="0" distL="0" distR="0">
            <wp:extent cx="5476875" cy="12192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30"/>
                    <a:stretch>
                      <a:fillRect/>
                    </a:stretch>
                  </pic:blipFill>
                  <pic:spPr bwMode="auto">
                    <a:xfrm>
                      <a:off x="0" y="0"/>
                      <a:ext cx="5476875" cy="12192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w:t>
      </w:r>
    </w:p>
    <w:p>
      <w:pPr>
        <w:pStyle w:val="TextBody"/>
        <w:bidi w:val="0"/>
        <w:spacing w:before="41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Director Skills Summary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Board members bring diverse experience and perspectives to areas critical to our business. Their collective knowledge ensures appropriate management and risk oversight and supports our strategy of long-term sustainable value creation for shareholders. The chart below reflects the skillsets of our directors. </w:t>
      </w:r>
    </w:p>
    <w:tbl>
      <w:tblPr>
        <w:tblW w:w="9795" w:type="dxa"/>
        <w:jc w:val="left"/>
        <w:tblInd w:w="120" w:type="dxa"/>
        <w:tblLayout w:type="fixed"/>
        <w:tblCellMar>
          <w:top w:w="0" w:type="dxa"/>
          <w:left w:w="0" w:type="dxa"/>
          <w:bottom w:w="0" w:type="dxa"/>
          <w:right w:w="0" w:type="dxa"/>
        </w:tblCellMar>
      </w:tblPr>
      <w:tblGrid>
        <w:gridCol w:w="185"/>
        <w:gridCol w:w="485"/>
        <w:gridCol w:w="170"/>
        <w:gridCol w:w="170"/>
        <w:gridCol w:w="1610"/>
        <w:gridCol w:w="170"/>
        <w:gridCol w:w="170"/>
        <w:gridCol w:w="875"/>
        <w:gridCol w:w="170"/>
        <w:gridCol w:w="170"/>
        <w:gridCol w:w="785"/>
        <w:gridCol w:w="170"/>
        <w:gridCol w:w="170"/>
        <w:gridCol w:w="710"/>
        <w:gridCol w:w="170"/>
        <w:gridCol w:w="170"/>
        <w:gridCol w:w="680"/>
        <w:gridCol w:w="170"/>
        <w:gridCol w:w="170"/>
        <w:gridCol w:w="890"/>
        <w:gridCol w:w="170"/>
        <w:gridCol w:w="170"/>
        <w:gridCol w:w="980"/>
        <w:gridCol w:w="215"/>
      </w:tblGrid>
      <w:tr>
        <w:trPr/>
        <w:tc>
          <w:tcPr>
            <w:tcW w:w="185" w:type="dxa"/>
            <w:tcBorders/>
            <w:shd w:fill="819F7C" w:val="clear"/>
            <w:vAlign w:val="center"/>
          </w:tcPr>
          <w:p>
            <w:pPr>
              <w:pStyle w:val="TableContents"/>
              <w:bidi w:val="0"/>
              <w:spacing w:before="0" w:after="0"/>
              <w:jc w:val="left"/>
              <w:rPr/>
            </w:pPr>
            <w:r>
              <w:rPr/>
              <w:t> </w:t>
            </w:r>
          </w:p>
        </w:tc>
        <w:tc>
          <w:tcPr>
            <w:tcW w:w="2435" w:type="dxa"/>
            <w:gridSpan w:val="4"/>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7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9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435" w:type="dxa"/>
            <w:gridSpan w:val="4"/>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7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Forbes I.J.</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Alexander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8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Dr. Homa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Bahrami</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Caroline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Dowling</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Seamus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Grady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9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Thomas 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Kelly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Dr. Frank H.</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Levinson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31"/>
                          <a:stretch>
                            <a:fillRect/>
                          </a:stretch>
                        </pic:blipFill>
                        <pic:spPr bwMode="auto">
                          <a:xfrm>
                            <a:off x="0" y="0"/>
                            <a:ext cx="209550" cy="209550"/>
                          </a:xfrm>
                          <a:prstGeom prst="rect">
                            <a:avLst/>
                          </a:prstGeom>
                        </pic:spPr>
                      </pic:pic>
                    </a:graphicData>
                  </a:graphic>
                </wp:inline>
              </w:drawing>
            </w: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Leadership</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32"/>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Industry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33"/>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Operational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Manufacturing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34"/>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Finance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35"/>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Global Leadership</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36"/>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Business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Development &amp;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Strategy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37"/>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Information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Security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0" w:right="0" w:hanging="0"/>
              <w:jc w:val="left"/>
              <w:rPr>
                <w:color w:val="000000"/>
              </w:rPr>
            </w:pPr>
            <w:r>
              <w:rPr>
                <w:color w:val="000000"/>
              </w:rPr>
              <w:drawing>
                <wp:inline distT="0" distB="0" distL="0" distR="0">
                  <wp:extent cx="209550" cy="20955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38"/>
                          <a:stretch>
                            <a:fillRect/>
                          </a:stretch>
                        </pic:blipFill>
                        <pic:spPr bwMode="auto">
                          <a:xfrm>
                            <a:off x="0" y="0"/>
                            <a:ext cx="209550" cy="209550"/>
                          </a:xfrm>
                          <a:prstGeom prst="rect">
                            <a:avLst/>
                          </a:prstGeom>
                        </pic:spPr>
                      </pic:pic>
                    </a:graphicData>
                  </a:graphic>
                </wp:inline>
              </w:drawing>
            </w: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Other Public Co.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Board Experience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color w:val="578255"/>
              </w:rPr>
            </w:pPr>
            <w:r>
              <w:rPr>
                <w:color w:val="578255"/>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81940x1_def14a_104-summary_pg4"/>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2026 PROXY STATEMENT SUMMARY </w:t>
      </w:r>
    </w:p>
    <w:p>
      <w:pPr>
        <w:pStyle w:val="TextBody"/>
        <w:bidi w:val="0"/>
        <w:spacing w:before="190" w:after="240"/>
        <w:ind w:left="120" w:right="0" w:hanging="0"/>
        <w:jc w:val="left"/>
        <w:rPr>
          <w:rFonts w:ascii="Arial;Helvetica;sans-serif" w:hAnsi="Arial;Helvetica;sans-serif"/>
          <w:b/>
          <w:color w:val="000000"/>
          <w:sz w:val="28"/>
          <w:bdr w:val="single" w:sz="8" w:space="12" w:color="000000"/>
        </w:rPr>
      </w:pPr>
      <w:bookmarkStart w:id="21" w:name="tEPH"/>
      <w:bookmarkEnd w:id="21"/>
      <w:r>
        <w:rPr>
          <w:rFonts w:ascii="Arial;Helvetica;sans-serif" w:hAnsi="Arial;Helvetica;sans-serif"/>
          <w:b/>
          <w:color w:val="000000"/>
          <w:sz w:val="28"/>
          <w:bdr w:val="single" w:sz="8" w:space="12" w:color="000000"/>
        </w:rPr>
        <w:t xml:space="preserve">Executive Compensation Program Highlights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Our executive compensation program is designed to be heavily weighted towards compensating our executives based on company performance. To that end, we have implemented executive compensation policies and practices that reinforce our pay-for-performance philosophy and align with commonly viewed best practices and sound governance principles. </w:t>
      </w:r>
    </w:p>
    <w:tbl>
      <w:tblPr>
        <w:tblW w:w="1935" w:type="dxa"/>
        <w:jc w:val="left"/>
        <w:tblInd w:w="120" w:type="dxa"/>
        <w:tblLayout w:type="fixed"/>
        <w:tblCellMar>
          <w:top w:w="0" w:type="dxa"/>
          <w:left w:w="0" w:type="dxa"/>
          <w:bottom w:w="0" w:type="dxa"/>
          <w:right w:w="0" w:type="dxa"/>
        </w:tblCellMar>
      </w:tblPr>
      <w:tblGrid>
        <w:gridCol w:w="185"/>
        <w:gridCol w:w="1535"/>
        <w:gridCol w:w="215"/>
      </w:tblGrid>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sz w:val="22"/>
              </w:rPr>
              <w:t>What We Do</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Normal"/>
        <w:bidi w:val="0"/>
        <w:spacing w:before="0" w:after="0"/>
        <w:ind w:left="120" w:right="0" w:hanging="0"/>
        <w:jc w:val="left"/>
        <w:rPr>
          <w:sz w:val="4"/>
          <w:szCs w:val="4"/>
        </w:rPr>
      </w:pPr>
      <w:r>
        <w:rPr>
          <w:sz w:val="4"/>
          <w:szCs w:val="4"/>
        </w:rPr>
      </w:r>
      <w:r>
        <mc:AlternateContent>
          <mc:Choice Requires="wps">
            <w:drawing>
              <wp:anchor behindDoc="0" distT="0" distB="0" distL="228600" distR="0" simplePos="0" locked="0" layoutInCell="1" allowOverlap="1" relativeHeight="152">
                <wp:simplePos x="0" y="0"/>
                <wp:positionH relativeFrom="column">
                  <wp:align>left</wp:align>
                </wp:positionH>
                <wp:positionV relativeFrom="line">
                  <wp:posOffset>635</wp:posOffset>
                </wp:positionV>
                <wp:extent cx="3124200" cy="1285240"/>
                <wp:effectExtent l="0" t="0" r="0" b="0"/>
                <wp:wrapSquare wrapText="right"/>
                <wp:docPr id="45" name="Frame8"/>
                <a:graphic xmlns:a="http://schemas.openxmlformats.org/drawingml/2006/main">
                  <a:graphicData uri="http://schemas.microsoft.com/office/word/2010/wordprocessingShape">
                    <wps:wsp>
                      <wps:cNvSpPr txBox="1"/>
                      <wps:spPr>
                        <a:xfrm>
                          <a:off x="0" y="0"/>
                          <a:ext cx="3124200" cy="1285240"/>
                        </a:xfrm>
                        <a:prstGeom prst="rect"/>
                        <a:solidFill>
                          <a:srgbClr val="FFFFFF"/>
                        </a:solidFill>
                      </wps:spPr>
                      <wps:txbx>
                        <w:txbxContent>
                          <w:tbl>
                            <w:tblPr>
                              <w:tblW w:w="5920" w:type="dxa"/>
                              <w:jc w:val="left"/>
                              <w:tblInd w:w="120" w:type="dxa"/>
                              <w:tblLayout w:type="fixed"/>
                              <w:tblCellMar>
                                <w:top w:w="0" w:type="dxa"/>
                                <w:left w:w="0" w:type="dxa"/>
                                <w:bottom w:w="0" w:type="dxa"/>
                                <w:right w:w="0" w:type="dxa"/>
                              </w:tblCellMar>
                            </w:tblPr>
                            <w:tblGrid>
                              <w:gridCol w:w="455"/>
                              <w:gridCol w:w="54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r>
                                    <w:rPr>
                                      <w:color w:val="578255"/>
                                    </w:rPr>
                                    <w:t> </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100% independent directors on the Compensation Committee </w:t>
                                  </w:r>
                                </w:p>
                              </w:tc>
                            </w:tr>
                          </w:tbl>
                          <w:tbl>
                            <w:tblPr>
                              <w:tblW w:w="7600" w:type="dxa"/>
                              <w:jc w:val="left"/>
                              <w:tblInd w:w="120" w:type="dxa"/>
                              <w:tblLayout w:type="fixed"/>
                              <w:tblCellMar>
                                <w:top w:w="0" w:type="dxa"/>
                                <w:left w:w="0" w:type="dxa"/>
                                <w:bottom w:w="0" w:type="dxa"/>
                                <w:right w:w="0" w:type="dxa"/>
                              </w:tblCellMar>
                            </w:tblPr>
                            <w:tblGrid>
                              <w:gridCol w:w="455"/>
                              <w:gridCol w:w="71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r>
                                    <w:rPr>
                                      <w:color w:val="578255"/>
                                    </w:rPr>
                                    <w:t> </w:t>
                                  </w:r>
                                </w:p>
                              </w:tc>
                              <w:tc>
                                <w:tcPr>
                                  <w:tcW w:w="71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compensation consultant engaged by the Compensation Committee </w:t>
                                  </w:r>
                                </w:p>
                              </w:tc>
                            </w:tr>
                          </w:tbl>
                          <w:tbl>
                            <w:tblPr>
                              <w:tblW w:w="5575" w:type="dxa"/>
                              <w:jc w:val="left"/>
                              <w:tblInd w:w="120" w:type="dxa"/>
                              <w:tblLayout w:type="fixed"/>
                              <w:tblCellMar>
                                <w:top w:w="0" w:type="dxa"/>
                                <w:left w:w="0" w:type="dxa"/>
                                <w:bottom w:w="0" w:type="dxa"/>
                                <w:right w:w="0" w:type="dxa"/>
                              </w:tblCellMar>
                            </w:tblPr>
                            <w:tblGrid>
                              <w:gridCol w:w="455"/>
                              <w:gridCol w:w="51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r>
                                    <w:rPr>
                                      <w:color w:val="578255"/>
                                    </w:rPr>
                                    <w:t> </w:t>
                                  </w:r>
                                </w:p>
                              </w:tc>
                              <w:tc>
                                <w:tcPr>
                                  <w:tcW w:w="5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review and approval of our compensation strategy </w:t>
                                  </w:r>
                                </w:p>
                              </w:tc>
                            </w:tr>
                          </w:tbl>
                          <w:tbl>
                            <w:tblPr>
                              <w:tblW w:w="3265" w:type="dxa"/>
                              <w:jc w:val="left"/>
                              <w:tblInd w:w="120" w:type="dxa"/>
                              <w:tblLayout w:type="fixed"/>
                              <w:tblCellMar>
                                <w:top w:w="0" w:type="dxa"/>
                                <w:left w:w="0" w:type="dxa"/>
                                <w:bottom w:w="0" w:type="dxa"/>
                                <w:right w:w="0" w:type="dxa"/>
                              </w:tblCellMar>
                            </w:tblPr>
                            <w:tblGrid>
                              <w:gridCol w:w="455"/>
                              <w:gridCol w:w="28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r>
                                    <w:rPr>
                                      <w:color w:val="578255"/>
                                    </w:rPr>
                                    <w:t> </w:t>
                                  </w:r>
                                </w:p>
                              </w:tc>
                              <w:tc>
                                <w:tcPr>
                                  <w:tcW w:w="2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Engagement with shareholders </w:t>
                                  </w:r>
                                </w:p>
                              </w:tc>
                            </w:tr>
                          </w:tbl>
                          <w:tbl>
                            <w:tblPr>
                              <w:tblW w:w="5935" w:type="dxa"/>
                              <w:jc w:val="left"/>
                              <w:tblInd w:w="12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r>
                                    <w:rPr>
                                      <w:color w:val="578255"/>
                                    </w:rPr>
                                    <w:t> </w:t>
                                  </w:r>
                                </w:p>
                              </w:tc>
                              <w:tc>
                                <w:tcPr>
                                  <w:tcW w:w="5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shareholder advisory vote on executive compensation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101.2pt;mso-wrap-distance-left:18pt;mso-wrap-distance-right:0pt;mso-wrap-distance-top:0pt;mso-wrap-distance-bottom:0pt;margin-top:0pt;mso-position-vertical:top;mso-position-vertical-relative:text;margin-left:18pt;mso-position-horizontal:left;mso-position-horizontal-relative:text">
                <v:textbox>
                  <w:txbxContent>
                    <w:tbl>
                      <w:tblPr>
                        <w:tblW w:w="5920" w:type="dxa"/>
                        <w:jc w:val="left"/>
                        <w:tblInd w:w="120" w:type="dxa"/>
                        <w:tblLayout w:type="fixed"/>
                        <w:tblCellMar>
                          <w:top w:w="0" w:type="dxa"/>
                          <w:left w:w="0" w:type="dxa"/>
                          <w:bottom w:w="0" w:type="dxa"/>
                          <w:right w:w="0" w:type="dxa"/>
                        </w:tblCellMar>
                      </w:tblPr>
                      <w:tblGrid>
                        <w:gridCol w:w="455"/>
                        <w:gridCol w:w="54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2" descr=""/>
                                          <pic:cNvPicPr>
                                            <a:picLocks noChangeAspect="1" noChangeArrowheads="1"/>
                                          </pic:cNvPicPr>
                                        </pic:nvPicPr>
                                        <pic:blipFill>
                                          <a:blip r:embed="rId45"/>
                                          <a:stretch>
                                            <a:fillRect/>
                                          </a:stretch>
                                        </pic:blipFill>
                                        <pic:spPr bwMode="auto">
                                          <a:xfrm>
                                            <a:off x="0" y="0"/>
                                            <a:ext cx="104775" cy="104775"/>
                                          </a:xfrm>
                                          <a:prstGeom prst="rect">
                                            <a:avLst/>
                                          </a:prstGeom>
                                        </pic:spPr>
                                      </pic:pic>
                                    </a:graphicData>
                                  </a:graphic>
                                </wp:inline>
                              </w:drawing>
                            </w:r>
                            <w:r>
                              <w:rPr>
                                <w:color w:val="578255"/>
                              </w:rPr>
                              <w:t> </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100% independent directors on the Compensation Committee </w:t>
                            </w:r>
                          </w:p>
                        </w:tc>
                      </w:tr>
                    </w:tbl>
                    <w:tbl>
                      <w:tblPr>
                        <w:tblW w:w="7600" w:type="dxa"/>
                        <w:jc w:val="left"/>
                        <w:tblInd w:w="120" w:type="dxa"/>
                        <w:tblLayout w:type="fixed"/>
                        <w:tblCellMar>
                          <w:top w:w="0" w:type="dxa"/>
                          <w:left w:w="0" w:type="dxa"/>
                          <w:bottom w:w="0" w:type="dxa"/>
                          <w:right w:w="0" w:type="dxa"/>
                        </w:tblCellMar>
                      </w:tblPr>
                      <w:tblGrid>
                        <w:gridCol w:w="455"/>
                        <w:gridCol w:w="71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3" descr=""/>
                                          <pic:cNvPicPr>
                                            <a:picLocks noChangeAspect="1" noChangeArrowheads="1"/>
                                          </pic:cNvPicPr>
                                        </pic:nvPicPr>
                                        <pic:blipFill>
                                          <a:blip r:embed="rId46"/>
                                          <a:stretch>
                                            <a:fillRect/>
                                          </a:stretch>
                                        </pic:blipFill>
                                        <pic:spPr bwMode="auto">
                                          <a:xfrm>
                                            <a:off x="0" y="0"/>
                                            <a:ext cx="104775" cy="104775"/>
                                          </a:xfrm>
                                          <a:prstGeom prst="rect">
                                            <a:avLst/>
                                          </a:prstGeom>
                                        </pic:spPr>
                                      </pic:pic>
                                    </a:graphicData>
                                  </a:graphic>
                                </wp:inline>
                              </w:drawing>
                            </w:r>
                            <w:r>
                              <w:rPr>
                                <w:color w:val="578255"/>
                              </w:rPr>
                              <w:t> </w:t>
                            </w:r>
                          </w:p>
                        </w:tc>
                        <w:tc>
                          <w:tcPr>
                            <w:tcW w:w="71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compensation consultant engaged by the Compensation Committee </w:t>
                            </w:r>
                          </w:p>
                        </w:tc>
                      </w:tr>
                    </w:tbl>
                    <w:tbl>
                      <w:tblPr>
                        <w:tblW w:w="5575" w:type="dxa"/>
                        <w:jc w:val="left"/>
                        <w:tblInd w:w="120" w:type="dxa"/>
                        <w:tblLayout w:type="fixed"/>
                        <w:tblCellMar>
                          <w:top w:w="0" w:type="dxa"/>
                          <w:left w:w="0" w:type="dxa"/>
                          <w:bottom w:w="0" w:type="dxa"/>
                          <w:right w:w="0" w:type="dxa"/>
                        </w:tblCellMar>
                      </w:tblPr>
                      <w:tblGrid>
                        <w:gridCol w:w="455"/>
                        <w:gridCol w:w="512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 descr=""/>
                                          <pic:cNvPicPr>
                                            <a:picLocks noChangeAspect="1" noChangeArrowheads="1"/>
                                          </pic:cNvPicPr>
                                        </pic:nvPicPr>
                                        <pic:blipFill>
                                          <a:blip r:embed="rId47"/>
                                          <a:stretch>
                                            <a:fillRect/>
                                          </a:stretch>
                                        </pic:blipFill>
                                        <pic:spPr bwMode="auto">
                                          <a:xfrm>
                                            <a:off x="0" y="0"/>
                                            <a:ext cx="104775" cy="104775"/>
                                          </a:xfrm>
                                          <a:prstGeom prst="rect">
                                            <a:avLst/>
                                          </a:prstGeom>
                                        </pic:spPr>
                                      </pic:pic>
                                    </a:graphicData>
                                  </a:graphic>
                                </wp:inline>
                              </w:drawing>
                            </w:r>
                            <w:r>
                              <w:rPr>
                                <w:color w:val="578255"/>
                              </w:rPr>
                              <w:t> </w:t>
                            </w:r>
                          </w:p>
                        </w:tc>
                        <w:tc>
                          <w:tcPr>
                            <w:tcW w:w="5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review and approval of our compensation strategy </w:t>
                            </w:r>
                          </w:p>
                        </w:tc>
                      </w:tr>
                    </w:tbl>
                    <w:tbl>
                      <w:tblPr>
                        <w:tblW w:w="3265" w:type="dxa"/>
                        <w:jc w:val="left"/>
                        <w:tblInd w:w="120" w:type="dxa"/>
                        <w:tblLayout w:type="fixed"/>
                        <w:tblCellMar>
                          <w:top w:w="0" w:type="dxa"/>
                          <w:left w:w="0" w:type="dxa"/>
                          <w:bottom w:w="0" w:type="dxa"/>
                          <w:right w:w="0" w:type="dxa"/>
                        </w:tblCellMar>
                      </w:tblPr>
                      <w:tblGrid>
                        <w:gridCol w:w="455"/>
                        <w:gridCol w:w="28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5" descr=""/>
                                          <pic:cNvPicPr>
                                            <a:picLocks noChangeAspect="1" noChangeArrowheads="1"/>
                                          </pic:cNvPicPr>
                                        </pic:nvPicPr>
                                        <pic:blipFill>
                                          <a:blip r:embed="rId48"/>
                                          <a:stretch>
                                            <a:fillRect/>
                                          </a:stretch>
                                        </pic:blipFill>
                                        <pic:spPr bwMode="auto">
                                          <a:xfrm>
                                            <a:off x="0" y="0"/>
                                            <a:ext cx="104775" cy="104775"/>
                                          </a:xfrm>
                                          <a:prstGeom prst="rect">
                                            <a:avLst/>
                                          </a:prstGeom>
                                        </pic:spPr>
                                      </pic:pic>
                                    </a:graphicData>
                                  </a:graphic>
                                </wp:inline>
                              </w:drawing>
                            </w:r>
                            <w:r>
                              <w:rPr>
                                <w:color w:val="578255"/>
                              </w:rPr>
                              <w:t> </w:t>
                            </w:r>
                          </w:p>
                        </w:tc>
                        <w:tc>
                          <w:tcPr>
                            <w:tcW w:w="2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Engagement with shareholders </w:t>
                            </w:r>
                          </w:p>
                        </w:tc>
                      </w:tr>
                    </w:tbl>
                    <w:tbl>
                      <w:tblPr>
                        <w:tblW w:w="5935" w:type="dxa"/>
                        <w:jc w:val="left"/>
                        <w:tblInd w:w="12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6" descr=""/>
                                          <pic:cNvPicPr>
                                            <a:picLocks noChangeAspect="1" noChangeArrowheads="1"/>
                                          </pic:cNvPicPr>
                                        </pic:nvPicPr>
                                        <pic:blipFill>
                                          <a:blip r:embed="rId49"/>
                                          <a:stretch>
                                            <a:fillRect/>
                                          </a:stretch>
                                        </pic:blipFill>
                                        <pic:spPr bwMode="auto">
                                          <a:xfrm>
                                            <a:off x="0" y="0"/>
                                            <a:ext cx="104775" cy="104775"/>
                                          </a:xfrm>
                                          <a:prstGeom prst="rect">
                                            <a:avLst/>
                                          </a:prstGeom>
                                        </pic:spPr>
                                      </pic:pic>
                                    </a:graphicData>
                                  </a:graphic>
                                </wp:inline>
                              </w:drawing>
                            </w:r>
                            <w:r>
                              <w:rPr>
                                <w:color w:val="578255"/>
                              </w:rPr>
                              <w:t> </w:t>
                            </w:r>
                          </w:p>
                        </w:tc>
                        <w:tc>
                          <w:tcPr>
                            <w:tcW w:w="5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shareholder advisory vote on executive compensation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3124200" cy="1051560"/>
                <wp:effectExtent l="0" t="0" r="0" b="0"/>
                <wp:wrapSquare wrapText="right"/>
                <wp:docPr id="56" name="Frame7"/>
                <a:graphic xmlns:a="http://schemas.openxmlformats.org/drawingml/2006/main">
                  <a:graphicData uri="http://schemas.microsoft.com/office/word/2010/wordprocessingShape">
                    <wps:wsp>
                      <wps:cNvSpPr txBox="1"/>
                      <wps:spPr>
                        <a:xfrm>
                          <a:off x="0" y="0"/>
                          <a:ext cx="3124200" cy="1051560"/>
                        </a:xfrm>
                        <a:prstGeom prst="rect"/>
                        <a:solidFill>
                          <a:srgbClr val="FFFFFF"/>
                        </a:solidFill>
                      </wps:spPr>
                      <wps:txbx>
                        <w:txbxContent>
                          <w:tbl>
                            <w:tblPr>
                              <w:tblW w:w="6520" w:type="dxa"/>
                              <w:jc w:val="left"/>
                              <w:tblInd w:w="120" w:type="dxa"/>
                              <w:tblLayout w:type="fixed"/>
                              <w:tblCellMar>
                                <w:top w:w="0" w:type="dxa"/>
                                <w:left w:w="0" w:type="dxa"/>
                                <w:bottom w:w="0" w:type="dxa"/>
                                <w:right w:w="0" w:type="dxa"/>
                              </w:tblCellMar>
                            </w:tblPr>
                            <w:tblGrid>
                              <w:gridCol w:w="455"/>
                              <w:gridCol w:w="60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50"/>
                                                <a:stretch>
                                                  <a:fillRect/>
                                                </a:stretch>
                                              </pic:blipFill>
                                              <pic:spPr bwMode="auto">
                                                <a:xfrm>
                                                  <a:off x="0" y="0"/>
                                                  <a:ext cx="104775" cy="104775"/>
                                                </a:xfrm>
                                                <a:prstGeom prst="rect">
                                                  <a:avLst/>
                                                </a:prstGeom>
                                              </pic:spPr>
                                            </pic:pic>
                                          </a:graphicData>
                                        </a:graphic>
                                      </wp:inline>
                                    </w:drawing>
                                  </w:r>
                                  <w:r>
                                    <w:rPr>
                                      <w:color w:val="578255"/>
                                    </w:rPr>
                                    <w:t> </w:t>
                                  </w:r>
                                </w:p>
                              </w:tc>
                              <w:tc>
                                <w:tcPr>
                                  <w:tcW w:w="6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Pay-for-performance, with significant portion of compensation at risk </w:t>
                                  </w:r>
                                </w:p>
                              </w:tc>
                            </w:tr>
                          </w:tbl>
                          <w:tbl>
                            <w:tblPr>
                              <w:tblW w:w="5155" w:type="dxa"/>
                              <w:jc w:val="left"/>
                              <w:tblInd w:w="120" w:type="dxa"/>
                              <w:tblLayout w:type="fixed"/>
                              <w:tblCellMar>
                                <w:top w:w="0" w:type="dxa"/>
                                <w:left w:w="0" w:type="dxa"/>
                                <w:bottom w:w="0" w:type="dxa"/>
                                <w:right w:w="0" w:type="dxa"/>
                              </w:tblCellMar>
                            </w:tblPr>
                            <w:tblGrid>
                              <w:gridCol w:w="455"/>
                              <w:gridCol w:w="47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r>
                                    <w:rPr>
                                      <w:color w:val="578255"/>
                                    </w:rPr>
                                    <w:t> </w:t>
                                  </w:r>
                                </w:p>
                              </w:tc>
                              <w:tc>
                                <w:tcPr>
                                  <w:tcW w:w="4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Caps on performance-based incentive compensation </w:t>
                                  </w:r>
                                </w:p>
                              </w:tc>
                            </w:tr>
                          </w:tbl>
                          <w:tbl>
                            <w:tblPr>
                              <w:tblW w:w="3280" w:type="dxa"/>
                              <w:jc w:val="left"/>
                              <w:tblInd w:w="120" w:type="dxa"/>
                              <w:tblLayout w:type="fixed"/>
                              <w:tblCellMar>
                                <w:top w:w="0" w:type="dxa"/>
                                <w:left w:w="0" w:type="dxa"/>
                                <w:bottom w:w="0" w:type="dxa"/>
                                <w:right w:w="0" w:type="dxa"/>
                              </w:tblCellMar>
                            </w:tblPr>
                            <w:tblGrid>
                              <w:gridCol w:w="455"/>
                              <w:gridCol w:w="28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52"/>
                                                <a:stretch>
                                                  <a:fillRect/>
                                                </a:stretch>
                                              </pic:blipFill>
                                              <pic:spPr bwMode="auto">
                                                <a:xfrm>
                                                  <a:off x="0" y="0"/>
                                                  <a:ext cx="104775" cy="104775"/>
                                                </a:xfrm>
                                                <a:prstGeom prst="rect">
                                                  <a:avLst/>
                                                </a:prstGeom>
                                              </pic:spPr>
                                            </pic:pic>
                                          </a:graphicData>
                                        </a:graphic>
                                      </wp:inline>
                                    </w:drawing>
                                  </w:r>
                                  <w:r>
                                    <w:rPr>
                                      <w:color w:val="578255"/>
                                    </w:rPr>
                                    <w:t> </w:t>
                                  </w:r>
                                </w:p>
                              </w:tc>
                              <w:tc>
                                <w:tcPr>
                                  <w:tcW w:w="2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Multi-year performance periods </w:t>
                                  </w:r>
                                </w:p>
                              </w:tc>
                            </w:tr>
                          </w:tbl>
                          <w:tbl>
                            <w:tblPr>
                              <w:tblW w:w="5830" w:type="dxa"/>
                              <w:jc w:val="left"/>
                              <w:tblInd w:w="120" w:type="dxa"/>
                              <w:tblLayout w:type="fixed"/>
                              <w:tblCellMar>
                                <w:top w:w="0" w:type="dxa"/>
                                <w:left w:w="0" w:type="dxa"/>
                                <w:bottom w:w="0" w:type="dxa"/>
                                <w:right w:w="0" w:type="dxa"/>
                              </w:tblCellMar>
                            </w:tblPr>
                            <w:tblGrid>
                              <w:gridCol w:w="455"/>
                              <w:gridCol w:w="53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r>
                                    <w:rPr>
                                      <w:color w:val="578255"/>
                                    </w:rPr>
                                    <w:t> </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Clawback policy on cash and equity incentive compensation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54"/>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82.8pt;mso-wrap-distance-left:0pt;mso-wrap-distance-right:0pt;mso-wrap-distance-top:0pt;mso-wrap-distance-bottom:0pt;margin-top:0pt;mso-position-vertical:top;mso-position-vertical-relative:text;margin-left:264pt;mso-position-horizontal:left;mso-position-horizontal-relative:text">
                <v:textbox>
                  <w:txbxContent>
                    <w:tbl>
                      <w:tblPr>
                        <w:tblW w:w="6520" w:type="dxa"/>
                        <w:jc w:val="left"/>
                        <w:tblInd w:w="120" w:type="dxa"/>
                        <w:tblLayout w:type="fixed"/>
                        <w:tblCellMar>
                          <w:top w:w="0" w:type="dxa"/>
                          <w:left w:w="0" w:type="dxa"/>
                          <w:bottom w:w="0" w:type="dxa"/>
                          <w:right w:w="0" w:type="dxa"/>
                        </w:tblCellMar>
                      </w:tblPr>
                      <w:tblGrid>
                        <w:gridCol w:w="455"/>
                        <w:gridCol w:w="60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7" descr=""/>
                                          <pic:cNvPicPr>
                                            <a:picLocks noChangeAspect="1" noChangeArrowheads="1"/>
                                          </pic:cNvPicPr>
                                        </pic:nvPicPr>
                                        <pic:blipFill>
                                          <a:blip r:embed="rId55"/>
                                          <a:stretch>
                                            <a:fillRect/>
                                          </a:stretch>
                                        </pic:blipFill>
                                        <pic:spPr bwMode="auto">
                                          <a:xfrm>
                                            <a:off x="0" y="0"/>
                                            <a:ext cx="104775" cy="104775"/>
                                          </a:xfrm>
                                          <a:prstGeom prst="rect">
                                            <a:avLst/>
                                          </a:prstGeom>
                                        </pic:spPr>
                                      </pic:pic>
                                    </a:graphicData>
                                  </a:graphic>
                                </wp:inline>
                              </w:drawing>
                            </w:r>
                            <w:r>
                              <w:rPr>
                                <w:color w:val="578255"/>
                              </w:rPr>
                              <w:t> </w:t>
                            </w:r>
                          </w:p>
                        </w:tc>
                        <w:tc>
                          <w:tcPr>
                            <w:tcW w:w="6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Pay-for-performance, with significant portion of compensation at risk </w:t>
                            </w:r>
                          </w:p>
                        </w:tc>
                      </w:tr>
                    </w:tbl>
                    <w:tbl>
                      <w:tblPr>
                        <w:tblW w:w="5155" w:type="dxa"/>
                        <w:jc w:val="left"/>
                        <w:tblInd w:w="120" w:type="dxa"/>
                        <w:tblLayout w:type="fixed"/>
                        <w:tblCellMar>
                          <w:top w:w="0" w:type="dxa"/>
                          <w:left w:w="0" w:type="dxa"/>
                          <w:bottom w:w="0" w:type="dxa"/>
                          <w:right w:w="0" w:type="dxa"/>
                        </w:tblCellMar>
                      </w:tblPr>
                      <w:tblGrid>
                        <w:gridCol w:w="455"/>
                        <w:gridCol w:w="47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56"/>
                                          <a:stretch>
                                            <a:fillRect/>
                                          </a:stretch>
                                        </pic:blipFill>
                                        <pic:spPr bwMode="auto">
                                          <a:xfrm>
                                            <a:off x="0" y="0"/>
                                            <a:ext cx="104775" cy="104775"/>
                                          </a:xfrm>
                                          <a:prstGeom prst="rect">
                                            <a:avLst/>
                                          </a:prstGeom>
                                        </pic:spPr>
                                      </pic:pic>
                                    </a:graphicData>
                                  </a:graphic>
                                </wp:inline>
                              </w:drawing>
                            </w:r>
                            <w:r>
                              <w:rPr>
                                <w:color w:val="578255"/>
                              </w:rPr>
                              <w:t> </w:t>
                            </w:r>
                          </w:p>
                        </w:tc>
                        <w:tc>
                          <w:tcPr>
                            <w:tcW w:w="4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Caps on performance-based incentive compensation </w:t>
                            </w:r>
                          </w:p>
                        </w:tc>
                      </w:tr>
                    </w:tbl>
                    <w:tbl>
                      <w:tblPr>
                        <w:tblW w:w="3280" w:type="dxa"/>
                        <w:jc w:val="left"/>
                        <w:tblInd w:w="120" w:type="dxa"/>
                        <w:tblLayout w:type="fixed"/>
                        <w:tblCellMar>
                          <w:top w:w="0" w:type="dxa"/>
                          <w:left w:w="0" w:type="dxa"/>
                          <w:bottom w:w="0" w:type="dxa"/>
                          <w:right w:w="0" w:type="dxa"/>
                        </w:tblCellMar>
                      </w:tblPr>
                      <w:tblGrid>
                        <w:gridCol w:w="455"/>
                        <w:gridCol w:w="282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9" descr=""/>
                                          <pic:cNvPicPr>
                                            <a:picLocks noChangeAspect="1" noChangeArrowheads="1"/>
                                          </pic:cNvPicPr>
                                        </pic:nvPicPr>
                                        <pic:blipFill>
                                          <a:blip r:embed="rId57"/>
                                          <a:stretch>
                                            <a:fillRect/>
                                          </a:stretch>
                                        </pic:blipFill>
                                        <pic:spPr bwMode="auto">
                                          <a:xfrm>
                                            <a:off x="0" y="0"/>
                                            <a:ext cx="104775" cy="104775"/>
                                          </a:xfrm>
                                          <a:prstGeom prst="rect">
                                            <a:avLst/>
                                          </a:prstGeom>
                                        </pic:spPr>
                                      </pic:pic>
                                    </a:graphicData>
                                  </a:graphic>
                                </wp:inline>
                              </w:drawing>
                            </w:r>
                            <w:r>
                              <w:rPr>
                                <w:color w:val="578255"/>
                              </w:rPr>
                              <w:t> </w:t>
                            </w:r>
                          </w:p>
                        </w:tc>
                        <w:tc>
                          <w:tcPr>
                            <w:tcW w:w="2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Multi-year performance periods </w:t>
                            </w:r>
                          </w:p>
                        </w:tc>
                      </w:tr>
                    </w:tbl>
                    <w:tbl>
                      <w:tblPr>
                        <w:tblW w:w="5830" w:type="dxa"/>
                        <w:jc w:val="left"/>
                        <w:tblInd w:w="120" w:type="dxa"/>
                        <w:tblLayout w:type="fixed"/>
                        <w:tblCellMar>
                          <w:top w:w="0" w:type="dxa"/>
                          <w:left w:w="0" w:type="dxa"/>
                          <w:bottom w:w="0" w:type="dxa"/>
                          <w:right w:w="0" w:type="dxa"/>
                        </w:tblCellMar>
                      </w:tblPr>
                      <w:tblGrid>
                        <w:gridCol w:w="455"/>
                        <w:gridCol w:w="53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58"/>
                                          <a:stretch>
                                            <a:fillRect/>
                                          </a:stretch>
                                        </pic:blipFill>
                                        <pic:spPr bwMode="auto">
                                          <a:xfrm>
                                            <a:off x="0" y="0"/>
                                            <a:ext cx="104775" cy="104775"/>
                                          </a:xfrm>
                                          <a:prstGeom prst="rect">
                                            <a:avLst/>
                                          </a:prstGeom>
                                        </pic:spPr>
                                      </pic:pic>
                                    </a:graphicData>
                                  </a:graphic>
                                </wp:inline>
                              </w:drawing>
                            </w:r>
                            <w:r>
                              <w:rPr>
                                <w:color w:val="578255"/>
                              </w:rPr>
                              <w:t> </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Clawback policy on cash and equity incentive compensation </w:t>
                            </w:r>
                          </w:p>
                        </w:tc>
                      </w:tr>
                    </w:tbl>
                    <w:tbl>
                      <w:tblPr>
                        <w:tblW w:w="6040" w:type="dxa"/>
                        <w:jc w:val="left"/>
                        <w:tblInd w:w="120" w:type="dxa"/>
                        <w:tblLayout w:type="fixed"/>
                        <w:tblCellMar>
                          <w:top w:w="0" w:type="dxa"/>
                          <w:left w:w="0" w:type="dxa"/>
                          <w:bottom w:w="0" w:type="dxa"/>
                          <w:right w:w="0" w:type="dxa"/>
                        </w:tblCellMar>
                      </w:tblPr>
                      <w:tblGrid>
                        <w:gridCol w:w="455"/>
                        <w:gridCol w:w="55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r>
                              <w:rPr>
                                <w:color w:val="578255"/>
                              </w:rPr>
                              <w:t> </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guidelines for executive officers and directors </w:t>
                            </w:r>
                          </w:p>
                        </w:tc>
                      </w:tr>
                    </w:tbl>
                    <w:p>
                      <w:pPr>
                        <w:pStyle w:val="TextBody"/>
                        <w:bidi w:val="0"/>
                        <w:spacing w:before="0" w:after="283"/>
                        <w:ind w:left="120" w:right="0" w:hanging="0"/>
                        <w:jc w:val="left"/>
                        <w:rPr/>
                      </w:pPr>
                      <w:r>
                        <w:rPr/>
                      </w:r>
                    </w:p>
                  </w:txbxContent>
                </v:textbox>
                <w10:wrap type="square" side="right"/>
              </v:rect>
            </w:pict>
          </mc:Fallback>
        </mc:AlternateContent>
      </w:r>
    </w:p>
    <w:tbl>
      <w:tblPr>
        <w:tblW w:w="2610" w:type="dxa"/>
        <w:jc w:val="left"/>
        <w:tblInd w:w="120" w:type="dxa"/>
        <w:tblLayout w:type="fixed"/>
        <w:tblCellMar>
          <w:top w:w="0" w:type="dxa"/>
          <w:left w:w="0" w:type="dxa"/>
          <w:bottom w:w="0" w:type="dxa"/>
          <w:right w:w="0" w:type="dxa"/>
        </w:tblCellMar>
      </w:tblPr>
      <w:tblGrid>
        <w:gridCol w:w="185"/>
        <w:gridCol w:w="2210"/>
        <w:gridCol w:w="215"/>
      </w:tblGrid>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283"/>
              <w:jc w:val="center"/>
              <w:rPr>
                <w:rFonts w:ascii="Arial;Helvetica;sans-serif" w:hAnsi="Arial;Helvetica;sans-serif"/>
                <w:b/>
                <w:color w:val="FFFFFF"/>
                <w:sz w:val="28"/>
              </w:rPr>
            </w:pPr>
            <w:r>
              <w:rPr>
                <w:rFonts w:ascii="Arial;Helvetica;sans-serif" w:hAnsi="Arial;Helvetica;sans-serif"/>
                <w:b/>
                <w:color w:val="FFFFFF"/>
                <w:sz w:val="28"/>
              </w:rPr>
              <w:t xml:space="preserve">× </w:t>
            </w:r>
            <w:r>
              <w:rPr>
                <w:rFonts w:ascii="Arial;Helvetica;sans-serif" w:hAnsi="Arial;Helvetica;sans-serif"/>
                <w:b/>
                <w:color w:val="FFFFFF"/>
                <w:sz w:val="22"/>
              </w:rPr>
              <w:t>What We Don’t Do</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p>
      <w:pPr>
        <w:pStyle w:val="TextBody"/>
        <w:bidi w:val="0"/>
        <w:spacing w:before="52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Shareholder Engagement and Advisory Vote on Executive Compensation </w:t>
      </w:r>
      <w:r>
        <mc:AlternateContent>
          <mc:Choice Requires="wps">
            <w:drawing>
              <wp:anchor behindDoc="0" distT="0" distB="0" distL="228600" distR="0" simplePos="0" locked="0" layoutInCell="1" allowOverlap="1" relativeHeight="132">
                <wp:simplePos x="0" y="0"/>
                <wp:positionH relativeFrom="column">
                  <wp:align>left</wp:align>
                </wp:positionH>
                <wp:positionV relativeFrom="line">
                  <wp:posOffset>635</wp:posOffset>
                </wp:positionV>
                <wp:extent cx="3124200" cy="817880"/>
                <wp:effectExtent l="0" t="0" r="0" b="0"/>
                <wp:wrapSquare wrapText="right"/>
                <wp:docPr id="67" name="Frame10"/>
                <a:graphic xmlns:a="http://schemas.openxmlformats.org/drawingml/2006/main">
                  <a:graphicData uri="http://schemas.microsoft.com/office/word/2010/wordprocessingShape">
                    <wps:wsp>
                      <wps:cNvSpPr txBox="1"/>
                      <wps:spPr>
                        <a:xfrm>
                          <a:off x="0" y="0"/>
                          <a:ext cx="3124200" cy="817880"/>
                        </a:xfrm>
                        <a:prstGeom prst="rect"/>
                        <a:solidFill>
                          <a:srgbClr val="FFFFFF"/>
                        </a:solidFill>
                      </wps:spPr>
                      <wps:txbx>
                        <w:txbxContent>
                          <w:tbl>
                            <w:tblPr>
                              <w:tblW w:w="5665" w:type="dxa"/>
                              <w:jc w:val="left"/>
                              <w:tblInd w:w="120" w:type="dxa"/>
                              <w:tblLayout w:type="fixed"/>
                              <w:tblCellMar>
                                <w:top w:w="0" w:type="dxa"/>
                                <w:left w:w="0" w:type="dxa"/>
                                <w:bottom w:w="0" w:type="dxa"/>
                                <w:right w:w="0" w:type="dxa"/>
                              </w:tblCellMar>
                            </w:tblPr>
                            <w:tblGrid>
                              <w:gridCol w:w="455"/>
                              <w:gridCol w:w="52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2"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r>
                                    <w:rPr>
                                      <w:color w:val="578255"/>
                                    </w:rPr>
                                    <w:t> </w:t>
                                  </w:r>
                                </w:p>
                              </w:tc>
                              <w:tc>
                                <w:tcPr>
                                  <w:tcW w:w="5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short sales, hedging, or pledging of our ordinary shares </w:t>
                                  </w:r>
                                </w:p>
                              </w:tc>
                            </w:tr>
                          </w:tbl>
                          <w:tbl>
                            <w:tblPr>
                              <w:tblW w:w="5740" w:type="dxa"/>
                              <w:jc w:val="left"/>
                              <w:tblInd w:w="12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6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3" descr=""/>
                                                <pic:cNvPicPr>
                                                  <a:picLocks noChangeAspect="1" noChangeArrowheads="1"/>
                                                </pic:cNvPicPr>
                                              </pic:nvPicPr>
                                              <pic:blipFill>
                                                <a:blip r:embed="rId61"/>
                                                <a:stretch>
                                                  <a:fillRect/>
                                                </a:stretch>
                                              </pic:blipFill>
                                              <pic:spPr bwMode="auto">
                                                <a:xfrm>
                                                  <a:off x="0" y="0"/>
                                                  <a:ext cx="104775" cy="104775"/>
                                                </a:xfrm>
                                                <a:prstGeom prst="rect">
                                                  <a:avLst/>
                                                </a:prstGeom>
                                              </pic:spPr>
                                            </pic:pic>
                                          </a:graphicData>
                                        </a:graphic>
                                      </wp:inline>
                                    </w:drawing>
                                  </w:r>
                                  <w:r>
                                    <w:rPr>
                                      <w:color w:val="578255"/>
                                    </w:rPr>
                                    <w:t> </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transactions involving derivatives of our ordinary shares </w:t>
                                  </w:r>
                                </w:p>
                              </w:tc>
                            </w:tr>
                          </w:tbl>
                          <w:tbl>
                            <w:tblPr>
                              <w:tblW w:w="6790" w:type="dxa"/>
                              <w:jc w:val="left"/>
                              <w:tblInd w:w="120" w:type="dxa"/>
                              <w:tblLayout w:type="fixed"/>
                              <w:tblCellMar>
                                <w:top w:w="0" w:type="dxa"/>
                                <w:left w:w="0" w:type="dxa"/>
                                <w:bottom w:w="0" w:type="dxa"/>
                                <w:right w:w="0" w:type="dxa"/>
                              </w:tblCellMar>
                            </w:tblPr>
                            <w:tblGrid>
                              <w:gridCol w:w="455"/>
                              <w:gridCol w:w="63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4" descr=""/>
                                                <pic:cNvPicPr>
                                                  <a:picLocks noChangeAspect="1" noChangeArrowheads="1"/>
                                                </pic:cNvPicPr>
                                              </pic:nvPicPr>
                                              <pic:blipFill>
                                                <a:blip r:embed="rId62"/>
                                                <a:stretch>
                                                  <a:fillRect/>
                                                </a:stretch>
                                              </pic:blipFill>
                                              <pic:spPr bwMode="auto">
                                                <a:xfrm>
                                                  <a:off x="0" y="0"/>
                                                  <a:ext cx="104775" cy="104775"/>
                                                </a:xfrm>
                                                <a:prstGeom prst="rect">
                                                  <a:avLst/>
                                                </a:prstGeom>
                                              </pic:spPr>
                                            </pic:pic>
                                          </a:graphicData>
                                        </a:graphic>
                                      </wp:inline>
                                    </w:drawing>
                                  </w:r>
                                  <w:r>
                                    <w:rPr>
                                      <w:color w:val="578255"/>
                                    </w:rPr>
                                    <w:t> </w:t>
                                  </w:r>
                                </w:p>
                              </w:tc>
                              <w:tc>
                                <w:tcPr>
                                  <w:tcW w:w="6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paying dividends or dividend equivalents on unvested equity awards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64.4pt;mso-wrap-distance-left:18pt;mso-wrap-distance-right:0pt;mso-wrap-distance-top:0pt;mso-wrap-distance-bottom:0pt;margin-top:0pt;mso-position-vertical:top;mso-position-vertical-relative:text;margin-left:18pt;mso-position-horizontal:left;mso-position-horizontal-relative:text">
                <v:textbox>
                  <w:txbxContent>
                    <w:tbl>
                      <w:tblPr>
                        <w:tblW w:w="5665" w:type="dxa"/>
                        <w:jc w:val="left"/>
                        <w:tblInd w:w="120" w:type="dxa"/>
                        <w:tblLayout w:type="fixed"/>
                        <w:tblCellMar>
                          <w:top w:w="0" w:type="dxa"/>
                          <w:left w:w="0" w:type="dxa"/>
                          <w:bottom w:w="0" w:type="dxa"/>
                          <w:right w:w="0" w:type="dxa"/>
                        </w:tblCellMar>
                      </w:tblPr>
                      <w:tblGrid>
                        <w:gridCol w:w="455"/>
                        <w:gridCol w:w="521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2" descr=""/>
                                          <pic:cNvPicPr>
                                            <a:picLocks noChangeAspect="1" noChangeArrowheads="1"/>
                                          </pic:cNvPicPr>
                                        </pic:nvPicPr>
                                        <pic:blipFill>
                                          <a:blip r:embed="rId63"/>
                                          <a:stretch>
                                            <a:fillRect/>
                                          </a:stretch>
                                        </pic:blipFill>
                                        <pic:spPr bwMode="auto">
                                          <a:xfrm>
                                            <a:off x="0" y="0"/>
                                            <a:ext cx="104775" cy="104775"/>
                                          </a:xfrm>
                                          <a:prstGeom prst="rect">
                                            <a:avLst/>
                                          </a:prstGeom>
                                        </pic:spPr>
                                      </pic:pic>
                                    </a:graphicData>
                                  </a:graphic>
                                </wp:inline>
                              </w:drawing>
                            </w:r>
                            <w:r>
                              <w:rPr>
                                <w:color w:val="578255"/>
                              </w:rPr>
                              <w:t> </w:t>
                            </w:r>
                          </w:p>
                        </w:tc>
                        <w:tc>
                          <w:tcPr>
                            <w:tcW w:w="5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short sales, hedging, or pledging of our ordinary shares </w:t>
                            </w:r>
                          </w:p>
                        </w:tc>
                      </w:tr>
                    </w:tbl>
                    <w:tbl>
                      <w:tblPr>
                        <w:tblW w:w="5740" w:type="dxa"/>
                        <w:jc w:val="left"/>
                        <w:tblInd w:w="12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3" descr=""/>
                                          <pic:cNvPicPr>
                                            <a:picLocks noChangeAspect="1" noChangeArrowheads="1"/>
                                          </pic:cNvPicPr>
                                        </pic:nvPicPr>
                                        <pic:blipFill>
                                          <a:blip r:embed="rId64"/>
                                          <a:stretch>
                                            <a:fillRect/>
                                          </a:stretch>
                                        </pic:blipFill>
                                        <pic:spPr bwMode="auto">
                                          <a:xfrm>
                                            <a:off x="0" y="0"/>
                                            <a:ext cx="104775" cy="104775"/>
                                          </a:xfrm>
                                          <a:prstGeom prst="rect">
                                            <a:avLst/>
                                          </a:prstGeom>
                                        </pic:spPr>
                                      </pic:pic>
                                    </a:graphicData>
                                  </a:graphic>
                                </wp:inline>
                              </w:drawing>
                            </w:r>
                            <w:r>
                              <w:rPr>
                                <w:color w:val="578255"/>
                              </w:rPr>
                              <w:t> </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transactions involving derivatives of our ordinary shares </w:t>
                            </w:r>
                          </w:p>
                        </w:tc>
                      </w:tr>
                    </w:tbl>
                    <w:tbl>
                      <w:tblPr>
                        <w:tblW w:w="6790" w:type="dxa"/>
                        <w:jc w:val="left"/>
                        <w:tblInd w:w="120" w:type="dxa"/>
                        <w:tblLayout w:type="fixed"/>
                        <w:tblCellMar>
                          <w:top w:w="0" w:type="dxa"/>
                          <w:left w:w="0" w:type="dxa"/>
                          <w:bottom w:w="0" w:type="dxa"/>
                          <w:right w:w="0" w:type="dxa"/>
                        </w:tblCellMar>
                      </w:tblPr>
                      <w:tblGrid>
                        <w:gridCol w:w="455"/>
                        <w:gridCol w:w="63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4" descr=""/>
                                          <pic:cNvPicPr>
                                            <a:picLocks noChangeAspect="1" noChangeArrowheads="1"/>
                                          </pic:cNvPicPr>
                                        </pic:nvPicPr>
                                        <pic:blipFill>
                                          <a:blip r:embed="rId65"/>
                                          <a:stretch>
                                            <a:fillRect/>
                                          </a:stretch>
                                        </pic:blipFill>
                                        <pic:spPr bwMode="auto">
                                          <a:xfrm>
                                            <a:off x="0" y="0"/>
                                            <a:ext cx="104775" cy="104775"/>
                                          </a:xfrm>
                                          <a:prstGeom prst="rect">
                                            <a:avLst/>
                                          </a:prstGeom>
                                        </pic:spPr>
                                      </pic:pic>
                                    </a:graphicData>
                                  </a:graphic>
                                </wp:inline>
                              </w:drawing>
                            </w:r>
                            <w:r>
                              <w:rPr>
                                <w:color w:val="578255"/>
                              </w:rPr>
                              <w:t> </w:t>
                            </w:r>
                          </w:p>
                        </w:tc>
                        <w:tc>
                          <w:tcPr>
                            <w:tcW w:w="6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paying dividends or dividend equivalents on unvested equity awards </w:t>
                            </w:r>
                          </w:p>
                        </w:tc>
                      </w:tr>
                    </w:tbl>
                    <w:p>
                      <w:pPr>
                        <w:pStyle w:val="TextBody"/>
                        <w:bidi w:val="0"/>
                        <w:spacing w:before="0" w:after="283"/>
                        <w:ind w:left="12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124200" cy="1051560"/>
                <wp:effectExtent l="0" t="0" r="0" b="0"/>
                <wp:wrapSquare wrapText="right"/>
                <wp:docPr id="74" name="Frame9"/>
                <a:graphic xmlns:a="http://schemas.openxmlformats.org/drawingml/2006/main">
                  <a:graphicData uri="http://schemas.microsoft.com/office/word/2010/wordprocessingShape">
                    <wps:wsp>
                      <wps:cNvSpPr txBox="1"/>
                      <wps:spPr>
                        <a:xfrm>
                          <a:off x="0" y="0"/>
                          <a:ext cx="3124200" cy="1051560"/>
                        </a:xfrm>
                        <a:prstGeom prst="rect"/>
                        <a:solidFill>
                          <a:srgbClr val="FFFFFF"/>
                        </a:solidFill>
                      </wps:spPr>
                      <wps:txbx>
                        <w:txbxContent>
                          <w:tbl>
                            <w:tblPr>
                              <w:tblW w:w="3385" w:type="dxa"/>
                              <w:jc w:val="left"/>
                              <w:tblInd w:w="120" w:type="dxa"/>
                              <w:tblLayout w:type="fixed"/>
                              <w:tblCellMar>
                                <w:top w:w="0" w:type="dxa"/>
                                <w:left w:w="0" w:type="dxa"/>
                                <w:bottom w:w="0" w:type="dxa"/>
                                <w:right w:w="0" w:type="dxa"/>
                              </w:tblCellMar>
                            </w:tblPr>
                            <w:tblGrid>
                              <w:gridCol w:w="455"/>
                              <w:gridCol w:w="29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66"/>
                                                <a:stretch>
                                                  <a:fillRect/>
                                                </a:stretch>
                                              </pic:blipFill>
                                              <pic:spPr bwMode="auto">
                                                <a:xfrm>
                                                  <a:off x="0" y="0"/>
                                                  <a:ext cx="104775" cy="104775"/>
                                                </a:xfrm>
                                                <a:prstGeom prst="rect">
                                                  <a:avLst/>
                                                </a:prstGeom>
                                              </pic:spPr>
                                            </pic:pic>
                                          </a:graphicData>
                                        </a:graphic>
                                      </wp:inline>
                                    </w:drawing>
                                  </w:r>
                                  <w:r>
                                    <w:rPr>
                                      <w:color w:val="578255"/>
                                    </w:rPr>
                                    <w:t> </w:t>
                                  </w:r>
                                </w:p>
                              </w:tc>
                              <w:tc>
                                <w:tcPr>
                                  <w:tcW w:w="2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targeting specific percentiles </w:t>
                                  </w:r>
                                </w:p>
                              </w:tc>
                            </w:tr>
                          </w:tbl>
                          <w:tbl>
                            <w:tblPr>
                              <w:tblW w:w="2440" w:type="dxa"/>
                              <w:jc w:val="left"/>
                              <w:tblInd w:w="12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 descr=""/>
                                                <pic:cNvPicPr>
                                                  <a:picLocks noChangeAspect="1" noChangeArrowheads="1"/>
                                                </pic:cNvPicPr>
                                              </pic:nvPicPr>
                                              <pic:blipFill>
                                                <a:blip r:embed="rId67"/>
                                                <a:stretch>
                                                  <a:fillRect/>
                                                </a:stretch>
                                              </pic:blipFill>
                                              <pic:spPr bwMode="auto">
                                                <a:xfrm>
                                                  <a:off x="0" y="0"/>
                                                  <a:ext cx="104775" cy="104775"/>
                                                </a:xfrm>
                                                <a:prstGeom prst="rect">
                                                  <a:avLst/>
                                                </a:prstGeom>
                                              </pic:spPr>
                                            </pic:pic>
                                          </a:graphicData>
                                        </a:graphic>
                                      </wp:inline>
                                    </w:drawing>
                                  </w:r>
                                  <w:r>
                                    <w:rPr>
                                      <w:color w:val="578255"/>
                                    </w:rPr>
                                    <w:t> </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guaranteed bonus </w:t>
                                  </w:r>
                                </w:p>
                              </w:tc>
                            </w:tr>
                          </w:tbl>
                          <w:tbl>
                            <w:tblPr>
                              <w:tblW w:w="5020" w:type="dxa"/>
                              <w:jc w:val="left"/>
                              <w:tblInd w:w="120" w:type="dxa"/>
                              <w:tblLayout w:type="fixed"/>
                              <w:tblCellMar>
                                <w:top w:w="0" w:type="dxa"/>
                                <w:left w:w="0" w:type="dxa"/>
                                <w:bottom w:w="0" w:type="dxa"/>
                                <w:right w:w="0" w:type="dxa"/>
                              </w:tblCellMar>
                            </w:tblPr>
                            <w:tblGrid>
                              <w:gridCol w:w="455"/>
                              <w:gridCol w:w="45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9" descr=""/>
                                                <pic:cNvPicPr>
                                                  <a:picLocks noChangeAspect="1" noChangeArrowheads="1"/>
                                                </pic:cNvPicPr>
                                              </pic:nvPicPr>
                                              <pic:blipFill>
                                                <a:blip r:embed="rId68"/>
                                                <a:stretch>
                                                  <a:fillRect/>
                                                </a:stretch>
                                              </pic:blipFill>
                                              <pic:spPr bwMode="auto">
                                                <a:xfrm>
                                                  <a:off x="0" y="0"/>
                                                  <a:ext cx="104775" cy="104775"/>
                                                </a:xfrm>
                                                <a:prstGeom prst="rect">
                                                  <a:avLst/>
                                                </a:prstGeom>
                                              </pic:spPr>
                                            </pic:pic>
                                          </a:graphicData>
                                        </a:graphic>
                                      </wp:inline>
                                    </w:drawing>
                                  </w:r>
                                  <w:r>
                                    <w:rPr>
                                      <w:color w:val="578255"/>
                                    </w:rPr>
                                    <w:t> </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changing of multi-year targets after they are set </w:t>
                                  </w:r>
                                </w:p>
                              </w:tc>
                            </w:tr>
                          </w:tbl>
                          <w:tbl>
                            <w:tblPr>
                              <w:tblW w:w="4090" w:type="dxa"/>
                              <w:jc w:val="left"/>
                              <w:tblInd w:w="120" w:type="dxa"/>
                              <w:tblLayout w:type="fixed"/>
                              <w:tblCellMar>
                                <w:top w:w="0" w:type="dxa"/>
                                <w:left w:w="0" w:type="dxa"/>
                                <w:bottom w:w="0" w:type="dxa"/>
                                <w:right w:w="0" w:type="dxa"/>
                              </w:tblCellMar>
                            </w:tblPr>
                            <w:tblGrid>
                              <w:gridCol w:w="455"/>
                              <w:gridCol w:w="36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0" descr=""/>
                                                <pic:cNvPicPr>
                                                  <a:picLocks noChangeAspect="1" noChangeArrowheads="1"/>
                                                </pic:cNvPicPr>
                                              </pic:nvPicPr>
                                              <pic:blipFill>
                                                <a:blip r:embed="rId69"/>
                                                <a:stretch>
                                                  <a:fillRect/>
                                                </a:stretch>
                                              </pic:blipFill>
                                              <pic:spPr bwMode="auto">
                                                <a:xfrm>
                                                  <a:off x="0" y="0"/>
                                                  <a:ext cx="104775" cy="104775"/>
                                                </a:xfrm>
                                                <a:prstGeom prst="rect">
                                                  <a:avLst/>
                                                </a:prstGeom>
                                              </pic:spPr>
                                            </pic:pic>
                                          </a:graphicData>
                                        </a:graphic>
                                      </wp:inline>
                                    </w:drawing>
                                  </w:r>
                                  <w:r>
                                    <w:rPr>
                                      <w:color w:val="578255"/>
                                    </w:rPr>
                                    <w:t> </w:t>
                                  </w:r>
                                </w:p>
                              </w:tc>
                              <w:tc>
                                <w:tcPr>
                                  <w:tcW w:w="3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repricing or buyouts of equity awards </w:t>
                                  </w:r>
                                </w:p>
                              </w:tc>
                            </w:tr>
                          </w:tbl>
                          <w:tbl>
                            <w:tblPr>
                              <w:tblW w:w="2335" w:type="dxa"/>
                              <w:jc w:val="left"/>
                              <w:tblInd w:w="120" w:type="dxa"/>
                              <w:tblLayout w:type="fixed"/>
                              <w:tblCellMar>
                                <w:top w:w="0" w:type="dxa"/>
                                <w:left w:w="0" w:type="dxa"/>
                                <w:bottom w:w="0" w:type="dxa"/>
                                <w:right w:w="0" w:type="dxa"/>
                              </w:tblCellMar>
                            </w:tblPr>
                            <w:tblGrid>
                              <w:gridCol w:w="455"/>
                              <w:gridCol w:w="18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7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1" descr=""/>
                                                <pic:cNvPicPr>
                                                  <a:picLocks noChangeAspect="1" noChangeArrowheads="1"/>
                                                </pic:cNvPicPr>
                                              </pic:nvPicPr>
                                              <pic:blipFill>
                                                <a:blip r:embed="rId70"/>
                                                <a:stretch>
                                                  <a:fillRect/>
                                                </a:stretch>
                                              </pic:blipFill>
                                              <pic:spPr bwMode="auto">
                                                <a:xfrm>
                                                  <a:off x="0" y="0"/>
                                                  <a:ext cx="104775" cy="104775"/>
                                                </a:xfrm>
                                                <a:prstGeom prst="rect">
                                                  <a:avLst/>
                                                </a:prstGeom>
                                              </pic:spPr>
                                            </pic:pic>
                                          </a:graphicData>
                                        </a:graphic>
                                      </wp:inline>
                                    </w:drawing>
                                  </w:r>
                                  <w:r>
                                    <w:rPr>
                                      <w:color w:val="578255"/>
                                    </w:rPr>
                                    <w:t> </w:t>
                                  </w:r>
                                </w:p>
                              </w:tc>
                              <w:tc>
                                <w:tcPr>
                                  <w:tcW w:w="1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share “recycling” </w:t>
                                  </w:r>
                                </w:p>
                              </w:tc>
                            </w:tr>
                          </w:tbl>
                          <w:p>
                            <w:pPr>
                              <w:pStyle w:val="TextBody"/>
                              <w:bidi w:val="0"/>
                              <w:spacing w:before="0" w:after="283"/>
                              <w:ind w:left="120" w:right="0" w:hanging="0"/>
                              <w:jc w:val="left"/>
                              <w:rPr/>
                            </w:pPr>
                            <w:r>
                              <w:rPr/>
                            </w:r>
                          </w:p>
                        </w:txbxContent>
                      </wps:txbx>
                      <wps:bodyPr anchor="t" lIns="0" tIns="0" rIns="0" bIns="0">
                        <a:noAutofit/>
                      </wps:bodyPr>
                    </wps:wsp>
                  </a:graphicData>
                </a:graphic>
              </wp:anchor>
            </w:drawing>
          </mc:Choice>
          <mc:Fallback>
            <w:pict>
              <v:rect style="position:absolute;rotation:-0;width:246pt;height:82.8pt;mso-wrap-distance-left:0pt;mso-wrap-distance-right:0pt;mso-wrap-distance-top:0pt;mso-wrap-distance-bottom:0pt;margin-top:0pt;mso-position-vertical:top;mso-position-vertical-relative:text;margin-left:264pt;mso-position-horizontal:left;mso-position-horizontal-relative:text">
                <v:textbox>
                  <w:txbxContent>
                    <w:tbl>
                      <w:tblPr>
                        <w:tblW w:w="3385" w:type="dxa"/>
                        <w:jc w:val="left"/>
                        <w:tblInd w:w="120" w:type="dxa"/>
                        <w:tblLayout w:type="fixed"/>
                        <w:tblCellMar>
                          <w:top w:w="0" w:type="dxa"/>
                          <w:left w:w="0" w:type="dxa"/>
                          <w:bottom w:w="0" w:type="dxa"/>
                          <w:right w:w="0" w:type="dxa"/>
                        </w:tblCellMar>
                      </w:tblPr>
                      <w:tblGrid>
                        <w:gridCol w:w="455"/>
                        <w:gridCol w:w="29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8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7" descr=""/>
                                          <pic:cNvPicPr>
                                            <a:picLocks noChangeAspect="1" noChangeArrowheads="1"/>
                                          </pic:cNvPicPr>
                                        </pic:nvPicPr>
                                        <pic:blipFill>
                                          <a:blip r:embed="rId71"/>
                                          <a:stretch>
                                            <a:fillRect/>
                                          </a:stretch>
                                        </pic:blipFill>
                                        <pic:spPr bwMode="auto">
                                          <a:xfrm>
                                            <a:off x="0" y="0"/>
                                            <a:ext cx="104775" cy="104775"/>
                                          </a:xfrm>
                                          <a:prstGeom prst="rect">
                                            <a:avLst/>
                                          </a:prstGeom>
                                        </pic:spPr>
                                      </pic:pic>
                                    </a:graphicData>
                                  </a:graphic>
                                </wp:inline>
                              </w:drawing>
                            </w:r>
                            <w:r>
                              <w:rPr>
                                <w:color w:val="578255"/>
                              </w:rPr>
                              <w:t> </w:t>
                            </w:r>
                          </w:p>
                        </w:tc>
                        <w:tc>
                          <w:tcPr>
                            <w:tcW w:w="2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targeting specific percentiles </w:t>
                            </w:r>
                          </w:p>
                        </w:tc>
                      </w:tr>
                    </w:tbl>
                    <w:tbl>
                      <w:tblPr>
                        <w:tblW w:w="2440" w:type="dxa"/>
                        <w:jc w:val="left"/>
                        <w:tblInd w:w="12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8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8" descr=""/>
                                          <pic:cNvPicPr>
                                            <a:picLocks noChangeAspect="1" noChangeArrowheads="1"/>
                                          </pic:cNvPicPr>
                                        </pic:nvPicPr>
                                        <pic:blipFill>
                                          <a:blip r:embed="rId72"/>
                                          <a:stretch>
                                            <a:fillRect/>
                                          </a:stretch>
                                        </pic:blipFill>
                                        <pic:spPr bwMode="auto">
                                          <a:xfrm>
                                            <a:off x="0" y="0"/>
                                            <a:ext cx="104775" cy="104775"/>
                                          </a:xfrm>
                                          <a:prstGeom prst="rect">
                                            <a:avLst/>
                                          </a:prstGeom>
                                        </pic:spPr>
                                      </pic:pic>
                                    </a:graphicData>
                                  </a:graphic>
                                </wp:inline>
                              </w:drawing>
                            </w:r>
                            <w:r>
                              <w:rPr>
                                <w:color w:val="578255"/>
                              </w:rPr>
                              <w:t> </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guaranteed bonus </w:t>
                            </w:r>
                          </w:p>
                        </w:tc>
                      </w:tr>
                    </w:tbl>
                    <w:tbl>
                      <w:tblPr>
                        <w:tblW w:w="5020" w:type="dxa"/>
                        <w:jc w:val="left"/>
                        <w:tblInd w:w="120" w:type="dxa"/>
                        <w:tblLayout w:type="fixed"/>
                        <w:tblCellMar>
                          <w:top w:w="0" w:type="dxa"/>
                          <w:left w:w="0" w:type="dxa"/>
                          <w:bottom w:w="0" w:type="dxa"/>
                          <w:right w:w="0" w:type="dxa"/>
                        </w:tblCellMar>
                      </w:tblPr>
                      <w:tblGrid>
                        <w:gridCol w:w="455"/>
                        <w:gridCol w:w="456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9" descr=""/>
                                          <pic:cNvPicPr>
                                            <a:picLocks noChangeAspect="1" noChangeArrowheads="1"/>
                                          </pic:cNvPicPr>
                                        </pic:nvPicPr>
                                        <pic:blipFill>
                                          <a:blip r:embed="rId73"/>
                                          <a:stretch>
                                            <a:fillRect/>
                                          </a:stretch>
                                        </pic:blipFill>
                                        <pic:spPr bwMode="auto">
                                          <a:xfrm>
                                            <a:off x="0" y="0"/>
                                            <a:ext cx="104775" cy="104775"/>
                                          </a:xfrm>
                                          <a:prstGeom prst="rect">
                                            <a:avLst/>
                                          </a:prstGeom>
                                        </pic:spPr>
                                      </pic:pic>
                                    </a:graphicData>
                                  </a:graphic>
                                </wp:inline>
                              </w:drawing>
                            </w:r>
                            <w:r>
                              <w:rPr>
                                <w:color w:val="578255"/>
                              </w:rPr>
                              <w:t> </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changing of multi-year targets after they are set </w:t>
                            </w:r>
                          </w:p>
                        </w:tc>
                      </w:tr>
                    </w:tbl>
                    <w:tbl>
                      <w:tblPr>
                        <w:tblW w:w="4090" w:type="dxa"/>
                        <w:jc w:val="left"/>
                        <w:tblInd w:w="120" w:type="dxa"/>
                        <w:tblLayout w:type="fixed"/>
                        <w:tblCellMar>
                          <w:top w:w="0" w:type="dxa"/>
                          <w:left w:w="0" w:type="dxa"/>
                          <w:bottom w:w="0" w:type="dxa"/>
                          <w:right w:w="0" w:type="dxa"/>
                        </w:tblCellMar>
                      </w:tblPr>
                      <w:tblGrid>
                        <w:gridCol w:w="455"/>
                        <w:gridCol w:w="363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74"/>
                                          <a:stretch>
                                            <a:fillRect/>
                                          </a:stretch>
                                        </pic:blipFill>
                                        <pic:spPr bwMode="auto">
                                          <a:xfrm>
                                            <a:off x="0" y="0"/>
                                            <a:ext cx="104775" cy="104775"/>
                                          </a:xfrm>
                                          <a:prstGeom prst="rect">
                                            <a:avLst/>
                                          </a:prstGeom>
                                        </pic:spPr>
                                      </pic:pic>
                                    </a:graphicData>
                                  </a:graphic>
                                </wp:inline>
                              </w:drawing>
                            </w:r>
                            <w:r>
                              <w:rPr>
                                <w:color w:val="578255"/>
                              </w:rPr>
                              <w:t> </w:t>
                            </w:r>
                          </w:p>
                        </w:tc>
                        <w:tc>
                          <w:tcPr>
                            <w:tcW w:w="3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repricing or buyouts of equity awards </w:t>
                            </w:r>
                          </w:p>
                        </w:tc>
                      </w:tr>
                    </w:tbl>
                    <w:tbl>
                      <w:tblPr>
                        <w:tblW w:w="2335" w:type="dxa"/>
                        <w:jc w:val="left"/>
                        <w:tblInd w:w="120" w:type="dxa"/>
                        <w:tblLayout w:type="fixed"/>
                        <w:tblCellMar>
                          <w:top w:w="0" w:type="dxa"/>
                          <w:left w:w="0" w:type="dxa"/>
                          <w:bottom w:w="0" w:type="dxa"/>
                          <w:right w:w="0" w:type="dxa"/>
                        </w:tblCellMar>
                      </w:tblPr>
                      <w:tblGrid>
                        <w:gridCol w:w="455"/>
                        <w:gridCol w:w="18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75"/>
                                          <a:stretch>
                                            <a:fillRect/>
                                          </a:stretch>
                                        </pic:blipFill>
                                        <pic:spPr bwMode="auto">
                                          <a:xfrm>
                                            <a:off x="0" y="0"/>
                                            <a:ext cx="104775" cy="104775"/>
                                          </a:xfrm>
                                          <a:prstGeom prst="rect">
                                            <a:avLst/>
                                          </a:prstGeom>
                                        </pic:spPr>
                                      </pic:pic>
                                    </a:graphicData>
                                  </a:graphic>
                                </wp:inline>
                              </w:drawing>
                            </w:r>
                            <w:r>
                              <w:rPr>
                                <w:color w:val="578255"/>
                              </w:rPr>
                              <w:t> </w:t>
                            </w:r>
                          </w:p>
                        </w:tc>
                        <w:tc>
                          <w:tcPr>
                            <w:tcW w:w="1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share “recycling” </w:t>
                            </w:r>
                          </w:p>
                        </w:tc>
                      </w:tr>
                    </w:tbl>
                    <w:p>
                      <w:pPr>
                        <w:pStyle w:val="TextBody"/>
                        <w:bidi w:val="0"/>
                        <w:spacing w:before="0" w:after="283"/>
                        <w:ind w:left="120" w:right="0" w:hanging="0"/>
                        <w:jc w:val="left"/>
                        <w:rPr/>
                      </w:pPr>
                      <w:r>
                        <w:rPr/>
                      </w:r>
                    </w:p>
                  </w:txbxContent>
                </v:textbox>
                <w10:wrap type="square" side="right"/>
              </v:rect>
            </w:pict>
          </mc:Fallback>
        </mc:AlternateConten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We have conducted shareholder outreach annually since 2016 and have provided shareholders with an annual say-on-pay advisory vote on compensation of our named executive officers since 2012. We are very pleased that shareholders have expressed their continued support of our compensation practices since our 2016 annual general meeting of shareholders. </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810125" cy="1600200"/>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76"/>
                    <a:stretch>
                      <a:fillRect/>
                    </a:stretch>
                  </pic:blipFill>
                  <pic:spPr bwMode="auto">
                    <a:xfrm>
                      <a:off x="0" y="0"/>
                      <a:ext cx="4810125" cy="16002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w:t>
      </w:r>
    </w:p>
    <w:tbl>
      <w:tblPr>
        <w:tblW w:w="3360" w:type="dxa"/>
        <w:jc w:val="left"/>
        <w:tblInd w:w="12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77"/>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81940x1_def14a_104-summary_pg5"/>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60" w:right="0" w:hanging="0"/>
        <w:jc w:val="right"/>
        <w:rPr>
          <w:rFonts w:ascii="Arial;Helvetica;sans-serif" w:hAnsi="Arial;Helvetica;sans-serif"/>
          <w:color w:val="000000"/>
          <w:sz w:val="16"/>
        </w:rPr>
      </w:pPr>
      <w:r>
        <w:rPr>
          <w:rFonts w:ascii="Arial;Helvetica;sans-serif" w:hAnsi="Arial;Helvetica;sans-serif"/>
          <w:color w:val="000000"/>
          <w:sz w:val="16"/>
        </w:rPr>
        <w:t xml:space="preserve">2026 PROXY STATEMENT SUMMARY </w:t>
      </w:r>
    </w:p>
    <w:p>
      <w:pPr>
        <w:pStyle w:val="TextBody"/>
        <w:bidi w:val="0"/>
        <w:spacing w:before="160" w:after="240"/>
        <w:ind w:left="120" w:right="0" w:hanging="0"/>
        <w:jc w:val="left"/>
        <w:rPr>
          <w:rFonts w:ascii="Arial;Helvetica;sans-serif" w:hAnsi="Arial;Helvetica;sans-serif"/>
          <w:b/>
          <w:color w:val="578255"/>
          <w:sz w:val="24"/>
          <w:bdr w:val="single" w:sz="8" w:space="12" w:color="000000"/>
        </w:rPr>
      </w:pPr>
      <w:r>
        <w:rPr>
          <w:rFonts w:ascii="Arial;Helvetica;sans-serif" w:hAnsi="Arial;Helvetica;sans-serif"/>
          <w:b/>
          <w:color w:val="578255"/>
          <w:sz w:val="24"/>
          <w:bdr w:val="single" w:sz="8" w:space="12" w:color="000000"/>
        </w:rPr>
        <w:t xml:space="preserve">Pay for Performance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We use a mix of long-term and short-term compensation components to align executive interests with shareholders and attract, retain and motivate executives. Our compensation program is strongly focused on delivering a substantial portion of compensation through performance-based compensation elements. This ensures proper alignment with our shareholders and ties the ultimate value delivered to our named executive officers to Fabrinet’s performance. </w:t>
      </w:r>
    </w:p>
    <w:p>
      <w:pPr>
        <w:pStyle w:val="TextBody"/>
        <w:bidi w:val="0"/>
        <w:spacing w:before="120" w:after="240"/>
        <w:ind w:left="120" w:right="0" w:hanging="0"/>
        <w:jc w:val="both"/>
        <w:rPr>
          <w:rFonts w:ascii="Arial;Helvetica;sans-serif" w:hAnsi="Arial;Helvetica;sans-serif"/>
          <w:color w:val="000000"/>
          <w:sz w:val="20"/>
          <w:bdr w:val="single" w:sz="8" w:space="12" w:color="000000"/>
        </w:rPr>
      </w:pPr>
      <w:r>
        <w:rPr>
          <w:rFonts w:ascii="Arial;Helvetica;sans-serif" w:hAnsi="Arial;Helvetica;sans-serif"/>
          <w:color w:val="000000"/>
          <w:sz w:val="20"/>
          <w:bdr w:val="single" w:sz="8" w:space="12" w:color="000000"/>
        </w:rPr>
        <w:t xml:space="preserve">For fiscal 2026, target total direct compensation for our named executive officers consisted of annual base salary, target bonus opportunity under our cash-based incentive plan, and the aggregate grant date fair value of time-based and performance-based equity award grants in fiscal 2026 (assuming maximum achievement of performance conditions). </w:t>
      </w:r>
    </w:p>
    <w:p>
      <w:pPr>
        <w:pStyle w:val="TextBody"/>
        <w:bidi w:val="0"/>
        <w:spacing w:before="170" w:after="240"/>
        <w:jc w:val="center"/>
        <w:rPr>
          <w:rFonts w:ascii="Arial;Helvetica;sans-serif" w:hAnsi="Arial;Helvetica;sans-serif"/>
          <w:b/>
          <w:color w:val="000000"/>
          <w:sz w:val="20"/>
          <w:bdr w:val="single" w:sz="8" w:space="12" w:color="000000"/>
        </w:rPr>
      </w:pPr>
      <w:r>
        <w:rPr>
          <w:rFonts w:ascii="Arial;Helvetica;sans-serif" w:hAnsi="Arial;Helvetica;sans-serif"/>
          <w:b/>
          <w:color w:val="000000"/>
          <w:sz w:val="20"/>
          <w:bdr w:val="single" w:sz="8" w:space="12" w:color="000000"/>
        </w:rPr>
        <w:t xml:space="preserve">FY26 Target Direct Compensation Mix – CEO </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257675" cy="571500"/>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78"/>
                    <a:stretch>
                      <a:fillRect/>
                    </a:stretch>
                  </pic:blipFill>
                  <pic:spPr bwMode="auto">
                    <a:xfrm>
                      <a:off x="0" y="0"/>
                      <a:ext cx="4257675" cy="5715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w:t>
      </w:r>
    </w:p>
    <w:p>
      <w:pPr>
        <w:pStyle w:val="TextBody"/>
        <w:bidi w:val="0"/>
        <w:spacing w:before="170" w:after="240"/>
        <w:jc w:val="center"/>
        <w:rPr>
          <w:rFonts w:ascii="Arial;Helvetica;sans-serif" w:hAnsi="Arial;Helvetica;sans-serif"/>
          <w:b/>
          <w:color w:val="000000"/>
          <w:sz w:val="20"/>
          <w:bdr w:val="single" w:sz="8" w:space="12" w:color="000000"/>
        </w:rPr>
      </w:pPr>
      <w:r>
        <w:rPr>
          <w:rFonts w:ascii="Arial;Helvetica;sans-serif" w:hAnsi="Arial;Helvetica;sans-serif"/>
          <w:b/>
          <w:color w:val="000000"/>
          <w:sz w:val="20"/>
          <w:bdr w:val="single" w:sz="8" w:space="12" w:color="000000"/>
        </w:rPr>
        <w:t xml:space="preserve">FY26 Target Direct Compensation Mix – Other NEOs* </w:t>
      </w:r>
    </w:p>
    <w:p>
      <w:pPr>
        <w:pStyle w:val="TextBody"/>
        <w:bidi w:val="0"/>
        <w:spacing w:before="305" w:after="240"/>
        <w:jc w:val="center"/>
        <w:rPr>
          <w:color w:val="000000"/>
          <w:bdr w:val="single" w:sz="8" w:space="12" w:color="000000"/>
        </w:rPr>
      </w:pPr>
      <w:r>
        <w:rPr>
          <w:color w:val="000000"/>
          <w:bdr w:val="single" w:sz="8" w:space="12" w:color="000000"/>
        </w:rPr>
        <w:drawing>
          <wp:inline distT="0" distB="0" distL="0" distR="0">
            <wp:extent cx="4257675" cy="914400"/>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79"/>
                    <a:stretch>
                      <a:fillRect/>
                    </a:stretch>
                  </pic:blipFill>
                  <pic:spPr bwMode="auto">
                    <a:xfrm>
                      <a:off x="0" y="0"/>
                      <a:ext cx="4257675" cy="914400"/>
                    </a:xfrm>
                    <a:prstGeom prst="rect">
                      <a:avLst/>
                    </a:prstGeom>
                  </pic:spPr>
                </pic:pic>
              </a:graphicData>
            </a:graphic>
          </wp:inline>
        </w:drawing>
      </w:r>
    </w:p>
    <w:p>
      <w:pPr>
        <w:pStyle w:val="TextBody"/>
        <w:bidi w:val="0"/>
        <w:spacing w:before="0" w:after="240"/>
        <w:ind w:left="120" w:right="0" w:hanging="0"/>
        <w:jc w:val="left"/>
        <w:rPr>
          <w:color w:val="000000"/>
          <w:bdr w:val="single" w:sz="8" w:space="12" w:color="000000"/>
        </w:rPr>
      </w:pPr>
      <w:r>
        <w:rPr>
          <w:color w:val="000000"/>
          <w:bdr w:val="single" w:sz="8" w:space="12" w:color="000000"/>
        </w:rPr>
        <w:t> </w:t>
      </w:r>
    </w:p>
    <w:tbl>
      <w:tblPr>
        <w:tblW w:w="2885" w:type="dxa"/>
        <w:jc w:val="left"/>
        <w:tblInd w:w="12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80"/>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81940x1_def14a_105-qa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342900"/>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81"/>
                    <a:stretch>
                      <a:fillRect/>
                    </a:stretch>
                  </pic:blipFill>
                  <pic:spPr bwMode="auto">
                    <a:xfrm>
                      <a:off x="0" y="0"/>
                      <a:ext cx="16668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Arial;Helvetica;sans-serif" w:hAnsi="Arial;Helvetica;sans-serif"/>
          <w:b/>
          <w:color w:val="000000"/>
          <w:sz w:val="20"/>
        </w:rPr>
      </w:pPr>
      <w:r>
        <w:rPr>
          <w:rFonts w:ascii="Arial;Helvetica;sans-serif" w:hAnsi="Arial;Helvetica;sans-serif"/>
          <w:b/>
          <w:color w:val="000000"/>
          <w:sz w:val="20"/>
        </w:rPr>
        <w:t xml:space="preserve">c/o Fabrinet USA,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4900 Patrick Henry Drive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Santa Clara, CA 95054 </w:t>
      </w:r>
    </w:p>
    <w:p>
      <w:pPr>
        <w:pStyle w:val="TextBody"/>
        <w:bidi w:val="0"/>
        <w:spacing w:before="410" w:after="283"/>
        <w:jc w:val="center"/>
        <w:rPr>
          <w:rFonts w:ascii="Arial;Helvetica;sans-serif" w:hAnsi="Arial;Helvetica;sans-serif"/>
          <w:b/>
          <w:color w:val="000000"/>
          <w:sz w:val="35"/>
        </w:rPr>
      </w:pPr>
      <w:r>
        <w:rPr>
          <w:rFonts w:ascii="Arial;Helvetica;sans-serif" w:hAnsi="Arial;Helvetica;sans-serif"/>
          <w:b/>
          <w:color w:val="000000"/>
          <w:sz w:val="35"/>
        </w:rPr>
        <w:t xml:space="preserve">PROXY STATEMENT </w:t>
      </w:r>
    </w:p>
    <w:p>
      <w:pPr>
        <w:pStyle w:val="TextBody"/>
        <w:bidi w:val="0"/>
        <w:spacing w:before="570" w:after="283"/>
        <w:ind w:left="0" w:right="0" w:hanging="0"/>
        <w:jc w:val="both"/>
        <w:rPr>
          <w:rFonts w:ascii="Arial;Helvetica;sans-serif" w:hAnsi="Arial;Helvetica;sans-serif"/>
          <w:b/>
          <w:color w:val="000000"/>
          <w:spacing w:val="-2"/>
          <w:sz w:val="35"/>
        </w:rPr>
      </w:pPr>
      <w:r>
        <w:rPr>
          <w:rFonts w:ascii="Arial;Helvetica;sans-serif" w:hAnsi="Arial;Helvetica;sans-serif"/>
          <w:b/>
          <w:color w:val="000000"/>
          <w:spacing w:val="-2"/>
          <w:sz w:val="35"/>
        </w:rPr>
        <w:t xml:space="preserve">FOR 2026 ANNUAL GENERAL MEETING OF SHAREHOLDERS </w:t>
      </w:r>
    </w:p>
    <w:p>
      <w:pPr>
        <w:pStyle w:val="TextBody"/>
        <w:bidi w:val="0"/>
        <w:spacing w:before="33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This proxy statement is being provided to holders of ordinary shares of Fabrinet, a Cayman Islands exempted company, at the close of business on the record date (October 13, 2026) in connection with the solicitation of proxies by Fabrinet’s board of directors (the “</w:t>
      </w:r>
      <w:r>
        <w:rPr>
          <w:rFonts w:ascii="Arial;Helvetica;sans-serif" w:hAnsi="Arial;Helvetica;sans-serif"/>
          <w:b/>
          <w:color w:val="000000"/>
          <w:sz w:val="20"/>
        </w:rPr>
        <w:t>Board</w:t>
      </w:r>
      <w:r>
        <w:rPr>
          <w:rFonts w:ascii="Arial;Helvetica;sans-serif" w:hAnsi="Arial;Helvetica;sans-serif"/>
          <w:color w:val="000000"/>
          <w:sz w:val="20"/>
        </w:rPr>
        <w:t>”) for use at Fabrinet’s 2026 Annual General Meeting of Shareholders and any postponement, adjournment or continuation thereof (the “</w:t>
      </w:r>
      <w:r>
        <w:rPr>
          <w:rFonts w:ascii="Arial;Helvetica;sans-serif" w:hAnsi="Arial;Helvetica;sans-serif"/>
          <w:b/>
          <w:color w:val="000000"/>
          <w:sz w:val="20"/>
        </w:rPr>
        <w:t>Annual Meeting</w:t>
      </w:r>
      <w:r>
        <w:rPr>
          <w:rFonts w:ascii="Arial;Helvetica;sans-serif" w:hAnsi="Arial;Helvetica;sans-serif"/>
          <w:color w:val="000000"/>
          <w:sz w:val="20"/>
        </w:rPr>
        <w:t xml:space="preserve">”), for the purpose of considering and acting upon the matters set forth in this proxy statement and the accompanying notice. The Annual Meeting will be held on Thursday, December 10, 2026, at 9:00 a.m. Pacific Standard Time via the Internet at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 virtual format for the Annual Meeting to provide a consistent experience to all our shareholders, regardless of location.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October 20, 2026, we began sending to all shareholders entitled to vote at the Annual Meeting a Notice of Internet Availability of Proxy Materials, which contains instructions on how to access this proxy statement, the accompanying notice of Annual Meeting and form of proxy card.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tbl>
      <w:tblPr>
        <w:tblW w:w="3360" w:type="dxa"/>
        <w:jc w:val="left"/>
        <w:tblInd w:w="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8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81940x1_def14a_105-qa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5" w:name="tQND"/>
      <w:bookmarkEnd w:id="25"/>
      <w:r>
        <w:rPr>
          <w:rFonts w:ascii="Arial;Helvetica;sans-serif" w:hAnsi="Arial;Helvetica;sans-serif"/>
          <w:b/>
          <w:color w:val="578255"/>
          <w:sz w:val="44"/>
        </w:rPr>
        <w:t xml:space="preserve">QUESTIONS AND ANSWERS ABOUT THE ANNUAL MEETING AND PROCEDURAL MATTERS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124200" cy="6313170"/>
                <wp:effectExtent l="0" t="0" r="0" b="0"/>
                <wp:wrapSquare wrapText="right"/>
                <wp:docPr id="92" name="Frame11"/>
                <a:graphic xmlns:a="http://schemas.openxmlformats.org/drawingml/2006/main">
                  <a:graphicData uri="http://schemas.microsoft.com/office/word/2010/wordprocessingShape">
                    <wps:wsp>
                      <wps:cNvSpPr txBox="1"/>
                      <wps:spPr>
                        <a:xfrm>
                          <a:off x="0" y="0"/>
                          <a:ext cx="3124200" cy="6313170"/>
                        </a:xfrm>
                        <a:prstGeom prst="rect"/>
                        <a:solidFill>
                          <a:srgbClr val="FFFFFF"/>
                        </a:solidFill>
                      </wps:spPr>
                      <wps:txbx>
                        <w:txbxContent>
                          <w:p>
                            <w:pPr>
                              <w:pStyle w:val="Normal"/>
                              <w:bidi w:val="0"/>
                              <w:spacing w:before="0" w:after="0"/>
                              <w:jc w:val="left"/>
                              <w:rPr>
                                <w:sz w:val="4"/>
                                <w:szCs w:val="4"/>
                              </w:rPr>
                            </w:pPr>
                            <w:r>
                              <w:rPr>
                                <w:sz w:val="4"/>
                                <w:szCs w:val="4"/>
                              </w:rPr>
                            </w:r>
                            <w:bookmarkStart w:id="26" w:name="tQND1"/>
                            <w:bookmarkStart w:id="27" w:name="tQND1"/>
                            <w:bookmarkEnd w:id="27"/>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66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attend the Annual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You are invited to attend the Annual Meeting if you were a shareholder of record or a beneficial owner as of October 13, 2026 (the “</w:t>
                                  </w:r>
                                  <w:r>
                                    <w:rPr>
                                      <w:rFonts w:ascii="Arial;Helvetica;sans-serif" w:hAnsi="Arial;Helvetica;sans-serif"/>
                                      <w:b/>
                                      <w:color w:val="000000"/>
                                      <w:sz w:val="20"/>
                                    </w:rPr>
                                    <w:t>Record Date</w:t>
                                  </w:r>
                                  <w:r>
                                    <w:rPr>
                                      <w:rFonts w:ascii="Arial;Helvetica;sans-serif" w:hAnsi="Arial;Helvetica;sans-serif"/>
                                      <w:color w:val="000000"/>
                                      <w:sz w:val="20"/>
                                    </w:rPr>
                                    <w:t xml:space="preserve">”). Shareholders may participate in the Annual Meeting at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Guests will not be able to vote shares or ask questions during the meeting. </w:t>
                                  </w:r>
                                </w:p>
                              </w:tc>
                            </w:tr>
                          </w:tbl>
                          <w:p>
                            <w:pPr>
                              <w:pStyle w:val="TextBody"/>
                              <w:bidi w:val="0"/>
                              <w:spacing w:before="120" w:after="283"/>
                              <w:ind w:left="32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If you plan to attend the Annual Meeting online, please be aware of what you will need to gain admission to the meeting, as described below. </w:t>
                            </w:r>
                            <w:r>
                              <w:rPr>
                                <w:rFonts w:ascii="Arial;Helvetica;sans-serif" w:hAnsi="Arial;Helvetica;sans-serif"/>
                                <w:b w:val="false"/>
                                <w:color w:val="000000"/>
                                <w:sz w:val="20"/>
                              </w:rPr>
                              <w:t xml:space="preserve">If you do not comply with these procedures, you will not be able to participate in the Annual Meeting but may view the Annual Meeting webcast as a guest.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To attend online and participate in the Annual Meeting, shareholders of record will need to enter the 16-digit control number included on their Notice of Internet Availability of Proxy Materials or proxy card (if they requested printed materials) to log into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Beneficial owners who do not have a control number may gain access to the meeting by logging into their brokerage firm’s website and selecting the stockholder communications mailbox to link through to the Annual Meeting; instructions should also be provided on the card provided by their broker, bank, or other nominee. The difference between holding shares as a shareholder of record and as a beneficial owner is described below under “</w:t>
                            </w:r>
                            <w:r>
                              <w:rPr>
                                <w:rFonts w:ascii="Arial;Helvetica;sans-serif" w:hAnsi="Arial;Helvetica;sans-serif"/>
                                <w:i/>
                                <w:color w:val="000000"/>
                                <w:sz w:val="20"/>
                              </w:rPr>
                              <w:t>Q. What is the difference between holding shares as a shareholder of record and as a beneficial owner?</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you to access the meeting prior to the start time. Please allow ample time for online check-in, which will begin at 8:45 a.m. Pacific Standard Time. If you have difficulties during the check-in time or during the meeting, we will have technicians ready to assist you with any difficulties you may have accessing the virtual meeting. If you encounter any difficulties accessing the virtual meeting, please call the technical support number that will be posted on the virtual meeting platform’s log in page. </w:t>
                            </w:r>
                          </w:p>
                        </w:txbxContent>
                      </wps:txbx>
                      <wps:bodyPr anchor="t" lIns="0" tIns="0" rIns="0" bIns="0">
                        <a:noAutofit/>
                      </wps:bodyPr>
                    </wps:wsp>
                  </a:graphicData>
                </a:graphic>
              </wp:anchor>
            </w:drawing>
          </mc:Choice>
          <mc:Fallback>
            <w:pict>
              <v:rect style="position:absolute;rotation:-0;width:246pt;height:497.1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28" w:name="tQND1"/>
                      <w:bookmarkStart w:id="29" w:name="tQND1"/>
                      <w:bookmarkEnd w:id="29"/>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66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attend the Annual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You are invited to attend the Annual Meeting if you were a shareholder of record or a beneficial owner as of October 13, 2026 (the “</w:t>
                            </w:r>
                            <w:r>
                              <w:rPr>
                                <w:rFonts w:ascii="Arial;Helvetica;sans-serif" w:hAnsi="Arial;Helvetica;sans-serif"/>
                                <w:b/>
                                <w:color w:val="000000"/>
                                <w:sz w:val="20"/>
                              </w:rPr>
                              <w:t>Record Date</w:t>
                            </w:r>
                            <w:r>
                              <w:rPr>
                                <w:rFonts w:ascii="Arial;Helvetica;sans-serif" w:hAnsi="Arial;Helvetica;sans-serif"/>
                                <w:color w:val="000000"/>
                                <w:sz w:val="20"/>
                              </w:rPr>
                              <w:t xml:space="preserve">”). Shareholders may participate in the Annual Meeting at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Guests will not be able to vote shares or ask questions during the meeting. </w:t>
                            </w:r>
                          </w:p>
                        </w:tc>
                      </w:tr>
                    </w:tbl>
                    <w:p>
                      <w:pPr>
                        <w:pStyle w:val="TextBody"/>
                        <w:bidi w:val="0"/>
                        <w:spacing w:before="120" w:after="283"/>
                        <w:ind w:left="32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If you plan to attend the Annual Meeting online, please be aware of what you will need to gain admission to the meeting, as described below. </w:t>
                      </w:r>
                      <w:r>
                        <w:rPr>
                          <w:rFonts w:ascii="Arial;Helvetica;sans-serif" w:hAnsi="Arial;Helvetica;sans-serif"/>
                          <w:b w:val="false"/>
                          <w:color w:val="000000"/>
                          <w:sz w:val="20"/>
                        </w:rPr>
                        <w:t xml:space="preserve">If you do not comply with these procedures, you will not be able to participate in the Annual Meeting but may view the Annual Meeting webcast as a guest.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To attend online and participate in the Annual Meeting, shareholders of record will need to enter the 16-digit control number included on their Notice of Internet Availability of Proxy Materials or proxy card (if they requested printed materials) to log into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Beneficial owners who do not have a control number may gain access to the meeting by logging into their brokerage firm’s website and selecting the stockholder communications mailbox to link through to the Annual Meeting; instructions should also be provided on the card provided by their broker, bank, or other nominee. The difference between holding shares as a shareholder of record and as a beneficial owner is described below under “</w:t>
                      </w:r>
                      <w:r>
                        <w:rPr>
                          <w:rFonts w:ascii="Arial;Helvetica;sans-serif" w:hAnsi="Arial;Helvetica;sans-serif"/>
                          <w:i/>
                          <w:color w:val="000000"/>
                          <w:sz w:val="20"/>
                        </w:rPr>
                        <w:t>Q. What is the difference between holding shares as a shareholder of record and as a beneficial owner?</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you to access the meeting prior to the start time. Please allow ample time for online check-in, which will begin at 8:45 a.m. Pacific Standard Time. If you have difficulties during the check-in time or during the meeting, we will have technicians ready to assist you with any difficulties you may have accessing the virtual meeting. If you encounter any difficulties accessing the virtual meeting, please call the technical support number that will be posted on the virtual meeting platform’s log in page. </w:t>
                      </w:r>
                    </w:p>
                  </w:txbxContent>
                </v:textbox>
                <w10:wrap type="square" side="right"/>
              </v:rect>
            </w:pict>
          </mc:Fallback>
        </mc:AlternateContent>
      </w:r>
      <w:r>
        <mc:AlternateContent>
          <mc:Choice Requires="wps">
            <w:drawing>
              <wp:anchor behindDoc="0" distT="0" distB="0" distL="228600" distR="0" simplePos="0" locked="0" layoutInCell="1" allowOverlap="1" relativeHeight="218">
                <wp:simplePos x="0" y="0"/>
                <wp:positionH relativeFrom="column">
                  <wp:align>left</wp:align>
                </wp:positionH>
                <wp:positionV relativeFrom="line">
                  <wp:posOffset>635</wp:posOffset>
                </wp:positionV>
                <wp:extent cx="3124200" cy="5850255"/>
                <wp:effectExtent l="0" t="0" r="0" b="0"/>
                <wp:wrapSquare wrapText="right"/>
                <wp:docPr id="93" name="Frame12"/>
                <a:graphic xmlns:a="http://schemas.openxmlformats.org/drawingml/2006/main">
                  <a:graphicData uri="http://schemas.microsoft.com/office/word/2010/wordprocessingShape">
                    <wps:wsp>
                      <wps:cNvSpPr txBox="1"/>
                      <wps:spPr>
                        <a:xfrm>
                          <a:off x="0" y="0"/>
                          <a:ext cx="3124200" cy="5850255"/>
                        </a:xfrm>
                        <a:prstGeom prst="rect"/>
                        <a:solidFill>
                          <a:srgbClr val="FFFFFF"/>
                        </a:solidFill>
                      </wps:spPr>
                      <wps:txbx>
                        <w:txbxContent>
                          <w:p>
                            <w:pPr>
                              <w:pStyle w:val="Normal"/>
                              <w:bidi w:val="0"/>
                              <w:spacing w:before="0" w:after="0"/>
                              <w:jc w:val="left"/>
                              <w:rPr>
                                <w:sz w:val="4"/>
                                <w:szCs w:val="4"/>
                              </w:rPr>
                            </w:pPr>
                            <w:r>
                              <w:rPr>
                                <w:sz w:val="4"/>
                                <w:szCs w:val="4"/>
                              </w:rPr>
                            </w:r>
                            <w:bookmarkStart w:id="30" w:name="tCSA"/>
                            <w:bookmarkStart w:id="31" w:name="tCSA"/>
                            <w:bookmarkEnd w:id="31"/>
                          </w:p>
                          <w:tbl>
                            <w:tblPr>
                              <w:tblW w:w="6040" w:type="dxa"/>
                              <w:jc w:val="left"/>
                              <w:tblInd w:w="0" w:type="dxa"/>
                              <w:tblLayout w:type="fixed"/>
                              <w:tblCellMar>
                                <w:top w:w="0" w:type="dxa"/>
                                <w:left w:w="0" w:type="dxa"/>
                                <w:bottom w:w="0" w:type="dxa"/>
                                <w:right w:w="0" w:type="dxa"/>
                              </w:tblCellMar>
                            </w:tblPr>
                            <w:tblGrid>
                              <w:gridCol w:w="260"/>
                              <w:gridCol w:w="57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7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shareholders ask questions during the Annual Meeting? </w:t>
                                  </w:r>
                                </w:p>
                              </w:tc>
                            </w:tr>
                          </w:tbl>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82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Yes. Shareholders may submit questions online in advance of, or during, the Annual Meeting. </w:t>
                                  </w:r>
                                </w:p>
                              </w:tc>
                            </w:tr>
                          </w:tbl>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In advance of the meeting, shareholders may submit questions at </w:t>
                            </w:r>
                            <w:r>
                              <w:rPr>
                                <w:rFonts w:ascii="Arial;Helvetica;sans-serif" w:hAnsi="Arial;Helvetica;sans-serif"/>
                                <w:b/>
                                <w:color w:val="578255"/>
                                <w:sz w:val="20"/>
                              </w:rPr>
                              <w:t>www.proxyvote.com</w:t>
                            </w:r>
                            <w:r>
                              <w:rPr>
                                <w:rFonts w:ascii="Arial;Helvetica;sans-serif" w:hAnsi="Arial;Helvetica;sans-serif"/>
                                <w:color w:val="000000"/>
                                <w:sz w:val="20"/>
                              </w:rPr>
                              <w:t xml:space="preserve"> after logging in with the 16-digit control number included on their Notice of Internet Availability of Proxy Materials, voting instruction form or proxy card (if they requested printed materials).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meeting, shareholders may submit questions through the virtual meeting platform at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endeavor to answer as many shareholder-submitted questions as time permits that comply with the meeting rules of conduct. We reserve the right to edit any inappropriate language and to exclude questions regarding topics that are not pertinent to meeting matters or Fabrinet’s business. If we receive substantially similar questions, we may group such questions together and provide a single response to avoid repetition in the interest of time and fairness to all shareholders. </w:t>
                            </w:r>
                          </w:p>
                          <w:p>
                            <w:pPr>
                              <w:pStyle w:val="Normal"/>
                              <w:bidi w:val="0"/>
                              <w:spacing w:before="0" w:after="0"/>
                              <w:jc w:val="left"/>
                              <w:rPr>
                                <w:sz w:val="4"/>
                                <w:szCs w:val="4"/>
                              </w:rPr>
                            </w:pPr>
                            <w:r>
                              <w:rPr>
                                <w:sz w:val="4"/>
                                <w:szCs w:val="4"/>
                              </w:rPr>
                            </w:r>
                            <w:bookmarkStart w:id="32" w:name="tQND2"/>
                            <w:bookmarkStart w:id="33" w:name="tQND2"/>
                            <w:bookmarkEnd w:id="33"/>
                          </w:p>
                          <w:tbl>
                            <w:tblPr>
                              <w:tblW w:w="4690" w:type="dxa"/>
                              <w:jc w:val="left"/>
                              <w:tblInd w:w="0" w:type="dxa"/>
                              <w:tblLayout w:type="fixed"/>
                              <w:tblCellMar>
                                <w:top w:w="0" w:type="dxa"/>
                                <w:left w:w="0" w:type="dxa"/>
                                <w:bottom w:w="0" w:type="dxa"/>
                                <w:right w:w="0" w:type="dxa"/>
                              </w:tblCellMar>
                            </w:tblPr>
                            <w:tblGrid>
                              <w:gridCol w:w="260"/>
                              <w:gridCol w:w="44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44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at the Annual Meeting?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 may vote your Fabrinet ordinary shares if our records show that you owned your shares at the close of business on the Record Date. At the close of business on the Record Date, there were 35,833,867 ordinary shares outstanding and entitled to vote at the Annual Meeting, as well as 3,964,001 ordinary shares outstanding and held as treasury shares (which are not entitled to vote). You may cast one vote for each ordinary share held by you as of the Record Date on all matters presented. </w:t>
                                  </w:r>
                                </w:p>
                              </w:tc>
                            </w:tr>
                          </w:tbl>
                          <w:p>
                            <w:pPr>
                              <w:pStyle w:val="Normal"/>
                              <w:bidi w:val="0"/>
                              <w:spacing w:before="0" w:after="0"/>
                              <w:jc w:val="left"/>
                              <w:rPr>
                                <w:sz w:val="4"/>
                                <w:szCs w:val="4"/>
                              </w:rPr>
                            </w:pPr>
                            <w:r>
                              <w:rPr>
                                <w:sz w:val="4"/>
                                <w:szCs w:val="4"/>
                              </w:rPr>
                            </w:r>
                            <w:bookmarkStart w:id="34" w:name="tQND3"/>
                            <w:bookmarkStart w:id="35" w:name="tQND3"/>
                            <w:bookmarkEnd w:id="35"/>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61"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one-page notice in the mail regarding the Internet availability of proxy materials instead of a full set of proxy materials?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9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In accordance with rules adopted by the Securities and Exchange Commission (the “</w:t>
                                  </w:r>
                                  <w:r>
                                    <w:rPr>
                                      <w:rFonts w:ascii="Arial;Helvetica;sans-serif" w:hAnsi="Arial;Helvetica;sans-serif"/>
                                      <w:b/>
                                      <w:color w:val="000000"/>
                                      <w:sz w:val="20"/>
                                    </w:rPr>
                                    <w:t>SEC</w:t>
                                  </w:r>
                                  <w:r>
                                    <w:rPr>
                                      <w:rFonts w:ascii="Arial;Helvetica;sans-serif" w:hAnsi="Arial;Helvetica;sans-serif"/>
                                      <w:color w:val="000000"/>
                                      <w:sz w:val="20"/>
                                    </w:rPr>
                                    <w:t>”), we have elected to provide access to our proxy materials over the Internet. Accordingly, we began sending a Notice of Internet Availability of Proxy Materials (the “</w:t>
                                  </w:r>
                                  <w:r>
                                    <w:rPr>
                                      <w:rFonts w:ascii="Arial;Helvetica;sans-serif" w:hAnsi="Arial;Helvetica;sans-serif"/>
                                      <w:b/>
                                      <w:color w:val="000000"/>
                                      <w:sz w:val="20"/>
                                    </w:rPr>
                                    <w:t>Notice</w:t>
                                  </w:r>
                                  <w:r>
                                    <w:rPr>
                                      <w:rFonts w:ascii="Arial;Helvetica;sans-serif" w:hAnsi="Arial;Helvetica;sans-serif"/>
                                      <w:color w:val="000000"/>
                                      <w:sz w:val="20"/>
                                    </w:rPr>
                                    <w:t xml:space="preser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460.65pt;mso-wrap-distance-left:18pt;mso-wrap-distance-right:0pt;mso-wrap-distance-top:0pt;mso-wrap-distance-bottom:0pt;margin-top:0pt;mso-position-vertical:top;mso-position-vertical-relative:text;margin-left:264pt;mso-position-horizontal:left;mso-position-horizontal-relative:text">
                <v:textbox>
                  <w:txbxContent>
                    <w:p>
                      <w:pPr>
                        <w:pStyle w:val="Normal"/>
                        <w:bidi w:val="0"/>
                        <w:spacing w:before="0" w:after="0"/>
                        <w:jc w:val="left"/>
                        <w:rPr>
                          <w:sz w:val="4"/>
                          <w:szCs w:val="4"/>
                        </w:rPr>
                      </w:pPr>
                      <w:r>
                        <w:rPr>
                          <w:sz w:val="4"/>
                          <w:szCs w:val="4"/>
                        </w:rPr>
                      </w:r>
                      <w:bookmarkStart w:id="36" w:name="tCSA"/>
                      <w:bookmarkStart w:id="37" w:name="tCSA"/>
                      <w:bookmarkEnd w:id="37"/>
                    </w:p>
                    <w:tbl>
                      <w:tblPr>
                        <w:tblW w:w="6040" w:type="dxa"/>
                        <w:jc w:val="left"/>
                        <w:tblInd w:w="0" w:type="dxa"/>
                        <w:tblLayout w:type="fixed"/>
                        <w:tblCellMar>
                          <w:top w:w="0" w:type="dxa"/>
                          <w:left w:w="0" w:type="dxa"/>
                          <w:bottom w:w="0" w:type="dxa"/>
                          <w:right w:w="0" w:type="dxa"/>
                        </w:tblCellMar>
                      </w:tblPr>
                      <w:tblGrid>
                        <w:gridCol w:w="260"/>
                        <w:gridCol w:w="57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7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shareholders ask questions during the Annual Meeting? </w:t>
                            </w:r>
                          </w:p>
                        </w:tc>
                      </w:tr>
                    </w:tbl>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82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Yes. Shareholders may submit questions online in advance of, or during, the Annual Meeting. </w:t>
                            </w:r>
                          </w:p>
                        </w:tc>
                      </w:tr>
                    </w:tbl>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In advance of the meeting, shareholders may submit questions at </w:t>
                      </w:r>
                      <w:r>
                        <w:rPr>
                          <w:rFonts w:ascii="Arial;Helvetica;sans-serif" w:hAnsi="Arial;Helvetica;sans-serif"/>
                          <w:b/>
                          <w:color w:val="578255"/>
                          <w:sz w:val="20"/>
                        </w:rPr>
                        <w:t>www.proxyvote.com</w:t>
                      </w:r>
                      <w:r>
                        <w:rPr>
                          <w:rFonts w:ascii="Arial;Helvetica;sans-serif" w:hAnsi="Arial;Helvetica;sans-serif"/>
                          <w:color w:val="000000"/>
                          <w:sz w:val="20"/>
                        </w:rPr>
                        <w:t xml:space="preserve"> after logging in with the 16-digit control number included on their Notice of Internet Availability of Proxy Materials, voting instruction form or proxy card (if they requested printed materials).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meeting, shareholders may submit questions through the virtual meeting platform at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w:t>
                      </w:r>
                    </w:p>
                    <w:p>
                      <w:pPr>
                        <w:pStyle w:val="TextBody"/>
                        <w:bidi w:val="0"/>
                        <w:spacing w:before="120" w:after="283"/>
                        <w:ind w:left="32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endeavor to answer as many shareholder-submitted questions as time permits that comply with the meeting rules of conduct. We reserve the right to edit any inappropriate language and to exclude questions regarding topics that are not pertinent to meeting matters or Fabrinet’s business. If we receive substantially similar questions, we may group such questions together and provide a single response to avoid repetition in the interest of time and fairness to all shareholders. </w:t>
                      </w:r>
                    </w:p>
                    <w:p>
                      <w:pPr>
                        <w:pStyle w:val="Normal"/>
                        <w:bidi w:val="0"/>
                        <w:spacing w:before="0" w:after="0"/>
                        <w:jc w:val="left"/>
                        <w:rPr>
                          <w:sz w:val="4"/>
                          <w:szCs w:val="4"/>
                        </w:rPr>
                      </w:pPr>
                      <w:r>
                        <w:rPr>
                          <w:sz w:val="4"/>
                          <w:szCs w:val="4"/>
                        </w:rPr>
                      </w:r>
                      <w:bookmarkStart w:id="38" w:name="tQND2"/>
                      <w:bookmarkStart w:id="39" w:name="tQND2"/>
                      <w:bookmarkEnd w:id="39"/>
                    </w:p>
                    <w:tbl>
                      <w:tblPr>
                        <w:tblW w:w="4690" w:type="dxa"/>
                        <w:jc w:val="left"/>
                        <w:tblInd w:w="0" w:type="dxa"/>
                        <w:tblLayout w:type="fixed"/>
                        <w:tblCellMar>
                          <w:top w:w="0" w:type="dxa"/>
                          <w:left w:w="0" w:type="dxa"/>
                          <w:bottom w:w="0" w:type="dxa"/>
                          <w:right w:w="0" w:type="dxa"/>
                        </w:tblCellMar>
                      </w:tblPr>
                      <w:tblGrid>
                        <w:gridCol w:w="260"/>
                        <w:gridCol w:w="44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44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at the Annual Meeting?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0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 may vote your Fabrinet ordinary shares if our records show that you owned your shares at the close of business on the Record Date. At the close of business on the Record Date, there were 35,833,867 ordinary shares outstanding and entitled to vote at the Annual Meeting, as well as 3,964,001 ordinary shares outstanding and held as treasury shares (which are not entitled to vote). You may cast one vote for each ordinary share held by you as of the Record Date on all matters presented. </w:t>
                            </w:r>
                          </w:p>
                        </w:tc>
                      </w:tr>
                    </w:tbl>
                    <w:p>
                      <w:pPr>
                        <w:pStyle w:val="Normal"/>
                        <w:bidi w:val="0"/>
                        <w:spacing w:before="0" w:after="0"/>
                        <w:jc w:val="left"/>
                        <w:rPr>
                          <w:sz w:val="4"/>
                          <w:szCs w:val="4"/>
                        </w:rPr>
                      </w:pPr>
                      <w:r>
                        <w:rPr>
                          <w:sz w:val="4"/>
                          <w:szCs w:val="4"/>
                        </w:rPr>
                      </w:r>
                      <w:bookmarkStart w:id="40" w:name="tQND3"/>
                      <w:bookmarkStart w:id="41" w:name="tQND3"/>
                      <w:bookmarkEnd w:id="41"/>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61"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one-page notice in the mail regarding the Internet availability of proxy materials instead of a full set of proxy materials?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9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In accordance with rules adopted by the Securities and Exchange Commission (the “</w:t>
                            </w:r>
                            <w:r>
                              <w:rPr>
                                <w:rFonts w:ascii="Arial;Helvetica;sans-serif" w:hAnsi="Arial;Helvetica;sans-serif"/>
                                <w:b/>
                                <w:color w:val="000000"/>
                                <w:sz w:val="20"/>
                              </w:rPr>
                              <w:t>SEC</w:t>
                            </w:r>
                            <w:r>
                              <w:rPr>
                                <w:rFonts w:ascii="Arial;Helvetica;sans-serif" w:hAnsi="Arial;Helvetica;sans-serif"/>
                                <w:color w:val="000000"/>
                                <w:sz w:val="20"/>
                              </w:rPr>
                              <w:t>”), we have elected to provide access to our proxy materials over the Internet. Accordingly, we began sending a Notice of Internet Availability of Proxy Materials (the “</w:t>
                            </w:r>
                            <w:r>
                              <w:rPr>
                                <w:rFonts w:ascii="Arial;Helvetica;sans-serif" w:hAnsi="Arial;Helvetica;sans-serif"/>
                                <w:b/>
                                <w:color w:val="000000"/>
                                <w:sz w:val="20"/>
                              </w:rPr>
                              <w:t>Notice</w:t>
                            </w:r>
                            <w:r>
                              <w:rPr>
                                <w:rFonts w:ascii="Arial;Helvetica;sans-serif" w:hAnsi="Arial;Helvetica;sans-serif"/>
                                <w:color w:val="000000"/>
                                <w:sz w:val="20"/>
                              </w:rPr>
                              <w:t xml:space="preserve">”) </w:t>
                            </w:r>
                          </w:p>
                        </w:tc>
                      </w:tr>
                    </w:tbl>
                    <w:p>
                      <w:pPr>
                        <w:pStyle w:val="TextBody"/>
                        <w:bidi w:val="0"/>
                        <w:spacing w:before="0" w:after="283"/>
                        <w:jc w:val="left"/>
                        <w:rPr/>
                      </w:pPr>
                      <w:r>
                        <w:rPr/>
                      </w:r>
                    </w:p>
                  </w:txbxContent>
                </v:textbox>
                <w10:wrap type="square" side="right"/>
              </v:rect>
            </w:pict>
          </mc:Fallback>
        </mc:AlternateContent>
      </w:r>
    </w:p>
    <w:tbl>
      <w:tblPr>
        <w:tblW w:w="2885" w:type="dxa"/>
        <w:jc w:val="left"/>
        <w:tblInd w:w="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9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 descr=""/>
                          <pic:cNvPicPr>
                            <a:picLocks noChangeAspect="1" noChangeArrowheads="1"/>
                          </pic:cNvPicPr>
                        </pic:nvPicPr>
                        <pic:blipFill>
                          <a:blip r:embed="rId8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81940x1_def14a_105-qa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124200" cy="6129655"/>
                <wp:effectExtent l="0" t="0" r="0" b="0"/>
                <wp:wrapSquare wrapText="right"/>
                <wp:docPr id="95" name="Frame13"/>
                <a:graphic xmlns:a="http://schemas.openxmlformats.org/drawingml/2006/main">
                  <a:graphicData uri="http://schemas.microsoft.com/office/word/2010/wordprocessingShape">
                    <wps:wsp>
                      <wps:cNvSpPr txBox="1"/>
                      <wps:spPr>
                        <a:xfrm>
                          <a:off x="0" y="0"/>
                          <a:ext cx="3124200" cy="6129655"/>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to our shareholders of record and beneficial owners on or about October 20, 2026.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 </w:t>
                            </w:r>
                          </w:p>
                          <w:p>
                            <w:pPr>
                              <w:pStyle w:val="Normal"/>
                              <w:bidi w:val="0"/>
                              <w:spacing w:before="0" w:after="0"/>
                              <w:jc w:val="left"/>
                              <w:rPr>
                                <w:sz w:val="4"/>
                                <w:szCs w:val="4"/>
                              </w:rPr>
                            </w:pPr>
                            <w:r>
                              <w:rPr>
                                <w:sz w:val="4"/>
                                <w:szCs w:val="4"/>
                              </w:rPr>
                            </w:r>
                            <w:bookmarkStart w:id="43" w:name="tQND4"/>
                            <w:bookmarkStart w:id="44" w:name="tQND4"/>
                            <w:bookmarkEnd w:id="44"/>
                          </w:p>
                          <w:tbl>
                            <w:tblPr>
                              <w:tblW w:w="5605" w:type="dxa"/>
                              <w:jc w:val="left"/>
                              <w:tblInd w:w="60" w:type="dxa"/>
                              <w:tblLayout w:type="fixed"/>
                              <w:tblCellMar>
                                <w:top w:w="0" w:type="dxa"/>
                                <w:left w:w="0" w:type="dxa"/>
                                <w:bottom w:w="0" w:type="dxa"/>
                                <w:right w:w="0" w:type="dxa"/>
                              </w:tblCellMar>
                            </w:tblPr>
                            <w:tblGrid>
                              <w:gridCol w:w="260"/>
                              <w:gridCol w:w="53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3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proposals will be voted on at the Annual Meeting? </w:t>
                                  </w:r>
                                </w:p>
                              </w:tc>
                            </w:tr>
                          </w:tbl>
                          <w:tbl>
                            <w:tblPr>
                              <w:tblW w:w="4255" w:type="dxa"/>
                              <w:jc w:val="left"/>
                              <w:tblInd w:w="60" w:type="dxa"/>
                              <w:tblLayout w:type="fixed"/>
                              <w:tblCellMar>
                                <w:top w:w="0" w:type="dxa"/>
                                <w:left w:w="0" w:type="dxa"/>
                                <w:bottom w:w="0" w:type="dxa"/>
                                <w:right w:w="0" w:type="dxa"/>
                              </w:tblCellMar>
                            </w:tblPr>
                            <w:tblGrid>
                              <w:gridCol w:w="245"/>
                              <w:gridCol w:w="401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proposals scheduled to be voted on are: </w:t>
                                  </w:r>
                                </w:p>
                              </w:tc>
                            </w:tr>
                          </w:tbl>
                          <w:tbl>
                            <w:tblPr>
                              <w:tblW w:w="10145" w:type="dxa"/>
                              <w:jc w:val="left"/>
                              <w:tblInd w:w="60" w:type="dxa"/>
                              <w:tblLayout w:type="fixed"/>
                              <w:tblCellMar>
                                <w:top w:w="0" w:type="dxa"/>
                                <w:left w:w="0" w:type="dxa"/>
                                <w:bottom w:w="0" w:type="dxa"/>
                                <w:right w:w="0" w:type="dxa"/>
                              </w:tblCellMar>
                            </w:tblPr>
                            <w:tblGrid>
                              <w:gridCol w:w="434"/>
                              <w:gridCol w:w="9711"/>
                            </w:tblGrid>
                            <w:tr>
                              <w:trPr/>
                              <w:tc>
                                <w:tcPr>
                                  <w:tcW w:w="4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One:</w:t>
                                  </w:r>
                                </w:p>
                              </w:tc>
                              <w:tc>
                                <w:tcPr>
                                  <w:tcW w:w="971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Election of two Class II directors listed in this proxy statement and recommended by the Board to serve for a term of three years and until their respective successors have been duly elected and qualified or until their earlier death, resignation or removal. </w:t>
                                  </w:r>
                                </w:p>
                              </w:tc>
                            </w:tr>
                          </w:tbl>
                          <w:tbl>
                            <w:tblPr>
                              <w:tblW w:w="10145" w:type="dxa"/>
                              <w:jc w:val="left"/>
                              <w:tblInd w:w="60" w:type="dxa"/>
                              <w:tblLayout w:type="fixed"/>
                              <w:tblCellMar>
                                <w:top w:w="0" w:type="dxa"/>
                                <w:left w:w="0" w:type="dxa"/>
                                <w:bottom w:w="0" w:type="dxa"/>
                                <w:right w:w="0" w:type="dxa"/>
                              </w:tblCellMar>
                            </w:tblPr>
                            <w:tblGrid>
                              <w:gridCol w:w="446"/>
                              <w:gridCol w:w="9699"/>
                            </w:tblGrid>
                            <w:tr>
                              <w:trPr/>
                              <w:tc>
                                <w:tcPr>
                                  <w:tcW w:w="44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Two:</w:t>
                                  </w:r>
                                </w:p>
                              </w:tc>
                              <w:tc>
                                <w:tcPr>
                                  <w:tcW w:w="969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Ratification of the appointment of PricewaterhouseCoopers ABAS Ltd. as our independent registered public accounting firm for our fiscal year ending June 25, 2027. </w:t>
                                  </w:r>
                                </w:p>
                              </w:tc>
                            </w:tr>
                          </w:tbl>
                          <w:tbl>
                            <w:tblPr>
                              <w:tblW w:w="10145" w:type="dxa"/>
                              <w:jc w:val="left"/>
                              <w:tblInd w:w="60" w:type="dxa"/>
                              <w:tblLayout w:type="fixed"/>
                              <w:tblCellMar>
                                <w:top w:w="0" w:type="dxa"/>
                                <w:left w:w="0" w:type="dxa"/>
                                <w:bottom w:w="0" w:type="dxa"/>
                                <w:right w:w="0" w:type="dxa"/>
                              </w:tblCellMar>
                            </w:tblPr>
                            <w:tblGrid>
                              <w:gridCol w:w="602"/>
                              <w:gridCol w:w="9543"/>
                            </w:tblGrid>
                            <w:tr>
                              <w:trPr/>
                              <w:tc>
                                <w:tcPr>
                                  <w:tcW w:w="6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Three:</w:t>
                                  </w:r>
                                </w:p>
                              </w:tc>
                              <w:tc>
                                <w:tcPr>
                                  <w:tcW w:w="95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non-binding, advisory vote to approve the compensation of our named executive officers, as disclosed herein. </w:t>
                                  </w:r>
                                </w:p>
                              </w:tc>
                            </w:tr>
                          </w:tbl>
                          <w:p>
                            <w:pPr>
                              <w:pStyle w:val="Normal"/>
                              <w:bidi w:val="0"/>
                              <w:spacing w:before="0" w:after="0"/>
                              <w:ind w:left="60" w:right="0" w:hanging="0"/>
                              <w:jc w:val="left"/>
                              <w:rPr>
                                <w:sz w:val="4"/>
                                <w:szCs w:val="4"/>
                              </w:rPr>
                            </w:pPr>
                            <w:r>
                              <w:rPr>
                                <w:sz w:val="4"/>
                                <w:szCs w:val="4"/>
                              </w:rPr>
                            </w:r>
                            <w:bookmarkStart w:id="45" w:name="tQND5"/>
                            <w:bookmarkStart w:id="46" w:name="tQND5"/>
                            <w:bookmarkEnd w:id="46"/>
                          </w:p>
                          <w:tbl>
                            <w:tblPr>
                              <w:tblW w:w="5680" w:type="dxa"/>
                              <w:jc w:val="left"/>
                              <w:tblInd w:w="6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42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of Directors recommend that I vote? </w:t>
                                  </w:r>
                                </w:p>
                              </w:tc>
                            </w:tr>
                          </w:tbl>
                          <w:tbl>
                            <w:tblPr>
                              <w:tblW w:w="4810" w:type="dxa"/>
                              <w:jc w:val="left"/>
                              <w:tblInd w:w="60" w:type="dxa"/>
                              <w:tblLayout w:type="fixed"/>
                              <w:tblCellMar>
                                <w:top w:w="0" w:type="dxa"/>
                                <w:left w:w="0" w:type="dxa"/>
                                <w:bottom w:w="0" w:type="dxa"/>
                                <w:right w:w="0" w:type="dxa"/>
                              </w:tblCellMar>
                            </w:tblPr>
                            <w:tblGrid>
                              <w:gridCol w:w="245"/>
                              <w:gridCol w:w="456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each of the nominees listed in this proxy statement and recommended by the Board for election as Class II directors (Proposal One).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PricewaterhouseCoopers ABAS Ltd. as our independent registered public accounting firm for our fiscal year ending June 25, 2027 (Proposal Two). </w:t>
                                  </w:r>
                                </w:p>
                              </w:tc>
                            </w:tr>
                          </w:tbl>
                          <w:tbl>
                            <w:tblPr>
                              <w:tblW w:w="8170" w:type="dxa"/>
                              <w:jc w:val="left"/>
                              <w:tblInd w:w="6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578255"/>
                                    </w:rPr>
                                  </w:pPr>
                                  <w:r>
                                    <w:rPr>
                                      <w:color w:val="578255"/>
                                    </w:rPr>
                                    <w:t>•</w:t>
                                  </w:r>
                                </w:p>
                              </w:tc>
                              <w:tc>
                                <w:tcPr>
                                  <w:tcW w:w="8030"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approval of the compensation of our named executive officers (Proposal Three). </w:t>
                                  </w:r>
                                </w:p>
                              </w:tc>
                            </w:tr>
                          </w:tbl>
                          <w:p>
                            <w:pPr>
                              <w:pStyle w:val="Normal"/>
                              <w:bidi w:val="0"/>
                              <w:spacing w:before="0" w:after="0"/>
                              <w:ind w:left="60" w:right="0" w:hanging="0"/>
                              <w:jc w:val="left"/>
                              <w:rPr>
                                <w:sz w:val="4"/>
                                <w:szCs w:val="4"/>
                              </w:rPr>
                            </w:pPr>
                            <w:r>
                              <w:rPr>
                                <w:sz w:val="4"/>
                                <w:szCs w:val="4"/>
                              </w:rPr>
                            </w:r>
                            <w:bookmarkStart w:id="47" w:name="tQND6"/>
                            <w:bookmarkStart w:id="48" w:name="tQND6"/>
                            <w:bookmarkEnd w:id="48"/>
                          </w:p>
                          <w:tbl>
                            <w:tblPr>
                              <w:tblW w:w="9070" w:type="dxa"/>
                              <w:jc w:val="left"/>
                              <w:tblInd w:w="6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8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voting requirement to approve each of the proposals and how are votes counted?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Proposal One</w:t>
                                  </w:r>
                                  <w:r>
                                    <w:rPr>
                                      <w:rFonts w:ascii="Arial;Helvetica;sans-serif" w:hAnsi="Arial;Helvetica;sans-serif"/>
                                      <w:b/>
                                      <w:color w:val="000000"/>
                                      <w:sz w:val="20"/>
                                    </w:rPr>
                                    <w:t xml:space="preserve">. </w:t>
                                  </w:r>
                                  <w:r>
                                    <w:rPr>
                                      <w:rFonts w:ascii="Arial;Helvetica;sans-serif" w:hAnsi="Arial;Helvetica;sans-serif"/>
                                      <w:color w:val="000000"/>
                                      <w:sz w:val="20"/>
                                    </w:rPr>
                                    <w:t xml:space="preserve">A plurality of the votes cast is required for the election of directors. You may vote “FOR” or “WITHHOLD” on each nominee for election as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8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to our shareholders of record and beneficial owners on or about October 20, 2026.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 </w:t>
                      </w:r>
                    </w:p>
                    <w:p>
                      <w:pPr>
                        <w:pStyle w:val="Normal"/>
                        <w:bidi w:val="0"/>
                        <w:spacing w:before="0" w:after="0"/>
                        <w:jc w:val="left"/>
                        <w:rPr>
                          <w:sz w:val="4"/>
                          <w:szCs w:val="4"/>
                        </w:rPr>
                      </w:pPr>
                      <w:r>
                        <w:rPr>
                          <w:sz w:val="4"/>
                          <w:szCs w:val="4"/>
                        </w:rPr>
                      </w:r>
                      <w:bookmarkStart w:id="49" w:name="tQND4"/>
                      <w:bookmarkStart w:id="50" w:name="tQND4"/>
                      <w:bookmarkEnd w:id="50"/>
                    </w:p>
                    <w:tbl>
                      <w:tblPr>
                        <w:tblW w:w="5605" w:type="dxa"/>
                        <w:jc w:val="left"/>
                        <w:tblInd w:w="60" w:type="dxa"/>
                        <w:tblLayout w:type="fixed"/>
                        <w:tblCellMar>
                          <w:top w:w="0" w:type="dxa"/>
                          <w:left w:w="0" w:type="dxa"/>
                          <w:bottom w:w="0" w:type="dxa"/>
                          <w:right w:w="0" w:type="dxa"/>
                        </w:tblCellMar>
                      </w:tblPr>
                      <w:tblGrid>
                        <w:gridCol w:w="260"/>
                        <w:gridCol w:w="53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3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proposals will be voted on at the Annual Meeting? </w:t>
                            </w:r>
                          </w:p>
                        </w:tc>
                      </w:tr>
                    </w:tbl>
                    <w:tbl>
                      <w:tblPr>
                        <w:tblW w:w="4255" w:type="dxa"/>
                        <w:jc w:val="left"/>
                        <w:tblInd w:w="60" w:type="dxa"/>
                        <w:tblLayout w:type="fixed"/>
                        <w:tblCellMar>
                          <w:top w:w="0" w:type="dxa"/>
                          <w:left w:w="0" w:type="dxa"/>
                          <w:bottom w:w="0" w:type="dxa"/>
                          <w:right w:w="0" w:type="dxa"/>
                        </w:tblCellMar>
                      </w:tblPr>
                      <w:tblGrid>
                        <w:gridCol w:w="245"/>
                        <w:gridCol w:w="401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proposals scheduled to be voted on are: </w:t>
                            </w:r>
                          </w:p>
                        </w:tc>
                      </w:tr>
                    </w:tbl>
                    <w:tbl>
                      <w:tblPr>
                        <w:tblW w:w="10145" w:type="dxa"/>
                        <w:jc w:val="left"/>
                        <w:tblInd w:w="60" w:type="dxa"/>
                        <w:tblLayout w:type="fixed"/>
                        <w:tblCellMar>
                          <w:top w:w="0" w:type="dxa"/>
                          <w:left w:w="0" w:type="dxa"/>
                          <w:bottom w:w="0" w:type="dxa"/>
                          <w:right w:w="0" w:type="dxa"/>
                        </w:tblCellMar>
                      </w:tblPr>
                      <w:tblGrid>
                        <w:gridCol w:w="434"/>
                        <w:gridCol w:w="9711"/>
                      </w:tblGrid>
                      <w:tr>
                        <w:trPr/>
                        <w:tc>
                          <w:tcPr>
                            <w:tcW w:w="4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One:</w:t>
                            </w:r>
                          </w:p>
                        </w:tc>
                        <w:tc>
                          <w:tcPr>
                            <w:tcW w:w="971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Election of two Class II directors listed in this proxy statement and recommended by the Board to serve for a term of three years and until their respective successors have been duly elected and qualified or until their earlier death, resignation or removal. </w:t>
                            </w:r>
                          </w:p>
                        </w:tc>
                      </w:tr>
                    </w:tbl>
                    <w:tbl>
                      <w:tblPr>
                        <w:tblW w:w="10145" w:type="dxa"/>
                        <w:jc w:val="left"/>
                        <w:tblInd w:w="60" w:type="dxa"/>
                        <w:tblLayout w:type="fixed"/>
                        <w:tblCellMar>
                          <w:top w:w="0" w:type="dxa"/>
                          <w:left w:w="0" w:type="dxa"/>
                          <w:bottom w:w="0" w:type="dxa"/>
                          <w:right w:w="0" w:type="dxa"/>
                        </w:tblCellMar>
                      </w:tblPr>
                      <w:tblGrid>
                        <w:gridCol w:w="446"/>
                        <w:gridCol w:w="9699"/>
                      </w:tblGrid>
                      <w:tr>
                        <w:trPr/>
                        <w:tc>
                          <w:tcPr>
                            <w:tcW w:w="44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Two:</w:t>
                            </w:r>
                          </w:p>
                        </w:tc>
                        <w:tc>
                          <w:tcPr>
                            <w:tcW w:w="969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Ratification of the appointment of PricewaterhouseCoopers ABAS Ltd. as our independent registered public accounting firm for our fiscal year ending June 25, 2027. </w:t>
                            </w:r>
                          </w:p>
                        </w:tc>
                      </w:tr>
                    </w:tbl>
                    <w:tbl>
                      <w:tblPr>
                        <w:tblW w:w="10145" w:type="dxa"/>
                        <w:jc w:val="left"/>
                        <w:tblInd w:w="60" w:type="dxa"/>
                        <w:tblLayout w:type="fixed"/>
                        <w:tblCellMar>
                          <w:top w:w="0" w:type="dxa"/>
                          <w:left w:w="0" w:type="dxa"/>
                          <w:bottom w:w="0" w:type="dxa"/>
                          <w:right w:w="0" w:type="dxa"/>
                        </w:tblCellMar>
                      </w:tblPr>
                      <w:tblGrid>
                        <w:gridCol w:w="602"/>
                        <w:gridCol w:w="9543"/>
                      </w:tblGrid>
                      <w:tr>
                        <w:trPr/>
                        <w:tc>
                          <w:tcPr>
                            <w:tcW w:w="6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Three:</w:t>
                            </w:r>
                          </w:p>
                        </w:tc>
                        <w:tc>
                          <w:tcPr>
                            <w:tcW w:w="95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non-binding, advisory vote to approve the compensation of our named executive officers, as disclosed herein. </w:t>
                            </w:r>
                          </w:p>
                        </w:tc>
                      </w:tr>
                    </w:tbl>
                    <w:p>
                      <w:pPr>
                        <w:pStyle w:val="Normal"/>
                        <w:bidi w:val="0"/>
                        <w:spacing w:before="0" w:after="0"/>
                        <w:ind w:left="60" w:right="0" w:hanging="0"/>
                        <w:jc w:val="left"/>
                        <w:rPr>
                          <w:sz w:val="4"/>
                          <w:szCs w:val="4"/>
                        </w:rPr>
                      </w:pPr>
                      <w:r>
                        <w:rPr>
                          <w:sz w:val="4"/>
                          <w:szCs w:val="4"/>
                        </w:rPr>
                      </w:r>
                      <w:bookmarkStart w:id="51" w:name="tQND5"/>
                      <w:bookmarkStart w:id="52" w:name="tQND5"/>
                      <w:bookmarkEnd w:id="52"/>
                    </w:p>
                    <w:tbl>
                      <w:tblPr>
                        <w:tblW w:w="5680" w:type="dxa"/>
                        <w:jc w:val="left"/>
                        <w:tblInd w:w="60" w:type="dxa"/>
                        <w:tblLayout w:type="fixed"/>
                        <w:tblCellMar>
                          <w:top w:w="0" w:type="dxa"/>
                          <w:left w:w="0" w:type="dxa"/>
                          <w:bottom w:w="0" w:type="dxa"/>
                          <w:right w:w="0" w:type="dxa"/>
                        </w:tblCellMar>
                      </w:tblPr>
                      <w:tblGrid>
                        <w:gridCol w:w="260"/>
                        <w:gridCol w:w="542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42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of Directors recommend that I vote? </w:t>
                            </w:r>
                          </w:p>
                        </w:tc>
                      </w:tr>
                    </w:tbl>
                    <w:tbl>
                      <w:tblPr>
                        <w:tblW w:w="4810" w:type="dxa"/>
                        <w:jc w:val="left"/>
                        <w:tblInd w:w="60" w:type="dxa"/>
                        <w:tblLayout w:type="fixed"/>
                        <w:tblCellMar>
                          <w:top w:w="0" w:type="dxa"/>
                          <w:left w:w="0" w:type="dxa"/>
                          <w:bottom w:w="0" w:type="dxa"/>
                          <w:right w:w="0" w:type="dxa"/>
                        </w:tblCellMar>
                      </w:tblPr>
                      <w:tblGrid>
                        <w:gridCol w:w="245"/>
                        <w:gridCol w:w="4565"/>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4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each of the nominees listed in this proxy statement and recommended by the Board for election as Class II directors (Proposal One).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PricewaterhouseCoopers ABAS Ltd. as our independent registered public accounting firm for our fiscal year ending June 25, 2027 (Proposal Two). </w:t>
                            </w:r>
                          </w:p>
                        </w:tc>
                      </w:tr>
                    </w:tbl>
                    <w:tbl>
                      <w:tblPr>
                        <w:tblW w:w="8170" w:type="dxa"/>
                        <w:jc w:val="left"/>
                        <w:tblInd w:w="6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578255"/>
                              </w:rPr>
                            </w:pPr>
                            <w:r>
                              <w:rPr>
                                <w:color w:val="578255"/>
                              </w:rPr>
                              <w:t>•</w:t>
                            </w:r>
                          </w:p>
                        </w:tc>
                        <w:tc>
                          <w:tcPr>
                            <w:tcW w:w="8030" w:type="dxa"/>
                            <w:tcBorders/>
                            <w:vAlign w:val="center"/>
                          </w:tcPr>
                          <w:p>
                            <w:pPr>
                              <w:pStyle w:val="TableContents"/>
                              <w:bidi w:val="0"/>
                              <w:spacing w:before="0" w:after="0"/>
                              <w:jc w:val="both"/>
                              <w:rPr>
                                <w:color w:val="578255"/>
                              </w:rPr>
                            </w:pPr>
                            <w:r>
                              <w:rPr>
                                <w:color w:val="000000"/>
                              </w:rPr>
                              <w:t>“</w:t>
                            </w:r>
                            <w:r>
                              <w:rPr>
                                <w:rFonts w:ascii="Arial;Helvetica;sans-serif" w:hAnsi="Arial;Helvetica;sans-serif"/>
                                <w:b/>
                                <w:color w:val="000000"/>
                                <w:sz w:val="20"/>
                              </w:rPr>
                              <w:t>FOR</w:t>
                            </w:r>
                            <w:r>
                              <w:rPr>
                                <w:rFonts w:ascii="Arial;Helvetica;sans-serif" w:hAnsi="Arial;Helvetica;sans-serif"/>
                                <w:color w:val="000000"/>
                                <w:sz w:val="20"/>
                              </w:rPr>
                              <w:t xml:space="preserve">” the approval of the compensation of our named executive officers (Proposal Three). </w:t>
                            </w:r>
                          </w:p>
                        </w:tc>
                      </w:tr>
                    </w:tbl>
                    <w:p>
                      <w:pPr>
                        <w:pStyle w:val="Normal"/>
                        <w:bidi w:val="0"/>
                        <w:spacing w:before="0" w:after="0"/>
                        <w:ind w:left="60" w:right="0" w:hanging="0"/>
                        <w:jc w:val="left"/>
                        <w:rPr>
                          <w:sz w:val="4"/>
                          <w:szCs w:val="4"/>
                        </w:rPr>
                      </w:pPr>
                      <w:r>
                        <w:rPr>
                          <w:sz w:val="4"/>
                          <w:szCs w:val="4"/>
                        </w:rPr>
                      </w:r>
                      <w:bookmarkStart w:id="53" w:name="tQND6"/>
                      <w:bookmarkStart w:id="54" w:name="tQND6"/>
                      <w:bookmarkEnd w:id="54"/>
                    </w:p>
                    <w:tbl>
                      <w:tblPr>
                        <w:tblW w:w="9070" w:type="dxa"/>
                        <w:jc w:val="left"/>
                        <w:tblInd w:w="6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8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voting requirement to approve each of the proposals and how are votes counted?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Proposal One</w:t>
                            </w:r>
                            <w:r>
                              <w:rPr>
                                <w:rFonts w:ascii="Arial;Helvetica;sans-serif" w:hAnsi="Arial;Helvetica;sans-serif"/>
                                <w:b/>
                                <w:color w:val="000000"/>
                                <w:sz w:val="20"/>
                              </w:rPr>
                              <w:t xml:space="preserve">. </w:t>
                            </w:r>
                            <w:r>
                              <w:rPr>
                                <w:rFonts w:ascii="Arial;Helvetica;sans-serif" w:hAnsi="Arial;Helvetica;sans-serif"/>
                                <w:color w:val="000000"/>
                                <w:sz w:val="20"/>
                              </w:rPr>
                              <w:t xml:space="preserve">A plurality of the votes cast is required for the election of directors. You may vote “FOR” or “WITHHOLD” on each nominee for election as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20">
                <wp:simplePos x="0" y="0"/>
                <wp:positionH relativeFrom="column">
                  <wp:align>left</wp:align>
                </wp:positionH>
                <wp:positionV relativeFrom="line">
                  <wp:posOffset>635</wp:posOffset>
                </wp:positionV>
                <wp:extent cx="3124200" cy="7407910"/>
                <wp:effectExtent l="0" t="0" r="0" b="0"/>
                <wp:wrapSquare wrapText="right"/>
                <wp:docPr id="96" name="Frame14"/>
                <a:graphic xmlns:a="http://schemas.openxmlformats.org/drawingml/2006/main">
                  <a:graphicData uri="http://schemas.microsoft.com/office/word/2010/wordprocessingShape">
                    <wps:wsp>
                      <wps:cNvSpPr txBox="1"/>
                      <wps:spPr>
                        <a:xfrm>
                          <a:off x="0" y="0"/>
                          <a:ext cx="3124200" cy="7407910"/>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director. The nominees for director receiving the highest number of affirmative votes will be elected as directors. Abstentions and broker “non-votes” will not affect the outcome of the election. However, as set forth below under the heading “</w:t>
                            </w:r>
                            <w:r>
                              <w:rPr>
                                <w:rFonts w:ascii="Arial;Helvetica;sans-serif" w:hAnsi="Arial;Helvetica;sans-serif"/>
                                <w:i/>
                                <w:color w:val="000000"/>
                                <w:sz w:val="20"/>
                              </w:rPr>
                              <w:t>Corporate Governance—Majority Voting Director Resignation Policy in Uncontested Elections</w:t>
                            </w:r>
                            <w:r>
                              <w:rPr>
                                <w:rFonts w:ascii="Arial;Helvetica;sans-serif" w:hAnsi="Arial;Helvetica;sans-serif"/>
                                <w:color w:val="000000"/>
                                <w:sz w:val="20"/>
                              </w:rPr>
                              <w:t xml:space="preserve">,” we have a policy that if a director receives more “WITHHOLD” votes than “FOR” votes in an uncontested election such as this one, the director shall offer his or her resignation for consideration by the Board. </w:t>
                            </w:r>
                          </w:p>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Proposals Two and Three</w:t>
                            </w:r>
                            <w:r>
                              <w:rPr>
                                <w:rFonts w:ascii="Arial;Helvetica;sans-serif" w:hAnsi="Arial;Helvetica;sans-serif"/>
                                <w:b/>
                                <w:i w:val="false"/>
                                <w:caps w:val="false"/>
                                <w:smallCaps w:val="false"/>
                                <w:color w:val="000000"/>
                                <w:sz w:val="20"/>
                              </w:rPr>
                              <w:t>.</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The affirmative vote of a majority of the votes cast by shareholders present in person (including virtually) or represented by proxy at the meeting and entitled to vote on the applicable proposal is required to (1) ratify the appointment of PricewaterhouseCoopers ABAS Ltd. as our independent registered public accounting firm for our fiscal year ending June 25, 2027, and (2) approve, on a non-binding, advisory basis, the compensation of our named executive officers. You may vote “FOR,” “AGAINST” or “ABSTAIN” on these proposals. Abstentions and broker “non-votes” are not deemed to be votes cast and, therefore, are not included in the tabulation of voting results on these proposals.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the Board. </w:t>
                            </w:r>
                          </w:p>
                          <w:p>
                            <w:pPr>
                              <w:pStyle w:val="Normal"/>
                              <w:bidi w:val="0"/>
                              <w:spacing w:before="0" w:after="0"/>
                              <w:jc w:val="left"/>
                              <w:rPr>
                                <w:sz w:val="4"/>
                                <w:szCs w:val="4"/>
                              </w:rPr>
                            </w:pPr>
                            <w:r>
                              <w:rPr>
                                <w:sz w:val="4"/>
                                <w:szCs w:val="4"/>
                              </w:rPr>
                            </w:r>
                            <w:bookmarkStart w:id="55" w:name="tQND7"/>
                            <w:bookmarkStart w:id="56" w:name="tQND7"/>
                            <w:bookmarkEnd w:id="56"/>
                          </w:p>
                          <w:tbl>
                            <w:tblPr>
                              <w:tblW w:w="9175" w:type="dxa"/>
                              <w:jc w:val="left"/>
                              <w:tblInd w:w="6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9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shares must be present or represented to conduct business at the Annual Meeting?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presence of the holders of at least one-third of the total shares entitled to vote at the Annual Meeting is necessary to constitute a quorum at the Annual Meeting. Such shareholders are counted as present at the meeting if (1) they are present virtually at the Annual Meeting or (2) have properly submitted a proxy. Abstentions and broker “non-votes” are counted as present and entitled to vote and are, therefore, included for the purposes of determining whether a quorum is present at the Annual Meeting. A broker “non-vote” occurs when a nominee holding shares for a beneficial owner has not received voting instructions from the beneficial owner, and the broker does not have, or declines to exercise, discretionary authority to vote those shares.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83.3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director. The nominees for director receiving the highest number of affirmative votes will be elected as directors. Abstentions and broker “non-votes” will not affect the outcome of the election. However, as set forth below under the heading “</w:t>
                      </w:r>
                      <w:r>
                        <w:rPr>
                          <w:rFonts w:ascii="Arial;Helvetica;sans-serif" w:hAnsi="Arial;Helvetica;sans-serif"/>
                          <w:i/>
                          <w:color w:val="000000"/>
                          <w:sz w:val="20"/>
                        </w:rPr>
                        <w:t>Corporate Governance—Majority Voting Director Resignation Policy in Uncontested Elections</w:t>
                      </w:r>
                      <w:r>
                        <w:rPr>
                          <w:rFonts w:ascii="Arial;Helvetica;sans-serif" w:hAnsi="Arial;Helvetica;sans-serif"/>
                          <w:color w:val="000000"/>
                          <w:sz w:val="20"/>
                        </w:rPr>
                        <w:t xml:space="preserve">,” we have a policy that if a director receives more “WITHHOLD” votes than “FOR” votes in an uncontested election such as this one, the director shall offer his or her resignation for consideration by the Board. </w:t>
                      </w:r>
                    </w:p>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Proposals Two and Three</w:t>
                      </w:r>
                      <w:r>
                        <w:rPr>
                          <w:rFonts w:ascii="Arial;Helvetica;sans-serif" w:hAnsi="Arial;Helvetica;sans-serif"/>
                          <w:b/>
                          <w:i w:val="false"/>
                          <w:caps w:val="false"/>
                          <w:smallCaps w:val="false"/>
                          <w:color w:val="000000"/>
                          <w:sz w:val="20"/>
                        </w:rPr>
                        <w:t>.</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The affirmative vote of a majority of the votes cast by shareholders present in person (including virtually) or represented by proxy at the meeting and entitled to vote on the applicable proposal is required to (1) ratify the appointment of PricewaterhouseCoopers ABAS Ltd. as our independent registered public accounting firm for our fiscal year ending June 25, 2027, and (2) approve, on a non-binding, advisory basis, the compensation of our named executive officers. You may vote “FOR,” “AGAINST” or “ABSTAIN” on these proposals. Abstentions and broker “non-votes” are not deemed to be votes cast and, therefore, are not included in the tabulation of voting results on these proposals.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the Board. </w:t>
                      </w:r>
                    </w:p>
                    <w:p>
                      <w:pPr>
                        <w:pStyle w:val="Normal"/>
                        <w:bidi w:val="0"/>
                        <w:spacing w:before="0" w:after="0"/>
                        <w:jc w:val="left"/>
                        <w:rPr>
                          <w:sz w:val="4"/>
                          <w:szCs w:val="4"/>
                        </w:rPr>
                      </w:pPr>
                      <w:r>
                        <w:rPr>
                          <w:sz w:val="4"/>
                          <w:szCs w:val="4"/>
                        </w:rPr>
                      </w:r>
                      <w:bookmarkStart w:id="57" w:name="tQND7"/>
                      <w:bookmarkStart w:id="58" w:name="tQND7"/>
                      <w:bookmarkEnd w:id="58"/>
                    </w:p>
                    <w:tbl>
                      <w:tblPr>
                        <w:tblW w:w="9175" w:type="dxa"/>
                        <w:jc w:val="left"/>
                        <w:tblInd w:w="6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9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shares must be present or represented to conduct business at the Annual Meeting?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2"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presence of the holders of at least one-third of the total shares entitled to vote at the Annual Meeting is necessary to constitute a quorum at the Annual Meeting. Such shareholders are counted as present at the meeting if (1) they are present virtually at the Annual Meeting or (2) have properly submitted a proxy. Abstentions and broker “non-votes” are counted as present and entitled to vote and are, therefore, included for the purposes of determining whether a quorum is present at the Annual Meeting. A broker “non-vote” occurs when a nominee holding shares for a beneficial owner has not received voting instructions from the beneficial owner, and the broker does not have, or declines to exercise, discretionary authority to vote those shares.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60" w:type="dxa"/>
        <w:jc w:val="left"/>
        <w:tblInd w:w="60" w:type="dxa"/>
        <w:tblLayout w:type="fixed"/>
        <w:tblCellMar>
          <w:top w:w="0" w:type="dxa"/>
          <w:left w:w="0" w:type="dxa"/>
          <w:bottom w:w="0" w:type="dxa"/>
          <w:right w:w="0" w:type="dxa"/>
        </w:tblCellMar>
      </w:tblPr>
      <w:tblGrid>
        <w:gridCol w:w="185"/>
        <w:gridCol w:w="170"/>
        <w:gridCol w:w="170"/>
        <w:gridCol w:w="630"/>
        <w:gridCol w:w="170"/>
        <w:gridCol w:w="170"/>
        <w:gridCol w:w="186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9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3" descr=""/>
                          <pic:cNvPicPr>
                            <a:picLocks noChangeAspect="1" noChangeArrowheads="1"/>
                          </pic:cNvPicPr>
                        </pic:nvPicPr>
                        <pic:blipFill>
                          <a:blip r:embed="rId8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81940x1_def14a_105-qa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24200" cy="7182485"/>
                <wp:effectExtent l="0" t="0" r="0" b="0"/>
                <wp:wrapSquare wrapText="right"/>
                <wp:docPr id="98" name="Frame15"/>
                <a:graphic xmlns:a="http://schemas.openxmlformats.org/drawingml/2006/main">
                  <a:graphicData uri="http://schemas.microsoft.com/office/word/2010/wordprocessingShape">
                    <wps:wsp>
                      <wps:cNvSpPr txBox="1"/>
                      <wps:spPr>
                        <a:xfrm>
                          <a:off x="0" y="0"/>
                          <a:ext cx="3124200" cy="7182485"/>
                        </a:xfrm>
                        <a:prstGeom prst="rect"/>
                        <a:solidFill>
                          <a:srgbClr val="FFFFFF"/>
                        </a:solidFill>
                      </wps:spPr>
                      <wps:txbx>
                        <w:txbxContent>
                          <w:p>
                            <w:pPr>
                              <w:pStyle w:val="Normal"/>
                              <w:bidi w:val="0"/>
                              <w:spacing w:before="0" w:after="0"/>
                              <w:jc w:val="left"/>
                              <w:rPr>
                                <w:sz w:val="4"/>
                                <w:szCs w:val="4"/>
                              </w:rPr>
                            </w:pPr>
                            <w:r>
                              <w:rPr>
                                <w:sz w:val="4"/>
                                <w:szCs w:val="4"/>
                              </w:rPr>
                            </w:r>
                            <w:bookmarkStart w:id="60" w:name="tQND8"/>
                            <w:bookmarkStart w:id="61" w:name="tQND8"/>
                            <w:bookmarkEnd w:id="61"/>
                          </w:p>
                          <w:tbl>
                            <w:tblPr>
                              <w:tblW w:w="5440" w:type="dxa"/>
                              <w:jc w:val="left"/>
                              <w:tblInd w:w="6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1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during the Annual Meeting? </w:t>
                                  </w:r>
                                </w:p>
                              </w:tc>
                            </w:tr>
                          </w:tbl>
                          <w:tbl>
                            <w:tblPr>
                              <w:tblW w:w="10145" w:type="dxa"/>
                              <w:jc w:val="left"/>
                              <w:tblInd w:w="60" w:type="dxa"/>
                              <w:tblLayout w:type="fixed"/>
                              <w:tblCellMar>
                                <w:top w:w="0" w:type="dxa"/>
                                <w:left w:w="0" w:type="dxa"/>
                                <w:bottom w:w="0" w:type="dxa"/>
                                <w:right w:w="0" w:type="dxa"/>
                              </w:tblCellMar>
                            </w:tblPr>
                            <w:tblGrid>
                              <w:gridCol w:w="225"/>
                              <w:gridCol w:w="9920"/>
                            </w:tblGrid>
                            <w:tr>
                              <w:trPr/>
                              <w:tc>
                                <w:tcPr>
                                  <w:tcW w:w="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of record may vote their shares electronically during the Annual Meeting by logging into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 may vote their shares electronically during the Annual Meeting only if they obtain a “legal proxy” from the broker, bank or nominee that holds the shares giving the beneficial owner the right to vote the shares. Voting online during the meeting will replace any previous votes. </w:t>
                            </w:r>
                            <w:r>
                              <w:rPr>
                                <w:rFonts w:ascii="Arial;Helvetica;sans-serif" w:hAnsi="Arial;Helvetica;sans-serif"/>
                                <w:b/>
                                <w:color w:val="000000"/>
                                <w:sz w:val="20"/>
                              </w:rPr>
                              <w:t>Even if you plan to attend the Annual Meeting, we recommend you also submit your vote as described in the Notice and as described below, so your vote will be counted even if you later decide not to attend the meeting</w:t>
                            </w:r>
                            <w:r>
                              <w:rPr>
                                <w:rFonts w:ascii="Arial;Helvetica;sans-serif" w:hAnsi="Arial;Helvetica;sans-serif"/>
                                <w:color w:val="000000"/>
                                <w:sz w:val="20"/>
                              </w:rPr>
                              <w:t xml:space="preserve">. </w:t>
                            </w:r>
                          </w:p>
                          <w:p>
                            <w:pPr>
                              <w:pStyle w:val="Normal"/>
                              <w:bidi w:val="0"/>
                              <w:spacing w:before="0" w:after="0"/>
                              <w:jc w:val="left"/>
                              <w:rPr>
                                <w:sz w:val="4"/>
                                <w:szCs w:val="4"/>
                              </w:rPr>
                            </w:pPr>
                            <w:r>
                              <w:rPr>
                                <w:sz w:val="4"/>
                                <w:szCs w:val="4"/>
                              </w:rPr>
                            </w:r>
                            <w:bookmarkStart w:id="62" w:name="tQND9"/>
                            <w:bookmarkStart w:id="63" w:name="tQND9"/>
                            <w:bookmarkEnd w:id="63"/>
                          </w:p>
                          <w:tbl>
                            <w:tblPr>
                              <w:tblW w:w="6445" w:type="dxa"/>
                              <w:jc w:val="left"/>
                              <w:tblInd w:w="6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without attending the Annual Meeting?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shares beneficially in street name, you may vote by submitting voting instructions to your broker, bank or nominee; please refer to the voting instructions provided to you by your broker, bank or nominee.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Internet – </w:t>
                            </w:r>
                            <w:r>
                              <w:rPr>
                                <w:rFonts w:ascii="Arial;Helvetica;sans-serif" w:hAnsi="Arial;Helvetica;sans-serif"/>
                                <w:b w:val="false"/>
                                <w:color w:val="000000"/>
                                <w:sz w:val="20"/>
                              </w:rPr>
                              <w:t xml:space="preserve">Shareholders of record with Internet access may submit proxies until 11:59 p.m., Eastern Standard Time, on December 9, 2026, by following the “Vote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telephone – </w:t>
                            </w:r>
                            <w:r>
                              <w:rPr>
                                <w:rFonts w:ascii="Arial;Helvetica;sans-serif" w:hAnsi="Arial;Helvetica;sans-serif"/>
                                <w:b w:val="false"/>
                                <w:color w:val="000000"/>
                                <w:sz w:val="20"/>
                              </w:rPr>
                              <w:t xml:space="preserve">Depending on how your shares are held, you may be able to vote by telephone. If this option is available to you, you will have received information with the Notice or the voting instructions provided by your broker, bank or nominee explaining this procedure. </w:t>
                            </w:r>
                          </w:p>
                        </w:txbxContent>
                      </wps:txbx>
                      <wps:bodyPr anchor="t" lIns="0" tIns="0" rIns="0" bIns="0">
                        <a:noAutofit/>
                      </wps:bodyPr>
                    </wps:wsp>
                  </a:graphicData>
                </a:graphic>
              </wp:anchor>
            </w:drawing>
          </mc:Choice>
          <mc:Fallback>
            <w:pict>
              <v:rect style="position:absolute;rotation:-0;width:246pt;height:565.55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64" w:name="tQND8"/>
                      <w:bookmarkStart w:id="65" w:name="tQND8"/>
                      <w:bookmarkEnd w:id="65"/>
                    </w:p>
                    <w:tbl>
                      <w:tblPr>
                        <w:tblW w:w="5440" w:type="dxa"/>
                        <w:jc w:val="left"/>
                        <w:tblInd w:w="6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18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during the Annual Meeting? </w:t>
                            </w:r>
                          </w:p>
                        </w:tc>
                      </w:tr>
                    </w:tbl>
                    <w:tbl>
                      <w:tblPr>
                        <w:tblW w:w="10145" w:type="dxa"/>
                        <w:jc w:val="left"/>
                        <w:tblInd w:w="60" w:type="dxa"/>
                        <w:tblLayout w:type="fixed"/>
                        <w:tblCellMar>
                          <w:top w:w="0" w:type="dxa"/>
                          <w:left w:w="0" w:type="dxa"/>
                          <w:bottom w:w="0" w:type="dxa"/>
                          <w:right w:w="0" w:type="dxa"/>
                        </w:tblCellMar>
                      </w:tblPr>
                      <w:tblGrid>
                        <w:gridCol w:w="225"/>
                        <w:gridCol w:w="9920"/>
                      </w:tblGrid>
                      <w:tr>
                        <w:trPr/>
                        <w:tc>
                          <w:tcPr>
                            <w:tcW w:w="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of record may vote their shares electronically during the Annual Meeting by logging into </w:t>
                            </w:r>
                            <w:r>
                              <w:rPr>
                                <w:rFonts w:ascii="Arial;Helvetica;sans-serif" w:hAnsi="Arial;Helvetica;sans-serif"/>
                                <w:b/>
                                <w:color w:val="578255"/>
                                <w:spacing w:val="-2"/>
                                <w:sz w:val="20"/>
                              </w:rPr>
                              <w:t>www.virtualshareholdermeeting.com/FN2026</w:t>
                            </w:r>
                            <w:r>
                              <w:rPr>
                                <w:rFonts w:ascii="Arial;Helvetica;sans-serif" w:hAnsi="Arial;Helvetica;sans-serif"/>
                                <w:color w:val="000000"/>
                                <w:sz w:val="20"/>
                              </w:rPr>
                              <w:t xml:space="preserve">.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 may vote their shares electronically during the Annual Meeting only if they obtain a “legal proxy” from the broker, bank or nominee that holds the shares giving the beneficial owner the right to vote the shares. Voting online during the meeting will replace any previous votes. </w:t>
                      </w:r>
                      <w:r>
                        <w:rPr>
                          <w:rFonts w:ascii="Arial;Helvetica;sans-serif" w:hAnsi="Arial;Helvetica;sans-serif"/>
                          <w:b/>
                          <w:color w:val="000000"/>
                          <w:sz w:val="20"/>
                        </w:rPr>
                        <w:t>Even if you plan to attend the Annual Meeting, we recommend you also submit your vote as described in the Notice and as described below, so your vote will be counted even if you later decide not to attend the meeting</w:t>
                      </w:r>
                      <w:r>
                        <w:rPr>
                          <w:rFonts w:ascii="Arial;Helvetica;sans-serif" w:hAnsi="Arial;Helvetica;sans-serif"/>
                          <w:color w:val="000000"/>
                          <w:sz w:val="20"/>
                        </w:rPr>
                        <w:t xml:space="preserve">. </w:t>
                      </w:r>
                    </w:p>
                    <w:p>
                      <w:pPr>
                        <w:pStyle w:val="Normal"/>
                        <w:bidi w:val="0"/>
                        <w:spacing w:before="0" w:after="0"/>
                        <w:jc w:val="left"/>
                        <w:rPr>
                          <w:sz w:val="4"/>
                          <w:szCs w:val="4"/>
                        </w:rPr>
                      </w:pPr>
                      <w:r>
                        <w:rPr>
                          <w:sz w:val="4"/>
                          <w:szCs w:val="4"/>
                        </w:rPr>
                      </w:r>
                      <w:bookmarkStart w:id="66" w:name="tQND9"/>
                      <w:bookmarkStart w:id="67" w:name="tQND9"/>
                      <w:bookmarkEnd w:id="67"/>
                    </w:p>
                    <w:tbl>
                      <w:tblPr>
                        <w:tblW w:w="6445" w:type="dxa"/>
                        <w:jc w:val="left"/>
                        <w:tblInd w:w="6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vote my shares without attending the Annual Meeting?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shares beneficially in street name, you may vote by submitting voting instructions to your broker, bank or nominee; please refer to the voting instructions provided to you by your broker, bank or nominee.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Internet – </w:t>
                      </w:r>
                      <w:r>
                        <w:rPr>
                          <w:rFonts w:ascii="Arial;Helvetica;sans-serif" w:hAnsi="Arial;Helvetica;sans-serif"/>
                          <w:b w:val="false"/>
                          <w:color w:val="000000"/>
                          <w:sz w:val="20"/>
                        </w:rPr>
                        <w:t xml:space="preserve">Shareholders of record with Internet access may submit proxies until 11:59 p.m., Eastern Standard Time, on December 9, 2026, by following the “Vote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telephone – </w:t>
                      </w:r>
                      <w:r>
                        <w:rPr>
                          <w:rFonts w:ascii="Arial;Helvetica;sans-serif" w:hAnsi="Arial;Helvetica;sans-serif"/>
                          <w:b w:val="false"/>
                          <w:color w:val="000000"/>
                          <w:sz w:val="20"/>
                        </w:rPr>
                        <w:t xml:space="preserve">Depending on how your shares are held, you may be able to vote by telephone. If this option is available to you, you will have received information with the Notice or the voting instructions provided by your broker, bank or nominee explaining this procedure. </w:t>
                      </w:r>
                    </w:p>
                  </w:txbxContent>
                </v:textbox>
                <w10:wrap type="square" side="right"/>
              </v:rect>
            </w:pict>
          </mc:Fallback>
        </mc:AlternateContent>
      </w:r>
      <w:r>
        <mc:AlternateContent>
          <mc:Choice Requires="wps">
            <w:drawing>
              <wp:anchor behindDoc="0" distT="0" distB="0" distL="228600" distR="0" simplePos="0" locked="0" layoutInCell="1" allowOverlap="1" relativeHeight="222">
                <wp:simplePos x="0" y="0"/>
                <wp:positionH relativeFrom="column">
                  <wp:align>left</wp:align>
                </wp:positionH>
                <wp:positionV relativeFrom="line">
                  <wp:posOffset>635</wp:posOffset>
                </wp:positionV>
                <wp:extent cx="3124200" cy="6906895"/>
                <wp:effectExtent l="0" t="0" r="0" b="0"/>
                <wp:wrapSquare wrapText="right"/>
                <wp:docPr id="99" name="Frame16"/>
                <a:graphic xmlns:a="http://schemas.openxmlformats.org/drawingml/2006/main">
                  <a:graphicData uri="http://schemas.microsoft.com/office/word/2010/wordprocessingShape">
                    <wps:wsp>
                      <wps:cNvSpPr txBox="1"/>
                      <wps:spPr>
                        <a:xfrm>
                          <a:off x="0" y="0"/>
                          <a:ext cx="3124200" cy="690689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mail – </w:t>
                            </w:r>
                            <w:r>
                              <w:rPr>
                                <w:rFonts w:ascii="Arial;Helvetica;sans-serif" w:hAnsi="Arial;Helvetica;sans-serif"/>
                                <w:b w:val="false"/>
                                <w:color w:val="000000"/>
                                <w:sz w:val="20"/>
                              </w:rPr>
                              <w:t xml:space="preserve">Shareholders of record may request a paper proxy card from Fabrinet and indicate their vote by completing, signing and dating the card where indicated and by returning it in the prepaid envelope that will be included with the proxy card. Please follow the procedures outlined in the Notice to request a paper proxy card.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We may use the Broadridge QuickVote™ service to assist beneficial shareholders with voting their shares over the telephone. Alternatively, Kingsdale Advisors may contact beneficial shareholders to assist them with conveniently voting their shares directly over the phone. If you have any questions about the Annual Meeting, please contact Kingsdale by telephone at (866) 228-3049 (toll-free in North America) or (646) 741-3814 (call collect outside North America), or by email at contactus@kingsdaleadvisors.com. </w:t>
                            </w:r>
                          </w:p>
                          <w:p>
                            <w:pPr>
                              <w:pStyle w:val="Normal"/>
                              <w:bidi w:val="0"/>
                              <w:spacing w:before="0" w:after="0"/>
                              <w:jc w:val="left"/>
                              <w:rPr>
                                <w:sz w:val="4"/>
                                <w:szCs w:val="4"/>
                              </w:rPr>
                            </w:pPr>
                            <w:r>
                              <w:rPr>
                                <w:sz w:val="4"/>
                                <w:szCs w:val="4"/>
                              </w:rPr>
                            </w:r>
                            <w:bookmarkStart w:id="68" w:name="tQND10"/>
                            <w:bookmarkStart w:id="69" w:name="tQND10"/>
                            <w:bookmarkEnd w:id="69"/>
                          </w:p>
                          <w:tbl>
                            <w:tblPr>
                              <w:tblW w:w="9745" w:type="dxa"/>
                              <w:jc w:val="left"/>
                              <w:tblInd w:w="60" w:type="dxa"/>
                              <w:tblLayout w:type="fixed"/>
                              <w:tblCellMar>
                                <w:top w:w="0" w:type="dxa"/>
                                <w:left w:w="0" w:type="dxa"/>
                                <w:bottom w:w="0" w:type="dxa"/>
                                <w:right w:w="0" w:type="dxa"/>
                              </w:tblCellMar>
                            </w:tblPr>
                            <w:tblGrid>
                              <w:gridCol w:w="260"/>
                              <w:gridCol w:w="94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4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difference between holding shares as a shareholder of record and as a beneficial owner?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Shareholder of Record.</w:t>
                                  </w:r>
                                  <w:r>
                                    <w:rPr>
                                      <w:rFonts w:ascii="Arial;Helvetica;sans-serif" w:hAnsi="Arial;Helvetica;sans-serif"/>
                                      <w:color w:val="000000"/>
                                      <w:sz w:val="20"/>
                                    </w:rPr>
                                    <w:t xml:space="preserve"> If your shares are registered directly in your name with our transfer agent, Computershare Trust Company, you are considered the “shareholder of record” with respect to those shares, and we have sent the Notice directly to you. As a shareholder of record, you have the right to grant your voting proxy directly to us or to a third party, or to vote virtually during the Annual Meeting. </w:t>
                                  </w:r>
                                </w:p>
                              </w:tc>
                            </w:tr>
                          </w:tbl>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Beneficial Owner.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If your shares are held in a brokerage account or by a bank or nominee, you are considered the “beneficial owner” of shares held in “street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virtually during the Annual Meeting unless you obtain a “legal proxy” from your broker, bank or nominee giving you the right to vote the shares at the Annual Meeting. </w:t>
                            </w:r>
                          </w:p>
                        </w:txbxContent>
                      </wps:txbx>
                      <wps:bodyPr anchor="t" lIns="0" tIns="0" rIns="0" bIns="0">
                        <a:noAutofit/>
                      </wps:bodyPr>
                    </wps:wsp>
                  </a:graphicData>
                </a:graphic>
              </wp:anchor>
            </w:drawing>
          </mc:Choice>
          <mc:Fallback>
            <w:pict>
              <v:rect style="position:absolute;rotation:-0;width:246pt;height:543.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By mail – </w:t>
                      </w:r>
                      <w:r>
                        <w:rPr>
                          <w:rFonts w:ascii="Arial;Helvetica;sans-serif" w:hAnsi="Arial;Helvetica;sans-serif"/>
                          <w:b w:val="false"/>
                          <w:color w:val="000000"/>
                          <w:sz w:val="20"/>
                        </w:rPr>
                        <w:t xml:space="preserve">Shareholders of record may request a paper proxy card from Fabrinet and indicate their vote by completing, signing and dating the card where indicated and by returning it in the prepaid envelope that will be included with the proxy card. Please follow the procedures outlined in the Notice to request a paper proxy card.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We may use the Broadridge QuickVote™ service to assist beneficial shareholders with voting their shares over the telephone. Alternatively, Kingsdale Advisors may contact beneficial shareholders to assist them with conveniently voting their shares directly over the phone. If you have any questions about the Annual Meeting, please contact Kingsdale by telephone at (866) 228-3049 (toll-free in North America) or (646) 741-3814 (call collect outside North America), or by email at contactus@kingsdaleadvisors.com. </w:t>
                      </w:r>
                    </w:p>
                    <w:p>
                      <w:pPr>
                        <w:pStyle w:val="Normal"/>
                        <w:bidi w:val="0"/>
                        <w:spacing w:before="0" w:after="0"/>
                        <w:jc w:val="left"/>
                        <w:rPr>
                          <w:sz w:val="4"/>
                          <w:szCs w:val="4"/>
                        </w:rPr>
                      </w:pPr>
                      <w:r>
                        <w:rPr>
                          <w:sz w:val="4"/>
                          <w:szCs w:val="4"/>
                        </w:rPr>
                      </w:r>
                      <w:bookmarkStart w:id="70" w:name="tQND10"/>
                      <w:bookmarkStart w:id="71" w:name="tQND10"/>
                      <w:bookmarkEnd w:id="71"/>
                    </w:p>
                    <w:tbl>
                      <w:tblPr>
                        <w:tblW w:w="9745" w:type="dxa"/>
                        <w:jc w:val="left"/>
                        <w:tblInd w:w="60" w:type="dxa"/>
                        <w:tblLayout w:type="fixed"/>
                        <w:tblCellMar>
                          <w:top w:w="0" w:type="dxa"/>
                          <w:left w:w="0" w:type="dxa"/>
                          <w:bottom w:w="0" w:type="dxa"/>
                          <w:right w:w="0" w:type="dxa"/>
                        </w:tblCellMar>
                      </w:tblPr>
                      <w:tblGrid>
                        <w:gridCol w:w="260"/>
                        <w:gridCol w:w="94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4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difference between holding shares as a shareholder of record and as a beneficial owner?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i/>
                                <w:color w:val="000000"/>
                                <w:sz w:val="20"/>
                              </w:rPr>
                              <w:t>Shareholder of Record.</w:t>
                            </w:r>
                            <w:r>
                              <w:rPr>
                                <w:rFonts w:ascii="Arial;Helvetica;sans-serif" w:hAnsi="Arial;Helvetica;sans-serif"/>
                                <w:color w:val="000000"/>
                                <w:sz w:val="20"/>
                              </w:rPr>
                              <w:t xml:space="preserve"> If your shares are registered directly in your name with our transfer agent, Computershare Trust Company, you are considered the “shareholder of record” with respect to those shares, and we have sent the Notice directly to you. As a shareholder of record, you have the right to grant your voting proxy directly to us or to a third party, or to vote virtually during the Annual Meeting. </w:t>
                            </w:r>
                          </w:p>
                        </w:tc>
                      </w:tr>
                    </w:tbl>
                    <w:p>
                      <w:pPr>
                        <w:pStyle w:val="TextBody"/>
                        <w:bidi w:val="0"/>
                        <w:spacing w:before="120" w:after="283"/>
                        <w:ind w:left="380" w:right="0" w:hanging="0"/>
                        <w:jc w:val="both"/>
                        <w:rPr>
                          <w:rFonts w:ascii="Arial;Helvetica;sans-serif" w:hAnsi="Arial;Helvetica;sans-serif"/>
                          <w:b/>
                          <w:i/>
                          <w:color w:val="000000"/>
                          <w:sz w:val="20"/>
                        </w:rPr>
                      </w:pPr>
                      <w:r>
                        <w:rPr>
                          <w:rFonts w:ascii="Arial;Helvetica;sans-serif" w:hAnsi="Arial;Helvetica;sans-serif"/>
                          <w:b/>
                          <w:i/>
                          <w:color w:val="000000"/>
                          <w:sz w:val="20"/>
                        </w:rPr>
                        <w:t>Beneficial Owner.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If your shares are held in a brokerage account or by a bank or nominee, you are considered the “beneficial owner” of shares held in “street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virtually during the Annual Meeting unless you obtain a “legal proxy” from your broker, bank or nominee giving you the right to vote the shares at the Annual Meeting. </w:t>
                      </w:r>
                    </w:p>
                  </w:txbxContent>
                </v:textbox>
                <w10:wrap type="square" side="right"/>
              </v:rect>
            </w:pict>
          </mc:Fallback>
        </mc:AlternateContent>
      </w:r>
    </w:p>
    <w:tbl>
      <w:tblPr>
        <w:tblW w:w="2885" w:type="dxa"/>
        <w:jc w:val="left"/>
        <w:tblInd w:w="60" w:type="dxa"/>
        <w:tblLayout w:type="fixed"/>
        <w:tblCellMar>
          <w:top w:w="0" w:type="dxa"/>
          <w:left w:w="0" w:type="dxa"/>
          <w:bottom w:w="0" w:type="dxa"/>
          <w:right w:w="0" w:type="dxa"/>
        </w:tblCellMar>
      </w:tblPr>
      <w:tblGrid>
        <w:gridCol w:w="645"/>
        <w:gridCol w:w="1685"/>
        <w:gridCol w:w="170"/>
        <w:gridCol w:w="170"/>
        <w:gridCol w:w="21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0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4" descr=""/>
                          <pic:cNvPicPr>
                            <a:picLocks noChangeAspect="1" noChangeArrowheads="1"/>
                          </pic:cNvPicPr>
                        </pic:nvPicPr>
                        <pic:blipFill>
                          <a:blip r:embed="rId8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81940x1_def14a_105-qa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24200" cy="6497955"/>
                <wp:effectExtent l="0" t="0" r="0" b="0"/>
                <wp:wrapSquare wrapText="right"/>
                <wp:docPr id="101" name="Frame17"/>
                <a:graphic xmlns:a="http://schemas.openxmlformats.org/drawingml/2006/main">
                  <a:graphicData uri="http://schemas.microsoft.com/office/word/2010/wordprocessingShape">
                    <wps:wsp>
                      <wps:cNvSpPr txBox="1"/>
                      <wps:spPr>
                        <a:xfrm>
                          <a:off x="0" y="0"/>
                          <a:ext cx="3124200" cy="649795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your shares through a broker and do not provide your broker with specific voting instructions, your broker will have the discretion to vote your shares only on routine matters. As a result: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Your broker will have the authority to exercise discretion to vote your shares with respect to the ratification of the appointment of PricewaterhouseCoopers ABAS Ltd. as our independent registered public accounting firm for our fiscal year ending June 25, 2027, because the rules of The New York Stock Exchange (“</w:t>
                                  </w:r>
                                  <w:r>
                                    <w:rPr>
                                      <w:rFonts w:ascii="Arial;Helvetica;sans-serif" w:hAnsi="Arial;Helvetica;sans-serif"/>
                                      <w:b/>
                                      <w:color w:val="000000"/>
                                      <w:sz w:val="20"/>
                                    </w:rPr>
                                    <w:t>NYSE</w:t>
                                  </w:r>
                                  <w:r>
                                    <w:rPr>
                                      <w:rFonts w:ascii="Arial;Helvetica;sans-serif" w:hAnsi="Arial;Helvetica;sans-serif"/>
                                      <w:color w:val="000000"/>
                                      <w:sz w:val="20"/>
                                    </w:rPr>
                                    <w:t xml:space="preserve">”) treat that matter as routine.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Your broker will not have the authority to exercise discretion to vote your shares with respect to the election of directors and the advisory vote to approve the compensation of our named executive officers because NYSE rules treat those matters as non-routine. </w:t>
                                  </w:r>
                                </w:p>
                              </w:tc>
                            </w:tr>
                          </w:tbl>
                          <w:p>
                            <w:pPr>
                              <w:pStyle w:val="Normal"/>
                              <w:bidi w:val="0"/>
                              <w:spacing w:before="0" w:after="0"/>
                              <w:ind w:left="60" w:right="0" w:hanging="0"/>
                              <w:jc w:val="left"/>
                              <w:rPr>
                                <w:sz w:val="4"/>
                                <w:szCs w:val="4"/>
                              </w:rPr>
                            </w:pPr>
                            <w:r>
                              <w:rPr>
                                <w:sz w:val="4"/>
                                <w:szCs w:val="4"/>
                              </w:rPr>
                            </w:r>
                            <w:bookmarkStart w:id="73" w:name="tQND11"/>
                            <w:bookmarkStart w:id="74" w:name="tQND11"/>
                            <w:bookmarkEnd w:id="74"/>
                          </w:p>
                          <w:tbl>
                            <w:tblPr>
                              <w:tblW w:w="7165" w:type="dxa"/>
                              <w:jc w:val="left"/>
                              <w:tblInd w:w="6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90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additional matters are presented at the Annual Meeting? </w:t>
                                  </w:r>
                                </w:p>
                              </w:tc>
                            </w:tr>
                          </w:tbl>
                          <w:tbl>
                            <w:tblPr>
                              <w:tblW w:w="10145" w:type="dxa"/>
                              <w:jc w:val="left"/>
                              <w:tblInd w:w="60" w:type="dxa"/>
                              <w:tblLayout w:type="fixed"/>
                              <w:tblCellMar>
                                <w:top w:w="0" w:type="dxa"/>
                                <w:left w:w="0" w:type="dxa"/>
                                <w:bottom w:w="0" w:type="dxa"/>
                                <w:right w:w="0" w:type="dxa"/>
                              </w:tblCellMar>
                            </w:tblPr>
                            <w:tblGrid>
                              <w:gridCol w:w="197"/>
                              <w:gridCol w:w="994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 </w:t>
                                  </w:r>
                                </w:p>
                              </w:tc>
                            </w:tr>
                          </w:tbl>
                          <w:p>
                            <w:pPr>
                              <w:pStyle w:val="Normal"/>
                              <w:bidi w:val="0"/>
                              <w:spacing w:before="0" w:after="0"/>
                              <w:ind w:left="60" w:right="0" w:hanging="0"/>
                              <w:jc w:val="left"/>
                              <w:rPr>
                                <w:sz w:val="4"/>
                                <w:szCs w:val="4"/>
                              </w:rPr>
                            </w:pPr>
                            <w:r>
                              <w:rPr>
                                <w:sz w:val="4"/>
                                <w:szCs w:val="4"/>
                              </w:rPr>
                            </w:r>
                            <w:bookmarkStart w:id="75" w:name="tQND12"/>
                            <w:bookmarkStart w:id="76" w:name="tQND12"/>
                            <w:bookmarkEnd w:id="76"/>
                          </w:p>
                          <w:tbl>
                            <w:tblPr>
                              <w:tblW w:w="2530" w:type="dxa"/>
                              <w:jc w:val="left"/>
                              <w:tblInd w:w="6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2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I change my vote?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Subject to any rules your broker, bank or nominee may have, you may change your vote at any time before the electronic polls close at the Annual Meeting.</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4900 Patrick Henry Drive, Santa Clara, CA 95054 prior to your shares being voted, or (3) virtually attending the Annual Meeting and voting online during the meeting. Attending the Annual Meeting will not cause your previously granted proxy to be revoked unless you specifically request this.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beneficial owner of shares held in street name, you may change your vote by (1) submitting new voting instructions to your broker, bank or </w:t>
                            </w:r>
                          </w:p>
                        </w:txbxContent>
                      </wps:txbx>
                      <wps:bodyPr anchor="t" lIns="0" tIns="0" rIns="0" bIns="0">
                        <a:noAutofit/>
                      </wps:bodyPr>
                    </wps:wsp>
                  </a:graphicData>
                </a:graphic>
              </wp:anchor>
            </w:drawing>
          </mc:Choice>
          <mc:Fallback>
            <w:pict>
              <v:rect style="position:absolute;rotation:-0;width:246pt;height:5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your shares through a broker and do not provide your broker with specific voting instructions, your broker will have the discretion to vote your shares only on routine matters. As a result: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Your broker will have the authority to exercise discretion to vote your shares with respect to the ratification of the appointment of PricewaterhouseCoopers ABAS Ltd. as our independent registered public accounting firm for our fiscal year ending June 25, 2027, because the rules of The New York Stock Exchange (“</w:t>
                            </w:r>
                            <w:r>
                              <w:rPr>
                                <w:rFonts w:ascii="Arial;Helvetica;sans-serif" w:hAnsi="Arial;Helvetica;sans-serif"/>
                                <w:b/>
                                <w:color w:val="000000"/>
                                <w:sz w:val="20"/>
                              </w:rPr>
                              <w:t>NYSE</w:t>
                            </w:r>
                            <w:r>
                              <w:rPr>
                                <w:rFonts w:ascii="Arial;Helvetica;sans-serif" w:hAnsi="Arial;Helvetica;sans-serif"/>
                                <w:color w:val="000000"/>
                                <w:sz w:val="20"/>
                              </w:rPr>
                              <w:t xml:space="preserve">”) treat that matter as routine.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Your broker will not have the authority to exercise discretion to vote your shares with respect to the election of directors and the advisory vote to approve the compensation of our named executive officers because NYSE rules treat those matters as non-routine. </w:t>
                            </w:r>
                          </w:p>
                        </w:tc>
                      </w:tr>
                    </w:tbl>
                    <w:p>
                      <w:pPr>
                        <w:pStyle w:val="Normal"/>
                        <w:bidi w:val="0"/>
                        <w:spacing w:before="0" w:after="0"/>
                        <w:ind w:left="60" w:right="0" w:hanging="0"/>
                        <w:jc w:val="left"/>
                        <w:rPr>
                          <w:sz w:val="4"/>
                          <w:szCs w:val="4"/>
                        </w:rPr>
                      </w:pPr>
                      <w:r>
                        <w:rPr>
                          <w:sz w:val="4"/>
                          <w:szCs w:val="4"/>
                        </w:rPr>
                      </w:r>
                      <w:bookmarkStart w:id="77" w:name="tQND11"/>
                      <w:bookmarkStart w:id="78" w:name="tQND11"/>
                      <w:bookmarkEnd w:id="78"/>
                    </w:p>
                    <w:tbl>
                      <w:tblPr>
                        <w:tblW w:w="7165" w:type="dxa"/>
                        <w:jc w:val="left"/>
                        <w:tblInd w:w="6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90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additional matters are presented at the Annual Meeting? </w:t>
                            </w:r>
                          </w:p>
                        </w:tc>
                      </w:tr>
                    </w:tbl>
                    <w:tbl>
                      <w:tblPr>
                        <w:tblW w:w="10145" w:type="dxa"/>
                        <w:jc w:val="left"/>
                        <w:tblInd w:w="60" w:type="dxa"/>
                        <w:tblLayout w:type="fixed"/>
                        <w:tblCellMar>
                          <w:top w:w="0" w:type="dxa"/>
                          <w:left w:w="0" w:type="dxa"/>
                          <w:bottom w:w="0" w:type="dxa"/>
                          <w:right w:w="0" w:type="dxa"/>
                        </w:tblCellMar>
                      </w:tblPr>
                      <w:tblGrid>
                        <w:gridCol w:w="197"/>
                        <w:gridCol w:w="9948"/>
                      </w:tblGrid>
                      <w:tr>
                        <w:trPr/>
                        <w:tc>
                          <w:tcPr>
                            <w:tcW w:w="1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 </w:t>
                            </w:r>
                          </w:p>
                        </w:tc>
                      </w:tr>
                    </w:tbl>
                    <w:p>
                      <w:pPr>
                        <w:pStyle w:val="Normal"/>
                        <w:bidi w:val="0"/>
                        <w:spacing w:before="0" w:after="0"/>
                        <w:ind w:left="60" w:right="0" w:hanging="0"/>
                        <w:jc w:val="left"/>
                        <w:rPr>
                          <w:sz w:val="4"/>
                          <w:szCs w:val="4"/>
                        </w:rPr>
                      </w:pPr>
                      <w:r>
                        <w:rPr>
                          <w:sz w:val="4"/>
                          <w:szCs w:val="4"/>
                        </w:rPr>
                      </w:r>
                      <w:bookmarkStart w:id="79" w:name="tQND12"/>
                      <w:bookmarkStart w:id="80" w:name="tQND12"/>
                      <w:bookmarkEnd w:id="80"/>
                    </w:p>
                    <w:tbl>
                      <w:tblPr>
                        <w:tblW w:w="2530" w:type="dxa"/>
                        <w:jc w:val="left"/>
                        <w:tblInd w:w="6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2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I change my vote? </w:t>
                            </w:r>
                          </w:p>
                        </w:tc>
                      </w:tr>
                    </w:tbl>
                    <w:tbl>
                      <w:tblPr>
                        <w:tblW w:w="10145" w:type="dxa"/>
                        <w:jc w:val="left"/>
                        <w:tblInd w:w="60" w:type="dxa"/>
                        <w:tblLayout w:type="fixed"/>
                        <w:tblCellMar>
                          <w:top w:w="0" w:type="dxa"/>
                          <w:left w:w="0" w:type="dxa"/>
                          <w:bottom w:w="0" w:type="dxa"/>
                          <w:right w:w="0" w:type="dxa"/>
                        </w:tblCellMar>
                      </w:tblPr>
                      <w:tblGrid>
                        <w:gridCol w:w="227"/>
                        <w:gridCol w:w="9918"/>
                      </w:tblGrid>
                      <w:tr>
                        <w:trPr/>
                        <w:tc>
                          <w:tcPr>
                            <w:tcW w:w="2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Subject to any rules your broker, bank or nominee may have, you may change your vote at any time before the electronic polls close at the Annual Meeting.</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4900 Patrick Henry Drive, Santa Clara, CA 95054 prior to your shares being voted, or (3) virtually attending the Annual Meeting and voting online during the meeting. Attending the Annual Meeting will not cause your previously granted proxy to be revoked unless you specifically request this.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beneficial owner of shares held in street name, you may change your vote by (1) submitting new voting instructions to your broker, bank or </w:t>
                      </w:r>
                    </w:p>
                  </w:txbxContent>
                </v:textbox>
                <w10:wrap type="square" side="right"/>
              </v:rect>
            </w:pict>
          </mc:Fallback>
        </mc:AlternateContent>
      </w:r>
      <w:r>
        <mc:AlternateContent>
          <mc:Choice Requires="wps">
            <w:drawing>
              <wp:anchor behindDoc="0" distT="0" distB="0" distL="228600" distR="0" simplePos="0" locked="0" layoutInCell="1" allowOverlap="1" relativeHeight="224">
                <wp:simplePos x="0" y="0"/>
                <wp:positionH relativeFrom="column">
                  <wp:align>left</wp:align>
                </wp:positionH>
                <wp:positionV relativeFrom="line">
                  <wp:posOffset>635</wp:posOffset>
                </wp:positionV>
                <wp:extent cx="3124200" cy="5340985"/>
                <wp:effectExtent l="0" t="0" r="0" b="0"/>
                <wp:wrapSquare wrapText="right"/>
                <wp:docPr id="102" name="Frame18"/>
                <a:graphic xmlns:a="http://schemas.openxmlformats.org/drawingml/2006/main">
                  <a:graphicData uri="http://schemas.microsoft.com/office/word/2010/wordprocessingShape">
                    <wps:wsp>
                      <wps:cNvSpPr txBox="1"/>
                      <wps:spPr>
                        <a:xfrm>
                          <a:off x="0" y="0"/>
                          <a:ext cx="3124200" cy="534098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nominee, or (2) attending the Annual Meeting and voting online during the meeting if you first have obtained a legal proxy from your broker, bank or nominee giving you the right to vote your shares at the Annual Meeting. </w:t>
                            </w:r>
                          </w:p>
                          <w:p>
                            <w:pPr>
                              <w:pStyle w:val="Normal"/>
                              <w:bidi w:val="0"/>
                              <w:spacing w:before="0" w:after="0"/>
                              <w:jc w:val="left"/>
                              <w:rPr>
                                <w:sz w:val="4"/>
                                <w:szCs w:val="4"/>
                              </w:rPr>
                            </w:pPr>
                            <w:r>
                              <w:rPr>
                                <w:sz w:val="4"/>
                                <w:szCs w:val="4"/>
                              </w:rPr>
                            </w:r>
                            <w:bookmarkStart w:id="81" w:name="tQND13"/>
                            <w:bookmarkStart w:id="82" w:name="tQND13"/>
                            <w:bookmarkEnd w:id="82"/>
                          </w:p>
                          <w:tbl>
                            <w:tblPr>
                              <w:tblW w:w="10145" w:type="dxa"/>
                              <w:jc w:val="left"/>
                              <w:tblInd w:w="60" w:type="dxa"/>
                              <w:tblLayout w:type="fixed"/>
                              <w:tblCellMar>
                                <w:top w:w="0" w:type="dxa"/>
                                <w:left w:w="0" w:type="dxa"/>
                                <w:bottom w:w="0" w:type="dxa"/>
                                <w:right w:w="0" w:type="dxa"/>
                              </w:tblCellMar>
                            </w:tblPr>
                            <w:tblGrid>
                              <w:gridCol w:w="248"/>
                              <w:gridCol w:w="9897"/>
                            </w:tblGrid>
                            <w:tr>
                              <w:trPr/>
                              <w:tc>
                                <w:tcPr>
                                  <w:tcW w:w="24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89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I decide to attend the Annual Meeting but I have already voted or submitted a proxy card covering my shares? </w:t>
                                  </w:r>
                                </w:p>
                              </w:tc>
                            </w:tr>
                          </w:tbl>
                          <w:tbl>
                            <w:tblPr>
                              <w:tblW w:w="10145" w:type="dxa"/>
                              <w:jc w:val="left"/>
                              <w:tblInd w:w="60" w:type="dxa"/>
                              <w:tblLayout w:type="fixed"/>
                              <w:tblCellMar>
                                <w:top w:w="0" w:type="dxa"/>
                                <w:left w:w="0" w:type="dxa"/>
                                <w:bottom w:w="0" w:type="dxa"/>
                                <w:right w:w="0" w:type="dxa"/>
                              </w:tblCellMar>
                            </w:tblPr>
                            <w:tblGrid>
                              <w:gridCol w:w="201"/>
                              <w:gridCol w:w="9944"/>
                            </w:tblGrid>
                            <w:tr>
                              <w:trPr/>
                              <w:tc>
                                <w:tcPr>
                                  <w:tcW w:w="2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attend the Annual Meeting and vote during the meeting even if you have already voted or submitted a proxy card. Any previous votes that were submitted by you will be superseded by the vote you cast at the Annual Meeting. Please be aware that attendance at the Annual Meeting will not, by itself, revoke a proxy.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broker, bank or nominee beneficially holds your shares in street name and you wish to attend the Annual Meeting and vote during the meeting, you must obtain a legal proxy from the broker, bank or nominee holding your shares that gives you the right to vote the shares. </w:t>
                            </w:r>
                          </w:p>
                          <w:p>
                            <w:pPr>
                              <w:pStyle w:val="Normal"/>
                              <w:bidi w:val="0"/>
                              <w:spacing w:before="0" w:after="0"/>
                              <w:jc w:val="left"/>
                              <w:rPr>
                                <w:sz w:val="4"/>
                                <w:szCs w:val="4"/>
                              </w:rPr>
                            </w:pPr>
                            <w:r>
                              <w:rPr>
                                <w:sz w:val="4"/>
                                <w:szCs w:val="4"/>
                              </w:rPr>
                            </w:r>
                            <w:bookmarkStart w:id="83" w:name="tQND14"/>
                            <w:bookmarkStart w:id="84" w:name="tQND14"/>
                            <w:bookmarkEnd w:id="84"/>
                          </w:p>
                          <w:tbl>
                            <w:tblPr>
                              <w:tblW w:w="6670" w:type="dxa"/>
                              <w:jc w:val="left"/>
                              <w:tblInd w:w="60" w:type="dxa"/>
                              <w:tblLayout w:type="fixed"/>
                              <w:tblCellMar>
                                <w:top w:w="0" w:type="dxa"/>
                                <w:left w:w="0" w:type="dxa"/>
                                <w:bottom w:w="0" w:type="dxa"/>
                                <w:right w:w="0" w:type="dxa"/>
                              </w:tblCellMar>
                            </w:tblPr>
                            <w:tblGrid>
                              <w:gridCol w:w="260"/>
                              <w:gridCol w:w="64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4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should I do if I receive more than one set of voting materials?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3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 </w:t>
                                  </w:r>
                                </w:p>
                              </w:tc>
                            </w:tr>
                          </w:tbl>
                          <w:p>
                            <w:pPr>
                              <w:pStyle w:val="Normal"/>
                              <w:bidi w:val="0"/>
                              <w:spacing w:before="0" w:after="0"/>
                              <w:ind w:left="60" w:right="0" w:hanging="0"/>
                              <w:jc w:val="left"/>
                              <w:rPr>
                                <w:sz w:val="4"/>
                                <w:szCs w:val="4"/>
                              </w:rPr>
                            </w:pPr>
                            <w:r>
                              <w:rPr>
                                <w:sz w:val="4"/>
                                <w:szCs w:val="4"/>
                              </w:rPr>
                            </w:r>
                            <w:bookmarkStart w:id="85" w:name="tQND15"/>
                            <w:bookmarkStart w:id="86" w:name="tQND15"/>
                            <w:bookmarkEnd w:id="86"/>
                          </w:p>
                          <w:tbl>
                            <w:tblPr>
                              <w:tblW w:w="2635" w:type="dxa"/>
                              <w:jc w:val="left"/>
                              <w:tblInd w:w="6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3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tc>
                            </w:tr>
                          </w:tbl>
                          <w:tbl>
                            <w:tblPr>
                              <w:tblW w:w="10145" w:type="dxa"/>
                              <w:jc w:val="left"/>
                              <w:tblInd w:w="60" w:type="dxa"/>
                              <w:tblLayout w:type="fixed"/>
                              <w:tblCellMar>
                                <w:top w:w="0" w:type="dxa"/>
                                <w:left w:w="0" w:type="dxa"/>
                                <w:bottom w:w="0" w:type="dxa"/>
                                <w:right w:w="0" w:type="dxa"/>
                              </w:tblCellMar>
                            </w:tblPr>
                            <w:tblGrid>
                              <w:gridCol w:w="196"/>
                              <w:gridCol w:w="9949"/>
                            </w:tblGrid>
                            <w:tr>
                              <w:trPr/>
                              <w:tc>
                                <w:tcPr>
                                  <w:tcW w:w="19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 (3) to facilitate a successful proxy solicitation. Occasionally, shareholders provide written comments on their proxy cards, which may be forwarded to Fabrinet’s management. </w:t>
                                  </w:r>
                                </w:p>
                              </w:tc>
                            </w:tr>
                          </w:tbl>
                          <w:p>
                            <w:pPr>
                              <w:pStyle w:val="Normal"/>
                              <w:bidi w:val="0"/>
                              <w:spacing w:before="0" w:after="0"/>
                              <w:ind w:left="60" w:right="0" w:hanging="0"/>
                              <w:jc w:val="left"/>
                              <w:rPr>
                                <w:sz w:val="4"/>
                                <w:szCs w:val="4"/>
                              </w:rPr>
                            </w:pPr>
                            <w:r>
                              <w:rPr>
                                <w:sz w:val="4"/>
                                <w:szCs w:val="4"/>
                              </w:rPr>
                            </w:r>
                            <w:bookmarkStart w:id="87" w:name="tQND16"/>
                            <w:bookmarkStart w:id="88" w:name="tQND16"/>
                            <w:bookmarkEnd w:id="88"/>
                          </w:p>
                          <w:tbl>
                            <w:tblPr>
                              <w:tblW w:w="5815" w:type="dxa"/>
                              <w:jc w:val="left"/>
                              <w:tblInd w:w="60" w:type="dxa"/>
                              <w:tblLayout w:type="fixed"/>
                              <w:tblCellMar>
                                <w:top w:w="0" w:type="dxa"/>
                                <w:left w:w="0" w:type="dxa"/>
                                <w:bottom w:w="0" w:type="dxa"/>
                                <w:right w:w="0" w:type="dxa"/>
                              </w:tblCellMar>
                            </w:tblPr>
                            <w:tblGrid>
                              <w:gridCol w:w="260"/>
                              <w:gridCol w:w="555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5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Annual Meeting?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announce preliminary voting results at the Annual Meeting. We will also disclose voting results on a Form 8-K filed with the SEC within four business days after the Annual Meeting, which will also be available in the “Investors—Financials &amp; Filings—SEC Filings” section of our website at www.fabrinet.com.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20.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nominee, or (2) attending the Annual Meeting and voting online during the meeting if you first have obtained a legal proxy from your broker, bank or nominee giving you the right to vote your shares at the Annual Meeting. </w:t>
                      </w:r>
                    </w:p>
                    <w:p>
                      <w:pPr>
                        <w:pStyle w:val="Normal"/>
                        <w:bidi w:val="0"/>
                        <w:spacing w:before="0" w:after="0"/>
                        <w:jc w:val="left"/>
                        <w:rPr>
                          <w:sz w:val="4"/>
                          <w:szCs w:val="4"/>
                        </w:rPr>
                      </w:pPr>
                      <w:r>
                        <w:rPr>
                          <w:sz w:val="4"/>
                          <w:szCs w:val="4"/>
                        </w:rPr>
                      </w:r>
                      <w:bookmarkStart w:id="89" w:name="tQND13"/>
                      <w:bookmarkStart w:id="90" w:name="tQND13"/>
                      <w:bookmarkEnd w:id="90"/>
                    </w:p>
                    <w:tbl>
                      <w:tblPr>
                        <w:tblW w:w="10145" w:type="dxa"/>
                        <w:jc w:val="left"/>
                        <w:tblInd w:w="60" w:type="dxa"/>
                        <w:tblLayout w:type="fixed"/>
                        <w:tblCellMar>
                          <w:top w:w="0" w:type="dxa"/>
                          <w:left w:w="0" w:type="dxa"/>
                          <w:bottom w:w="0" w:type="dxa"/>
                          <w:right w:w="0" w:type="dxa"/>
                        </w:tblCellMar>
                      </w:tblPr>
                      <w:tblGrid>
                        <w:gridCol w:w="248"/>
                        <w:gridCol w:w="9897"/>
                      </w:tblGrid>
                      <w:tr>
                        <w:trPr/>
                        <w:tc>
                          <w:tcPr>
                            <w:tcW w:w="24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89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I decide to attend the Annual Meeting but I have already voted or submitted a proxy card covering my shares? </w:t>
                            </w:r>
                          </w:p>
                        </w:tc>
                      </w:tr>
                    </w:tbl>
                    <w:tbl>
                      <w:tblPr>
                        <w:tblW w:w="10145" w:type="dxa"/>
                        <w:jc w:val="left"/>
                        <w:tblInd w:w="60" w:type="dxa"/>
                        <w:tblLayout w:type="fixed"/>
                        <w:tblCellMar>
                          <w:top w:w="0" w:type="dxa"/>
                          <w:left w:w="0" w:type="dxa"/>
                          <w:bottom w:w="0" w:type="dxa"/>
                          <w:right w:w="0" w:type="dxa"/>
                        </w:tblCellMar>
                      </w:tblPr>
                      <w:tblGrid>
                        <w:gridCol w:w="201"/>
                        <w:gridCol w:w="9944"/>
                      </w:tblGrid>
                      <w:tr>
                        <w:trPr/>
                        <w:tc>
                          <w:tcPr>
                            <w:tcW w:w="2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Subject to any rules your broker, bank or nominee may have, you may attend the Annual Meeting and vote during the meeting even if you have already voted or submitted a proxy card. Any previous votes that were submitted by you will be superseded by the vote you cast at the Annual Meeting. Please be aware that attendance at the Annual Meeting will not, by itself, revoke a proxy.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broker, bank or nominee beneficially holds your shares in street name and you wish to attend the Annual Meeting and vote during the meeting, you must obtain a legal proxy from the broker, bank or nominee holding your shares that gives you the right to vote the shares. </w:t>
                      </w:r>
                    </w:p>
                    <w:p>
                      <w:pPr>
                        <w:pStyle w:val="Normal"/>
                        <w:bidi w:val="0"/>
                        <w:spacing w:before="0" w:after="0"/>
                        <w:jc w:val="left"/>
                        <w:rPr>
                          <w:sz w:val="4"/>
                          <w:szCs w:val="4"/>
                        </w:rPr>
                      </w:pPr>
                      <w:r>
                        <w:rPr>
                          <w:sz w:val="4"/>
                          <w:szCs w:val="4"/>
                        </w:rPr>
                      </w:r>
                      <w:bookmarkStart w:id="91" w:name="tQND14"/>
                      <w:bookmarkStart w:id="92" w:name="tQND14"/>
                      <w:bookmarkEnd w:id="92"/>
                    </w:p>
                    <w:tbl>
                      <w:tblPr>
                        <w:tblW w:w="6670" w:type="dxa"/>
                        <w:jc w:val="left"/>
                        <w:tblInd w:w="60" w:type="dxa"/>
                        <w:tblLayout w:type="fixed"/>
                        <w:tblCellMar>
                          <w:top w:w="0" w:type="dxa"/>
                          <w:left w:w="0" w:type="dxa"/>
                          <w:bottom w:w="0" w:type="dxa"/>
                          <w:right w:w="0" w:type="dxa"/>
                        </w:tblCellMar>
                      </w:tblPr>
                      <w:tblGrid>
                        <w:gridCol w:w="260"/>
                        <w:gridCol w:w="641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41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should I do if I receive more than one set of voting materials?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3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 </w:t>
                            </w:r>
                          </w:p>
                        </w:tc>
                      </w:tr>
                    </w:tbl>
                    <w:p>
                      <w:pPr>
                        <w:pStyle w:val="Normal"/>
                        <w:bidi w:val="0"/>
                        <w:spacing w:before="0" w:after="0"/>
                        <w:ind w:left="60" w:right="0" w:hanging="0"/>
                        <w:jc w:val="left"/>
                        <w:rPr>
                          <w:sz w:val="4"/>
                          <w:szCs w:val="4"/>
                        </w:rPr>
                      </w:pPr>
                      <w:r>
                        <w:rPr>
                          <w:sz w:val="4"/>
                          <w:szCs w:val="4"/>
                        </w:rPr>
                      </w:r>
                      <w:bookmarkStart w:id="93" w:name="tQND15"/>
                      <w:bookmarkStart w:id="94" w:name="tQND15"/>
                      <w:bookmarkEnd w:id="94"/>
                    </w:p>
                    <w:tbl>
                      <w:tblPr>
                        <w:tblW w:w="2635" w:type="dxa"/>
                        <w:jc w:val="left"/>
                        <w:tblInd w:w="6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23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tc>
                      </w:tr>
                    </w:tbl>
                    <w:tbl>
                      <w:tblPr>
                        <w:tblW w:w="10145" w:type="dxa"/>
                        <w:jc w:val="left"/>
                        <w:tblInd w:w="60" w:type="dxa"/>
                        <w:tblLayout w:type="fixed"/>
                        <w:tblCellMar>
                          <w:top w:w="0" w:type="dxa"/>
                          <w:left w:w="0" w:type="dxa"/>
                          <w:bottom w:w="0" w:type="dxa"/>
                          <w:right w:w="0" w:type="dxa"/>
                        </w:tblCellMar>
                      </w:tblPr>
                      <w:tblGrid>
                        <w:gridCol w:w="196"/>
                        <w:gridCol w:w="9949"/>
                      </w:tblGrid>
                      <w:tr>
                        <w:trPr/>
                        <w:tc>
                          <w:tcPr>
                            <w:tcW w:w="19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 (3) to facilitate a successful proxy solicitation. Occasionally, shareholders provide written comments on their proxy cards, which may be forwarded to Fabrinet’s management. </w:t>
                            </w:r>
                          </w:p>
                        </w:tc>
                      </w:tr>
                    </w:tbl>
                    <w:p>
                      <w:pPr>
                        <w:pStyle w:val="Normal"/>
                        <w:bidi w:val="0"/>
                        <w:spacing w:before="0" w:after="0"/>
                        <w:ind w:left="60" w:right="0" w:hanging="0"/>
                        <w:jc w:val="left"/>
                        <w:rPr>
                          <w:sz w:val="4"/>
                          <w:szCs w:val="4"/>
                        </w:rPr>
                      </w:pPr>
                      <w:r>
                        <w:rPr>
                          <w:sz w:val="4"/>
                          <w:szCs w:val="4"/>
                        </w:rPr>
                      </w:r>
                      <w:bookmarkStart w:id="95" w:name="tQND16"/>
                      <w:bookmarkStart w:id="96" w:name="tQND16"/>
                      <w:bookmarkEnd w:id="96"/>
                    </w:p>
                    <w:tbl>
                      <w:tblPr>
                        <w:tblW w:w="5815" w:type="dxa"/>
                        <w:jc w:val="left"/>
                        <w:tblInd w:w="60" w:type="dxa"/>
                        <w:tblLayout w:type="fixed"/>
                        <w:tblCellMar>
                          <w:top w:w="0" w:type="dxa"/>
                          <w:left w:w="0" w:type="dxa"/>
                          <w:bottom w:w="0" w:type="dxa"/>
                          <w:right w:w="0" w:type="dxa"/>
                        </w:tblCellMar>
                      </w:tblPr>
                      <w:tblGrid>
                        <w:gridCol w:w="260"/>
                        <w:gridCol w:w="555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55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Annual Meeting?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announce preliminary voting results at the Annual Meeting. We will also disclose voting results on a Form 8-K filed with the SEC within four business days after the Annual Meeting, which will also be available in the “Investors—Financials &amp; Filings—SEC Filings” section of our website at www.fabrinet.com.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0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5" descr=""/>
                          <pic:cNvPicPr>
                            <a:picLocks noChangeAspect="1" noChangeArrowheads="1"/>
                          </pic:cNvPicPr>
                        </pic:nvPicPr>
                        <pic:blipFill>
                          <a:blip r:embed="rId8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81940x1_def14a_105-qa_pg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124200" cy="7036435"/>
                <wp:effectExtent l="0" t="0" r="0" b="0"/>
                <wp:wrapSquare wrapText="right"/>
                <wp:docPr id="104" name="Frame19"/>
                <a:graphic xmlns:a="http://schemas.openxmlformats.org/drawingml/2006/main">
                  <a:graphicData uri="http://schemas.microsoft.com/office/word/2010/wordprocessingShape">
                    <wps:wsp>
                      <wps:cNvSpPr txBox="1"/>
                      <wps:spPr>
                        <a:xfrm>
                          <a:off x="0" y="0"/>
                          <a:ext cx="3124200" cy="7036435"/>
                        </a:xfrm>
                        <a:prstGeom prst="rect"/>
                        <a:solidFill>
                          <a:srgbClr val="FFFFFF"/>
                        </a:solidFill>
                      </wps:spPr>
                      <wps:txbx>
                        <w:txbxContent>
                          <w:p>
                            <w:pPr>
                              <w:pStyle w:val="Normal"/>
                              <w:bidi w:val="0"/>
                              <w:spacing w:before="0" w:after="0"/>
                              <w:jc w:val="left"/>
                              <w:rPr>
                                <w:sz w:val="4"/>
                                <w:szCs w:val="4"/>
                              </w:rPr>
                            </w:pPr>
                            <w:r>
                              <w:rPr>
                                <w:sz w:val="4"/>
                                <w:szCs w:val="4"/>
                              </w:rPr>
                            </w:r>
                            <w:bookmarkStart w:id="98" w:name="tQND17"/>
                            <w:bookmarkStart w:id="99" w:name="tQND17"/>
                            <w:bookmarkEnd w:id="99"/>
                          </w:p>
                          <w:tbl>
                            <w:tblPr>
                              <w:tblW w:w="6490" w:type="dxa"/>
                              <w:jc w:val="left"/>
                              <w:tblInd w:w="6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2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will bear the cost of soliciting votes for the Annual Meeting?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We have engaged Kingsdale Advisors as our shareholder advisor and proxy solicitation agent and will pay fees of approximately $20,500, plus certain out-of-pocket expenses, to Kingsdale Advisors to assist us with the solicitation of proxies. Our directors, officers and employees also may solicit proxies in person or by other means of communication. Such directors, officers and employees will not be additionally compensated, but may be reimbursed for reasonable out-of-pocket expenses in connection with such solicitation.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choose to access the proxy materials and/or vote over the Internet, you are responsible for Internet access charges you may incur. If you choose to vote by telephone, you are responsible for telephone charges you may incur. </w:t>
                            </w:r>
                          </w:p>
                          <w:p>
                            <w:pPr>
                              <w:pStyle w:val="Normal"/>
                              <w:bidi w:val="0"/>
                              <w:spacing w:before="0" w:after="0"/>
                              <w:jc w:val="left"/>
                              <w:rPr>
                                <w:sz w:val="4"/>
                                <w:szCs w:val="4"/>
                              </w:rPr>
                            </w:pPr>
                            <w:r>
                              <w:rPr>
                                <w:sz w:val="4"/>
                                <w:szCs w:val="4"/>
                              </w:rPr>
                            </w:r>
                            <w:bookmarkStart w:id="100" w:name="tQND18"/>
                            <w:bookmarkStart w:id="101" w:name="tQND18"/>
                            <w:bookmarkEnd w:id="101"/>
                          </w:p>
                          <w:tbl>
                            <w:tblPr>
                              <w:tblW w:w="10145" w:type="dxa"/>
                              <w:jc w:val="left"/>
                              <w:tblInd w:w="60" w:type="dxa"/>
                              <w:tblLayout w:type="fixed"/>
                              <w:tblCellMar>
                                <w:top w:w="0" w:type="dxa"/>
                                <w:left w:w="0" w:type="dxa"/>
                                <w:bottom w:w="0" w:type="dxa"/>
                                <w:right w:w="0" w:type="dxa"/>
                              </w:tblCellMar>
                            </w:tblPr>
                            <w:tblGrid>
                              <w:gridCol w:w="239"/>
                              <w:gridCol w:w="9906"/>
                            </w:tblGrid>
                            <w:tr>
                              <w:trPr/>
                              <w:tc>
                                <w:tcPr>
                                  <w:tcW w:w="239"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06"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shareholders or to nominate individuals to serve as directors? </w:t>
                                  </w:r>
                                </w:p>
                              </w:tc>
                            </w:tr>
                          </w:tbl>
                          <w:tbl>
                            <w:tblPr>
                              <w:tblW w:w="10145" w:type="dxa"/>
                              <w:jc w:val="left"/>
                              <w:tblInd w:w="60" w:type="dxa"/>
                              <w:tblLayout w:type="fixed"/>
                              <w:tblCellMar>
                                <w:top w:w="0" w:type="dxa"/>
                                <w:left w:w="0" w:type="dxa"/>
                                <w:bottom w:w="0" w:type="dxa"/>
                                <w:right w:w="0" w:type="dxa"/>
                              </w:tblCellMar>
                            </w:tblPr>
                            <w:tblGrid>
                              <w:gridCol w:w="232"/>
                              <w:gridCol w:w="9913"/>
                            </w:tblGrid>
                            <w:tr>
                              <w:trPr/>
                              <w:tc>
                                <w:tcPr>
                                  <w:tcW w:w="2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may submit proposals, including recommendations of director candidates, for consideration at future shareholder meetings. </w:t>
                                  </w:r>
                                </w:p>
                              </w:tc>
                            </w:tr>
                          </w:tbl>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inclusion in Fabrinet’s proxy materials – </w:t>
                            </w:r>
                            <w:r>
                              <w:rPr>
                                <w:rFonts w:ascii="Arial;Helvetica;sans-serif" w:hAnsi="Arial;Helvetica;sans-serif"/>
                                <w:b w:val="false"/>
                                <w:color w:val="000000"/>
                                <w:sz w:val="20"/>
                              </w:rPr>
                              <w:t>Shareholders may present proper proposals for inclusion in our proxy statement and for consideration at our next annual meeting of shareholders by submitting their proposals in writing to our Corporate Secretary in a timely manner. In order to be included in the proxy statement for our 2027 annual general meeting of shareholders, shareholder proposals must be received by our Corporate Secretary no later than June 22, 2027 and must otherwise comply with the requirements of Rule 14a-8 of the Securities Exchange Act of 1934, as amended (the “</w:t>
                            </w:r>
                            <w:r>
                              <w:rPr>
                                <w:rFonts w:ascii="Arial;Helvetica;sans-serif" w:hAnsi="Arial;Helvetica;sans-serif"/>
                                <w:b/>
                                <w:color w:val="000000"/>
                                <w:sz w:val="20"/>
                              </w:rPr>
                              <w:t>Exchange Act”</w:t>
                            </w:r>
                            <w:r>
                              <w:rPr>
                                <w:rFonts w:ascii="Arial;Helvetica;sans-serif" w:hAnsi="Arial;Helvetica;sans-serif"/>
                                <w:b w:val="false"/>
                                <w:color w:val="000000"/>
                                <w:sz w:val="20"/>
                              </w:rPr>
                              <w:t xml:space="preserv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To be brought before an annual meeting – </w:t>
                            </w:r>
                            <w:r>
                              <w:rPr>
                                <w:rFonts w:ascii="Arial;Helvetica;sans-serif" w:hAnsi="Arial;Helvetica;sans-serif"/>
                                <w:b w:val="false"/>
                                <w:color w:val="000000"/>
                                <w:sz w:val="20"/>
                              </w:rPr>
                              <w:t xml:space="preserve">In addition, our memorandum and articles of association establish an advance notice procedure for shareholders who wish to present certain matters before an annual general meeting of shareholders.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Nominations for the election of directors only can be made (1) by or at the direction of the Board, or (2) by a shareholder who has delivered written notice to our </w:t>
                            </w:r>
                          </w:p>
                        </w:txbxContent>
                      </wps:txbx>
                      <wps:bodyPr anchor="t" lIns="0" tIns="0" rIns="0" bIns="0">
                        <a:noAutofit/>
                      </wps:bodyPr>
                    </wps:wsp>
                  </a:graphicData>
                </a:graphic>
              </wp:anchor>
            </w:drawing>
          </mc:Choice>
          <mc:Fallback>
            <w:pict>
              <v:rect style="position:absolute;rotation:-0;width:246pt;height:554.05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jc w:val="left"/>
                        <w:rPr>
                          <w:sz w:val="4"/>
                          <w:szCs w:val="4"/>
                        </w:rPr>
                      </w:pPr>
                      <w:r>
                        <w:rPr>
                          <w:sz w:val="4"/>
                          <w:szCs w:val="4"/>
                        </w:rPr>
                      </w:r>
                      <w:bookmarkStart w:id="102" w:name="tQND17"/>
                      <w:bookmarkStart w:id="103" w:name="tQND17"/>
                      <w:bookmarkEnd w:id="103"/>
                    </w:p>
                    <w:tbl>
                      <w:tblPr>
                        <w:tblW w:w="6490" w:type="dxa"/>
                        <w:jc w:val="left"/>
                        <w:tblInd w:w="6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62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will bear the cost of soliciting votes for the Annual Meeting?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We have engaged Kingsdale Advisors as our shareholder advisor and proxy solicitation agent and will pay fees of approximately $20,500, plus certain out-of-pocket expenses, to Kingsdale Advisors to assist us with the solicitation of proxies. Our directors, officers and employees also may solicit proxies in person or by other means of communication. Such directors, officers and employees will not be additionally compensated, but may be reimbursed for reasonable out-of-pocket expenses in connection with such solicitation. </w:t>
                            </w:r>
                          </w:p>
                        </w:tc>
                      </w:tr>
                    </w:tbl>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choose to access the proxy materials and/or vote over the Internet, you are responsible for Internet access charges you may incur. If you choose to vote by telephone, you are responsible for telephone charges you may incur. </w:t>
                      </w:r>
                    </w:p>
                    <w:p>
                      <w:pPr>
                        <w:pStyle w:val="Normal"/>
                        <w:bidi w:val="0"/>
                        <w:spacing w:before="0" w:after="0"/>
                        <w:jc w:val="left"/>
                        <w:rPr>
                          <w:sz w:val="4"/>
                          <w:szCs w:val="4"/>
                        </w:rPr>
                      </w:pPr>
                      <w:r>
                        <w:rPr>
                          <w:sz w:val="4"/>
                          <w:szCs w:val="4"/>
                        </w:rPr>
                      </w:r>
                      <w:bookmarkStart w:id="104" w:name="tQND18"/>
                      <w:bookmarkStart w:id="105" w:name="tQND18"/>
                      <w:bookmarkEnd w:id="105"/>
                    </w:p>
                    <w:tbl>
                      <w:tblPr>
                        <w:tblW w:w="10145" w:type="dxa"/>
                        <w:jc w:val="left"/>
                        <w:tblInd w:w="60" w:type="dxa"/>
                        <w:tblLayout w:type="fixed"/>
                        <w:tblCellMar>
                          <w:top w:w="0" w:type="dxa"/>
                          <w:left w:w="0" w:type="dxa"/>
                          <w:bottom w:w="0" w:type="dxa"/>
                          <w:right w:w="0" w:type="dxa"/>
                        </w:tblCellMar>
                      </w:tblPr>
                      <w:tblGrid>
                        <w:gridCol w:w="239"/>
                        <w:gridCol w:w="9906"/>
                      </w:tblGrid>
                      <w:tr>
                        <w:trPr/>
                        <w:tc>
                          <w:tcPr>
                            <w:tcW w:w="239"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9906"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shareholders or to nominate individuals to serve as directors? </w:t>
                            </w:r>
                          </w:p>
                        </w:tc>
                      </w:tr>
                    </w:tbl>
                    <w:tbl>
                      <w:tblPr>
                        <w:tblW w:w="10145" w:type="dxa"/>
                        <w:jc w:val="left"/>
                        <w:tblInd w:w="60" w:type="dxa"/>
                        <w:tblLayout w:type="fixed"/>
                        <w:tblCellMar>
                          <w:top w:w="0" w:type="dxa"/>
                          <w:left w:w="0" w:type="dxa"/>
                          <w:bottom w:w="0" w:type="dxa"/>
                          <w:right w:w="0" w:type="dxa"/>
                        </w:tblCellMar>
                      </w:tblPr>
                      <w:tblGrid>
                        <w:gridCol w:w="232"/>
                        <w:gridCol w:w="9913"/>
                      </w:tblGrid>
                      <w:tr>
                        <w:trPr/>
                        <w:tc>
                          <w:tcPr>
                            <w:tcW w:w="2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1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Shareholders may submit proposals, including recommendations of director candidates, for consideration at future shareholder meetings. </w:t>
                            </w:r>
                          </w:p>
                        </w:tc>
                      </w:tr>
                    </w:tbl>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inclusion in Fabrinet’s proxy materials – </w:t>
                      </w:r>
                      <w:r>
                        <w:rPr>
                          <w:rFonts w:ascii="Arial;Helvetica;sans-serif" w:hAnsi="Arial;Helvetica;sans-serif"/>
                          <w:b w:val="false"/>
                          <w:color w:val="000000"/>
                          <w:sz w:val="20"/>
                        </w:rPr>
                        <w:t>Shareholders may present proper proposals for inclusion in our proxy statement and for consideration at our next annual meeting of shareholders by submitting their proposals in writing to our Corporate Secretary in a timely manner. In order to be included in the proxy statement for our 2027 annual general meeting of shareholders, shareholder proposals must be received by our Corporate Secretary no later than June 22, 2027 and must otherwise comply with the requirements of Rule 14a-8 of the Securities Exchange Act of 1934, as amended (the “</w:t>
                      </w:r>
                      <w:r>
                        <w:rPr>
                          <w:rFonts w:ascii="Arial;Helvetica;sans-serif" w:hAnsi="Arial;Helvetica;sans-serif"/>
                          <w:b/>
                          <w:color w:val="000000"/>
                          <w:sz w:val="20"/>
                        </w:rPr>
                        <w:t>Exchange Act”</w:t>
                      </w:r>
                      <w:r>
                        <w:rPr>
                          <w:rFonts w:ascii="Arial;Helvetica;sans-serif" w:hAnsi="Arial;Helvetica;sans-serif"/>
                          <w:b w:val="false"/>
                          <w:color w:val="000000"/>
                          <w:sz w:val="20"/>
                        </w:rPr>
                        <w:t xml:space="preserve">). </w:t>
                      </w:r>
                    </w:p>
                    <w:p>
                      <w:pPr>
                        <w:pStyle w:val="TextBody"/>
                        <w:bidi w:val="0"/>
                        <w:spacing w:before="120" w:after="283"/>
                        <w:ind w:left="38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To be brought before an annual meeting – </w:t>
                      </w:r>
                      <w:r>
                        <w:rPr>
                          <w:rFonts w:ascii="Arial;Helvetica;sans-serif" w:hAnsi="Arial;Helvetica;sans-serif"/>
                          <w:b w:val="false"/>
                          <w:color w:val="000000"/>
                          <w:sz w:val="20"/>
                        </w:rPr>
                        <w:t xml:space="preserve">In addition, our memorandum and articles of association establish an advance notice procedure for shareholders who wish to present certain matters before an annual general meeting of shareholders.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Nominations for the election of directors only can be made (1) by or at the direction of the Board, or (2) by a shareholder who has delivered written notice to our </w:t>
                      </w:r>
                    </w:p>
                  </w:txbxContent>
                </v:textbox>
                <w10:wrap type="square" side="right"/>
              </v:rect>
            </w:pict>
          </mc:Fallback>
        </mc:AlternateContent>
      </w:r>
      <w:r>
        <mc:AlternateContent>
          <mc:Choice Requires="wps">
            <w:drawing>
              <wp:anchor behindDoc="0" distT="0" distB="0" distL="228600" distR="0" simplePos="0" locked="0" layoutInCell="1" allowOverlap="1" relativeHeight="226">
                <wp:simplePos x="0" y="0"/>
                <wp:positionH relativeFrom="column">
                  <wp:align>left</wp:align>
                </wp:positionH>
                <wp:positionV relativeFrom="line">
                  <wp:posOffset>635</wp:posOffset>
                </wp:positionV>
                <wp:extent cx="3124200" cy="9251950"/>
                <wp:effectExtent l="0" t="0" r="0" b="0"/>
                <wp:wrapSquare wrapText="right"/>
                <wp:docPr id="105" name="Frame20"/>
                <a:graphic xmlns:a="http://schemas.openxmlformats.org/drawingml/2006/main">
                  <a:graphicData uri="http://schemas.microsoft.com/office/word/2010/wordprocessingShape">
                    <wps:wsp>
                      <wps:cNvSpPr txBox="1"/>
                      <wps:spPr>
                        <a:xfrm>
                          <a:off x="0" y="0"/>
                          <a:ext cx="3124200" cy="9251950"/>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Corporate Secretary within the Notice Period (as defined below) and who was a shareholder at the time of such notice and as of the record date for such meeting. The notice must contain specified information about the nominees and about the shareholder proposing such nominations.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Our memorandum and articles of association also provide that the only business that may be conducted at an annual meeting is business that is (1) properly brought before the meeting in accordance with our proxy materials with respect to such meeting, (2) properly brought before the meeting by or at the direction of the Board, or (3) properly brought before the meeting by a shareholder who has delivered written notice to our Corporate Secretary, c/o Fabrinet USA, Inc., 4900 Patrick Henry Drive, Santa Clara, CA 95054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“Notice Period” is defined as that period not less than 45 days nor more than 75 days prior to the one-year anniversary of the date on which we first mailed our proxy materials or a notice of availability of proxy materials (whichever is earlier) to shareholders in connection with the preceding year’s annual general meeting of shareholders. As a result, the Notice Period for our 2027 annual general meeting of shareholders will start on August 6, 2027 and end on September 5, 2027.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comply with Rule 14a-19 of the Exchange Act, shareholders who intend to solicit proxies in support of director nominees (other than our nominees) at our 2027 annual general meeting of shareholders must provide notice to our Corporate Secretary that sets forth the information required by Rule 14a-19 under the Exchange Act no later than October 11, 2027. Please note that the notice requirement under Rule 14a-19 is in addition to the applicable notice requirements under the advance notice provisions of our memorandum and articles of association as described above.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shareholder who has notified us of his or her intention to present a proposal at an annual meeting does not appear to present his or her proposal at such meeting, we are not required to present the proposal for vote at such meeting.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 copy of the full text of the provisions of our memorandum and articles of association discussed above may be obtained by writing to our Corporate </w:t>
                            </w:r>
                          </w:p>
                        </w:txbxContent>
                      </wps:txbx>
                      <wps:bodyPr anchor="t" lIns="0" tIns="0" rIns="0" bIns="0">
                        <a:noAutofit/>
                      </wps:bodyPr>
                    </wps:wsp>
                  </a:graphicData>
                </a:graphic>
              </wp:anchor>
            </w:drawing>
          </mc:Choice>
          <mc:Fallback>
            <w:pict>
              <v:rect style="position:absolute;rotation:-0;width:246pt;height:72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Corporate Secretary within the Notice Period (as defined below) and who was a shareholder at the time of such notice and as of the record date for such meeting. The notice must contain specified information about the nominees and about the shareholder proposing such nominations.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Our memorandum and articles of association also provide that the only business that may be conducted at an annual meeting is business that is (1) properly brought before the meeting in accordance with our proxy materials with respect to such meeting, (2) properly brought before the meeting by or at the direction of the Board, or (3) properly brought before the meeting by a shareholder who has delivered written notice to our Corporate Secretary, c/o Fabrinet USA, Inc., 4900 Patrick Henry Drive, Santa Clara, CA 95054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“Notice Period” is defined as that period not less than 45 days nor more than 75 days prior to the one-year anniversary of the date on which we first mailed our proxy materials or a notice of availability of proxy materials (whichever is earlier) to shareholders in connection with the preceding year’s annual general meeting of shareholders. As a result, the Notice Period for our 2027 annual general meeting of shareholders will start on August 6, 2027 and end on September 5, 2027.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comply with Rule 14a-19 of the Exchange Act, shareholders who intend to solicit proxies in support of director nominees (other than our nominees) at our 2027 annual general meeting of shareholders must provide notice to our Corporate Secretary that sets forth the information required by Rule 14a-19 under the Exchange Act no later than October 11, 2027. Please note that the notice requirement under Rule 14a-19 is in addition to the applicable notice requirements under the advance notice provisions of our memorandum and articles of association as described above.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If a shareholder who has notified us of his or her intention to present a proposal at an annual meeting does not appear to present his or her proposal at such meeting, we are not required to present the proposal for vote at such meeting.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 copy of the full text of the provisions of our memorandum and articles of association discussed above may be obtained by writing to our Corporate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0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6" descr=""/>
                          <pic:cNvPicPr>
                            <a:picLocks noChangeAspect="1" noChangeArrowheads="1"/>
                          </pic:cNvPicPr>
                        </pic:nvPicPr>
                        <pic:blipFill>
                          <a:blip r:embed="rId8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81940x1_def14a_105-qa_pg7"/>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QUESTIONS AND ANSWERS ABOUT THE ANNUAL MEETING AND PROCEDURAL MATTERS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3124200" cy="2916555"/>
                <wp:effectExtent l="0" t="0" r="0" b="0"/>
                <wp:wrapSquare wrapText="right"/>
                <wp:docPr id="107" name="Frame21"/>
                <a:graphic xmlns:a="http://schemas.openxmlformats.org/drawingml/2006/main">
                  <a:graphicData uri="http://schemas.microsoft.com/office/word/2010/wordprocessingShape">
                    <wps:wsp>
                      <wps:cNvSpPr txBox="1"/>
                      <wps:spPr>
                        <a:xfrm>
                          <a:off x="0" y="0"/>
                          <a:ext cx="3124200" cy="2916555"/>
                        </a:xfrm>
                        <a:prstGeom prst="rect"/>
                        <a:solidFill>
                          <a:srgbClr val="FFFFFF"/>
                        </a:solidFill>
                      </wps:spPr>
                      <wps:txb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Secretary, c/o Fabrinet USA, Inc., 4900 Patrick Henry Drive, Santa Clara, CA 95054, or by accessing Fabrinet’s filings on the SEC’s website at www.sec.gov.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notices of proposals by shareholders, whether or not included in our proxy materials, should be sent to our Corporate Secretary, c/o Fabrinet USA, Inc., 4900 Patrick Henry Drive, Santa Clara, CA 95054. </w:t>
                            </w:r>
                          </w:p>
                          <w:p>
                            <w:pPr>
                              <w:pStyle w:val="Normal"/>
                              <w:bidi w:val="0"/>
                              <w:spacing w:before="0" w:after="0"/>
                              <w:jc w:val="left"/>
                              <w:rPr>
                                <w:sz w:val="4"/>
                                <w:szCs w:val="4"/>
                              </w:rPr>
                            </w:pPr>
                            <w:r>
                              <w:rPr>
                                <w:sz w:val="4"/>
                                <w:szCs w:val="4"/>
                              </w:rPr>
                            </w:r>
                            <w:bookmarkStart w:id="107" w:name="tQND19"/>
                            <w:bookmarkStart w:id="108" w:name="tQND19"/>
                            <w:bookmarkEnd w:id="108"/>
                          </w:p>
                          <w:tbl>
                            <w:tblPr>
                              <w:tblW w:w="8305" w:type="dxa"/>
                              <w:jc w:val="left"/>
                              <w:tblInd w:w="6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0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may I obtain a separate set of proxy materials or the Fiscal 2026 Annual Report?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share an address with another shareholder, each shareholder may not receive a separate copy of our proxy materials and Fiscal 2026 Annual Report. Upon written request we will promptly send a separate copy of our proxy materials and Fiscal 2026 Annual Report, without charge, to any shareholder at a shared address where a single copy of the documents was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Secretary, c/o Fabrinet USA, Inc., 4900 Patrick Henry Drive, Santa Clara, CA 95054, or by accessing Fabrinet’s filings on the SEC’s website at www.sec.gov. </w:t>
                      </w:r>
                    </w:p>
                    <w:p>
                      <w:pPr>
                        <w:pStyle w:val="TextBody"/>
                        <w:bidi w:val="0"/>
                        <w:spacing w:before="120" w:after="283"/>
                        <w:ind w:left="380" w:right="0" w:hanging="0"/>
                        <w:jc w:val="both"/>
                        <w:rPr>
                          <w:rFonts w:ascii="Arial;Helvetica;sans-serif" w:hAnsi="Arial;Helvetica;sans-serif"/>
                          <w:color w:val="000000"/>
                          <w:sz w:val="20"/>
                        </w:rPr>
                      </w:pPr>
                      <w:r>
                        <w:rPr>
                          <w:rFonts w:ascii="Arial;Helvetica;sans-serif" w:hAnsi="Arial;Helvetica;sans-serif"/>
                          <w:color w:val="000000"/>
                          <w:sz w:val="20"/>
                        </w:rPr>
                        <w:t xml:space="preserve">All notices of proposals by shareholders, whether or not included in our proxy materials, should be sent to our Corporate Secretary, c/o Fabrinet USA, Inc., 4900 Patrick Henry Drive, Santa Clara, CA 95054. </w:t>
                      </w:r>
                    </w:p>
                    <w:p>
                      <w:pPr>
                        <w:pStyle w:val="Normal"/>
                        <w:bidi w:val="0"/>
                        <w:spacing w:before="0" w:after="0"/>
                        <w:jc w:val="left"/>
                        <w:rPr>
                          <w:sz w:val="4"/>
                          <w:szCs w:val="4"/>
                        </w:rPr>
                      </w:pPr>
                      <w:r>
                        <w:rPr>
                          <w:sz w:val="4"/>
                          <w:szCs w:val="4"/>
                        </w:rPr>
                      </w:r>
                      <w:bookmarkStart w:id="109" w:name="tQND19"/>
                      <w:bookmarkStart w:id="110" w:name="tQND19"/>
                      <w:bookmarkEnd w:id="110"/>
                    </w:p>
                    <w:tbl>
                      <w:tblPr>
                        <w:tblW w:w="8305" w:type="dxa"/>
                        <w:jc w:val="left"/>
                        <w:tblInd w:w="6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80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may I obtain a separate set of proxy materials or the Fiscal 2026 Annual Report?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If you share an address with another shareholder, each shareholder may not receive a separate copy of our proxy materials and Fiscal 2026 Annual Report. Upon written request we will promptly send a separate copy of our proxy materials and Fiscal 2026 Annual Report, without charge, to any shareholder at a shared address where a single copy of the documents was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28">
                <wp:simplePos x="0" y="0"/>
                <wp:positionH relativeFrom="column">
                  <wp:align>left</wp:align>
                </wp:positionH>
                <wp:positionV relativeFrom="line">
                  <wp:posOffset>635</wp:posOffset>
                </wp:positionV>
                <wp:extent cx="3124200" cy="2660650"/>
                <wp:effectExtent l="0" t="0" r="0" b="0"/>
                <wp:wrapSquare wrapText="right"/>
                <wp:docPr id="108" name="Frame22"/>
                <a:graphic xmlns:a="http://schemas.openxmlformats.org/drawingml/2006/main">
                  <a:graphicData uri="http://schemas.microsoft.com/office/word/2010/wordprocessingShape">
                    <wps:wsp>
                      <wps:cNvSpPr txBox="1"/>
                      <wps:spPr>
                        <a:xfrm>
                          <a:off x="0" y="0"/>
                          <a:ext cx="3124200" cy="2660650"/>
                        </a:xfrm>
                        <a:prstGeom prst="rect"/>
                        <a:solidFill>
                          <a:srgbClr val="FFFFFF"/>
                        </a:solidFill>
                      </wps:spPr>
                      <wps:txb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delivered. Shareholders may request additional copies of our proxy materials and Fiscal 2026 Annual Report by contacting our investor relations at IR@fabrinet.com, or writing to Fabrinet, c/o Fabrinet USA, Inc., 4900 Patrick Henry Drive, Santa Clara, CA 95054, Attention: Investor Relations. Shareholders who share an address and received multiple copies of our proxy materials and Fiscal 2026 Annual Report can also request to receive a single copy by following the instructions above. </w:t>
                            </w:r>
                          </w:p>
                          <w:p>
                            <w:pPr>
                              <w:pStyle w:val="Normal"/>
                              <w:bidi w:val="0"/>
                              <w:spacing w:before="0" w:after="0"/>
                              <w:jc w:val="left"/>
                              <w:rPr>
                                <w:sz w:val="4"/>
                                <w:szCs w:val="4"/>
                              </w:rPr>
                            </w:pPr>
                            <w:r>
                              <w:rPr>
                                <w:sz w:val="4"/>
                                <w:szCs w:val="4"/>
                              </w:rPr>
                            </w:r>
                            <w:bookmarkStart w:id="111" w:name="tQND20"/>
                            <w:bookmarkStart w:id="112" w:name="tQND20"/>
                            <w:bookmarkEnd w:id="112"/>
                          </w:p>
                          <w:tbl>
                            <w:tblPr>
                              <w:tblW w:w="4045" w:type="dxa"/>
                              <w:jc w:val="left"/>
                              <w:tblInd w:w="6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7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Whom do I contact if I have questions?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If you have any questions or need assistance completing your proxy or voting instruction form, please contact Kingsdale Advisors by telephone at (866) 228-3049 (toll-free within North America) or (646) 741-3814 (call collect outside of North America), or by email at contactus@kingsdaleadvisors.com.</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0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360" w:right="0" w:hanging="0"/>
                        <w:jc w:val="both"/>
                        <w:rPr>
                          <w:rFonts w:ascii="Arial;Helvetica;sans-serif" w:hAnsi="Arial;Helvetica;sans-serif"/>
                          <w:color w:val="000000"/>
                          <w:sz w:val="20"/>
                        </w:rPr>
                      </w:pPr>
                      <w:r>
                        <w:rPr>
                          <w:rFonts w:ascii="Arial;Helvetica;sans-serif" w:hAnsi="Arial;Helvetica;sans-serif"/>
                          <w:color w:val="000000"/>
                          <w:sz w:val="20"/>
                        </w:rPr>
                        <w:t xml:space="preserve">delivered. Shareholders may request additional copies of our proxy materials and Fiscal 2026 Annual Report by contacting our investor relations at IR@fabrinet.com, or writing to Fabrinet, c/o Fabrinet USA, Inc., 4900 Patrick Henry Drive, Santa Clara, CA 95054, Attention: Investor Relations. Shareholders who share an address and received multiple copies of our proxy materials and Fiscal 2026 Annual Report can also request to receive a single copy by following the instructions above. </w:t>
                      </w:r>
                    </w:p>
                    <w:p>
                      <w:pPr>
                        <w:pStyle w:val="Normal"/>
                        <w:bidi w:val="0"/>
                        <w:spacing w:before="0" w:after="0"/>
                        <w:jc w:val="left"/>
                        <w:rPr>
                          <w:sz w:val="4"/>
                          <w:szCs w:val="4"/>
                        </w:rPr>
                      </w:pPr>
                      <w:r>
                        <w:rPr>
                          <w:sz w:val="4"/>
                          <w:szCs w:val="4"/>
                        </w:rPr>
                      </w:r>
                      <w:bookmarkStart w:id="113" w:name="tQND20"/>
                      <w:bookmarkStart w:id="114" w:name="tQND20"/>
                      <w:bookmarkEnd w:id="114"/>
                    </w:p>
                    <w:tbl>
                      <w:tblPr>
                        <w:tblW w:w="4045" w:type="dxa"/>
                        <w:jc w:val="left"/>
                        <w:tblInd w:w="6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Q:</w:t>
                            </w:r>
                          </w:p>
                        </w:tc>
                        <w:tc>
                          <w:tcPr>
                            <w:tcW w:w="37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Whom do I contact if I have questions? </w:t>
                            </w:r>
                          </w:p>
                        </w:tc>
                      </w:tr>
                    </w:tbl>
                    <w:tbl>
                      <w:tblPr>
                        <w:tblW w:w="10145" w:type="dxa"/>
                        <w:jc w:val="left"/>
                        <w:tblInd w:w="60" w:type="dxa"/>
                        <w:tblLayout w:type="fixed"/>
                        <w:tblCellMar>
                          <w:top w:w="0" w:type="dxa"/>
                          <w:left w:w="0" w:type="dxa"/>
                          <w:bottom w:w="0" w:type="dxa"/>
                          <w:right w:w="0" w:type="dxa"/>
                        </w:tblCellMar>
                      </w:tblPr>
                      <w:tblGrid>
                        <w:gridCol w:w="202"/>
                        <w:gridCol w:w="9943"/>
                      </w:tblGrid>
                      <w:tr>
                        <w:trPr/>
                        <w:tc>
                          <w:tcPr>
                            <w:tcW w:w="2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4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If you have any questions or need assistance completing your proxy or voting instruction form, please contact Kingsdale Advisors by telephone at (866) 228-3049 (toll-free within North America) or (646) 741-3814 (call collect outside of North America), or by email at contactus@kingsdaleadvisors.com.</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0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 descr=""/>
                          <pic:cNvPicPr>
                            <a:picLocks noChangeAspect="1" noChangeArrowheads="1"/>
                          </pic:cNvPicPr>
                        </pic:nvPicPr>
                        <pic:blipFill>
                          <a:blip r:embed="rId8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81940x1_def14a_105-qa_pg8"/>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16" w:name="tFYE"/>
      <w:bookmarkEnd w:id="116"/>
      <w:r>
        <w:rPr>
          <w:rFonts w:ascii="Arial;Helvetica;sans-serif" w:hAnsi="Arial;Helvetica;sans-serif"/>
          <w:b/>
          <w:color w:val="578255"/>
          <w:sz w:val="44"/>
        </w:rPr>
        <w:t xml:space="preserve">FISCAL YEAR END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provides information about the matters to be voted on at the Annual Meeting and additional information about Fabrinet and its executive officers and directors. Some of the information is provided as of the end of our 2024, 2025 or 2026 fiscal years, and some information is more recent. Our fiscal years end on the last Friday of June of each calendar year. Our 2024, 2025 and 2026 fiscal years ended on June 28, 2024, June 27, 2025 and June 26, 2026, respectively. Our 2027 fiscal year will end on June 25, 2027. </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1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8" descr=""/>
                          <pic:cNvPicPr>
                            <a:picLocks noChangeAspect="1" noChangeArrowheads="1"/>
                          </pic:cNvPicPr>
                        </pic:nvPicPr>
                        <pic:blipFill>
                          <a:blip r:embed="rId8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81940x1_def14a_106-prop1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18" w:name="tPROP1"/>
      <w:bookmarkEnd w:id="118"/>
      <w:r>
        <w:rPr>
          <w:rFonts w:ascii="Arial;Helvetica;sans-serif" w:hAnsi="Arial;Helvetica;sans-serif"/>
          <w:b/>
          <w:color w:val="578255"/>
          <w:sz w:val="44"/>
        </w:rPr>
        <w:t xml:space="preserve">PROPOSAL ONE: ELECTION OF DIRECTORS </w:t>
      </w:r>
    </w:p>
    <w:p>
      <w:pPr>
        <w:pStyle w:val="TextBody"/>
        <w:bidi w:val="0"/>
        <w:spacing w:before="380" w:after="283"/>
        <w:ind w:left="0" w:right="0" w:hanging="0"/>
        <w:jc w:val="left"/>
        <w:rPr>
          <w:rFonts w:ascii="Arial;Helvetica;sans-serif" w:hAnsi="Arial;Helvetica;sans-serif"/>
          <w:b/>
          <w:color w:val="000000"/>
          <w:sz w:val="28"/>
        </w:rPr>
      </w:pPr>
      <w:bookmarkStart w:id="119" w:name="tPRP1"/>
      <w:bookmarkEnd w:id="119"/>
      <w:r>
        <w:rPr>
          <w:rFonts w:ascii="Arial;Helvetica;sans-serif" w:hAnsi="Arial;Helvetica;sans-serif"/>
          <w:b/>
          <w:color w:val="000000"/>
          <w:sz w:val="28"/>
        </w:rPr>
        <w:t xml:space="preserve">General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124200" cy="962025"/>
                <wp:effectExtent l="0" t="0" r="0" b="0"/>
                <wp:wrapSquare wrapText="right"/>
                <wp:docPr id="111" name="Frame23"/>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amended and restated memorandum and articles of association provide that the number of our directors will be fixed from time to time by the Board, but may not consist of more than 15 directors. The Board presently consists of six directors who are divided into three classes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amended and restated memorandum and articles of association provide that the number of our directors will be fixed from time to time by the Board, but may not consist of more than 15 directors. The Board presently consists of six directors who are divided into three classes </w:t>
                      </w:r>
                    </w:p>
                  </w:txbxContent>
                </v:textbox>
                <w10:wrap type="square" side="right"/>
              </v:rect>
            </w:pict>
          </mc:Fallback>
        </mc:AlternateContent>
      </w:r>
      <w:r>
        <mc:AlternateContent>
          <mc:Choice Requires="wps">
            <w:drawing>
              <wp:anchor behindDoc="0" distT="0" distB="0" distL="228600" distR="0" simplePos="0" locked="0" layoutInCell="1" allowOverlap="1" relativeHeight="230">
                <wp:simplePos x="0" y="0"/>
                <wp:positionH relativeFrom="column">
                  <wp:align>left</wp:align>
                </wp:positionH>
                <wp:positionV relativeFrom="line">
                  <wp:posOffset>635</wp:posOffset>
                </wp:positionV>
                <wp:extent cx="3124200" cy="815975"/>
                <wp:effectExtent l="0" t="0" r="0" b="0"/>
                <wp:wrapSquare wrapText="right"/>
                <wp:docPr id="112" name="Frame24"/>
                <a:graphic xmlns:a="http://schemas.openxmlformats.org/drawingml/2006/main">
                  <a:graphicData uri="http://schemas.microsoft.com/office/word/2010/wordprocessingShape">
                    <wps:wsp>
                      <wps:cNvSpPr txBox="1"/>
                      <wps:spPr>
                        <a:xfrm>
                          <a:off x="0" y="0"/>
                          <a:ext cx="3124200" cy="8159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overlapping three-year terms as set forth below. Upon expiration of the term of a class of directors, director nominees for that class will be elected for three-year terms at the annual general meeting of shareholders in the year in which that term expires. </w:t>
                            </w:r>
                          </w:p>
                        </w:txbxContent>
                      </wps:txbx>
                      <wps:bodyPr anchor="t" lIns="0" tIns="0" rIns="0" bIns="0">
                        <a:noAutofit/>
                      </wps:bodyPr>
                    </wps:wsp>
                  </a:graphicData>
                </a:graphic>
              </wp:anchor>
            </w:drawing>
          </mc:Choice>
          <mc:Fallback>
            <w:pict>
              <v:rect style="position:absolute;rotation:-0;width:246pt;height:64.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overlapping three-year terms as set forth below. Upon expiration of the term of a class of directors, director nominees for that class will be elected for three-year terms at the annual general meeting of shareholders in the year in which that term expires. </w:t>
                      </w:r>
                    </w:p>
                  </w:txbxContent>
                </v:textbox>
                <w10:wrap type="square" side="right"/>
              </v:rect>
            </w:pict>
          </mc:Fallback>
        </mc:AlternateContent>
      </w:r>
    </w:p>
    <w:tbl>
      <w:tblPr>
        <w:tblW w:w="8685" w:type="dxa"/>
        <w:jc w:val="left"/>
        <w:tblInd w:w="0" w:type="dxa"/>
        <w:tblLayout w:type="fixed"/>
        <w:tblCellMar>
          <w:top w:w="0" w:type="dxa"/>
          <w:left w:w="0" w:type="dxa"/>
          <w:bottom w:w="0" w:type="dxa"/>
          <w:right w:w="0" w:type="dxa"/>
        </w:tblCellMar>
      </w:tblPr>
      <w:tblGrid>
        <w:gridCol w:w="185"/>
        <w:gridCol w:w="2195"/>
        <w:gridCol w:w="170"/>
        <w:gridCol w:w="170"/>
        <w:gridCol w:w="3215"/>
        <w:gridCol w:w="170"/>
        <w:gridCol w:w="170"/>
        <w:gridCol w:w="2195"/>
        <w:gridCol w:w="215"/>
      </w:tblGrid>
      <w:tr>
        <w:trPr/>
        <w:tc>
          <w:tcPr>
            <w:tcW w:w="185"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2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Class I Directors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(Terms Expire in 2028)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21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Class II Directors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(Terms Expire at Annual Meeting)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19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Class III Directors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(Terms Expire in 2027)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Dr. Homa Bahrami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Seamus Grady</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Forbes I.J. Alexander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Caroline Dowling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Thomas F. Kelly</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Dr. Frank H. Levinson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025" w:type="dxa"/>
        <w:jc w:val="left"/>
        <w:tblInd w:w="0" w:type="dxa"/>
        <w:tblLayout w:type="fixed"/>
        <w:tblCellMar>
          <w:top w:w="0" w:type="dxa"/>
          <w:left w:w="0" w:type="dxa"/>
          <w:bottom w:w="0" w:type="dxa"/>
          <w:right w:w="0" w:type="dxa"/>
        </w:tblCellMar>
      </w:tblPr>
      <w:tblGrid>
        <w:gridCol w:w="230"/>
        <w:gridCol w:w="579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57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Nominee for election at the Annual Meeting for a three-year term expiring in 2029. </w:t>
            </w:r>
          </w:p>
        </w:tc>
      </w:tr>
    </w:tbl>
    <w:p>
      <w:pPr>
        <w:pStyle w:val="TextBody"/>
        <w:bidi w:val="0"/>
        <w:spacing w:before="480" w:after="283"/>
        <w:ind w:left="0" w:right="0" w:hanging="0"/>
        <w:jc w:val="left"/>
        <w:rPr>
          <w:rFonts w:ascii="Arial;Helvetica;sans-serif" w:hAnsi="Arial;Helvetica;sans-serif"/>
          <w:b/>
          <w:color w:val="000000"/>
          <w:sz w:val="28"/>
        </w:rPr>
      </w:pPr>
      <w:bookmarkStart w:id="120" w:name="tPRP2"/>
      <w:bookmarkEnd w:id="120"/>
      <w:r>
        <w:rPr>
          <w:rFonts w:ascii="Arial;Helvetica;sans-serif" w:hAnsi="Arial;Helvetica;sans-serif"/>
          <w:b/>
          <w:color w:val="000000"/>
          <w:sz w:val="28"/>
        </w:rPr>
        <w:t xml:space="preserve">Nominees for Director </w:t>
      </w:r>
    </w:p>
    <w:p>
      <w:pPr>
        <w:pStyle w:val="TextBody"/>
        <w:bidi w:val="0"/>
        <w:spacing w:before="430" w:after="283"/>
        <w:ind w:left="0" w:right="0" w:hanging="0"/>
        <w:jc w:val="left"/>
        <w:rPr>
          <w:rFonts w:ascii="Arial;Helvetica;sans-serif" w:hAnsi="Arial;Helvetica;sans-serif"/>
          <w:b/>
          <w:color w:val="000000"/>
          <w:sz w:val="28"/>
        </w:rPr>
      </w:pPr>
      <w:bookmarkStart w:id="121" w:name="tPRP3"/>
      <w:bookmarkEnd w:id="121"/>
      <w:r>
        <w:rPr>
          <w:rFonts w:ascii="Arial;Helvetica;sans-serif" w:hAnsi="Arial;Helvetica;sans-serif"/>
          <w:b/>
          <w:color w:val="000000"/>
          <w:sz w:val="28"/>
        </w:rPr>
        <w:t xml:space="preserve">Recommendation of the Board of Directors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3124200" cy="2678430"/>
                <wp:effectExtent l="0" t="0" r="0" b="0"/>
                <wp:wrapSquare wrapText="right"/>
                <wp:docPr id="113" name="Frame25"/>
                <a:graphic xmlns:a="http://schemas.openxmlformats.org/drawingml/2006/main">
                  <a:graphicData uri="http://schemas.microsoft.com/office/word/2010/wordprocessingShape">
                    <wps:wsp>
                      <wps:cNvSpPr txBox="1"/>
                      <wps:spPr>
                        <a:xfrm>
                          <a:off x="0" y="0"/>
                          <a:ext cx="3124200" cy="26784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Two candidates have been nominated for election at the Annual Meeting as Class II directors for a three-year term expiring in 2029. Upon the recommendation of the Nominating &amp; Corporate Governance Committee, the Board nominated </w:t>
                            </w:r>
                            <w:r>
                              <w:rPr>
                                <w:rFonts w:ascii="Arial;Helvetica;sans-serif" w:hAnsi="Arial;Helvetica;sans-serif"/>
                                <w:b/>
                                <w:color w:val="000000"/>
                                <w:sz w:val="20"/>
                              </w:rPr>
                              <w:t>Seamus Grady</w:t>
                            </w:r>
                            <w:r>
                              <w:rPr>
                                <w:rFonts w:ascii="Arial;Helvetica;sans-serif" w:hAnsi="Arial;Helvetica;sans-serif"/>
                                <w:color w:val="000000"/>
                                <w:sz w:val="20"/>
                              </w:rPr>
                              <w:t xml:space="preserve"> and </w:t>
                            </w:r>
                            <w:r>
                              <w:rPr>
                                <w:rFonts w:ascii="Arial;Helvetica;sans-serif" w:hAnsi="Arial;Helvetica;sans-serif"/>
                                <w:b/>
                                <w:color w:val="000000"/>
                                <w:sz w:val="20"/>
                              </w:rPr>
                              <w:t>Thomas F. Kelly</w:t>
                            </w:r>
                            <w:r>
                              <w:rPr>
                                <w:rFonts w:ascii="Arial;Helvetica;sans-serif" w:hAnsi="Arial;Helvetica;sans-serif"/>
                                <w:color w:val="000000"/>
                                <w:sz w:val="20"/>
                              </w:rPr>
                              <w:t xml:space="preserve"> for election as Class II directors. Biographical information for each of the nominees is set forth below.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nominee has consented to being named in this proxy statement and to serving as a director if elected, and we have no reason to believe any nominee will be unavailable to serve. In the event Mr. Grady or Mr. Kelly is unable or declines to serve as a director at the time of the Annual Meeting, the proxies will be voted for any nominee who may be proposed by the Nominating &amp; </w:t>
                            </w:r>
                          </w:p>
                        </w:txbxContent>
                      </wps:txbx>
                      <wps:bodyPr anchor="t" lIns="0" tIns="0" rIns="0" bIns="0">
                        <a:noAutofit/>
                      </wps:bodyPr>
                    </wps:wsp>
                  </a:graphicData>
                </a:graphic>
              </wp:anchor>
            </w:drawing>
          </mc:Choice>
          <mc:Fallback>
            <w:pict>
              <v:rect style="position:absolute;rotation:-0;width:246pt;height:2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Two candidates have been nominated for election at the Annual Meeting as Class II directors for a three-year term expiring in 2029. Upon the recommendation of the Nominating &amp; Corporate Governance Committee, the Board nominated </w:t>
                      </w:r>
                      <w:r>
                        <w:rPr>
                          <w:rFonts w:ascii="Arial;Helvetica;sans-serif" w:hAnsi="Arial;Helvetica;sans-serif"/>
                          <w:b/>
                          <w:color w:val="000000"/>
                          <w:sz w:val="20"/>
                        </w:rPr>
                        <w:t>Seamus Grady</w:t>
                      </w:r>
                      <w:r>
                        <w:rPr>
                          <w:rFonts w:ascii="Arial;Helvetica;sans-serif" w:hAnsi="Arial;Helvetica;sans-serif"/>
                          <w:color w:val="000000"/>
                          <w:sz w:val="20"/>
                        </w:rPr>
                        <w:t xml:space="preserve"> and </w:t>
                      </w:r>
                      <w:r>
                        <w:rPr>
                          <w:rFonts w:ascii="Arial;Helvetica;sans-serif" w:hAnsi="Arial;Helvetica;sans-serif"/>
                          <w:b/>
                          <w:color w:val="000000"/>
                          <w:sz w:val="20"/>
                        </w:rPr>
                        <w:t>Thomas F. Kelly</w:t>
                      </w:r>
                      <w:r>
                        <w:rPr>
                          <w:rFonts w:ascii="Arial;Helvetica;sans-serif" w:hAnsi="Arial;Helvetica;sans-serif"/>
                          <w:color w:val="000000"/>
                          <w:sz w:val="20"/>
                        </w:rPr>
                        <w:t xml:space="preserve"> for election as Class II directors. Biographical information for each of the nominees is set forth below.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nominee has consented to being named in this proxy statement and to serving as a director if elected, and we have no reason to believe any nominee will be unavailable to serve. In the event Mr. Grady or Mr. Kelly is unable or declines to serve as a director at the time of the Annual Meeting, the proxies will be voted for any nominee who may be proposed by the Nominating &amp; </w:t>
                      </w:r>
                    </w:p>
                  </w:txbxContent>
                </v:textbox>
                <w10:wrap type="square" side="right"/>
              </v:rect>
            </w:pict>
          </mc:Fallback>
        </mc:AlternateContent>
      </w:r>
      <w:r>
        <mc:AlternateContent>
          <mc:Choice Requires="wps">
            <w:drawing>
              <wp:anchor behindDoc="0" distT="0" distB="0" distL="228600" distR="0" simplePos="0" locked="0" layoutInCell="1" allowOverlap="1" relativeHeight="232">
                <wp:simplePos x="0" y="0"/>
                <wp:positionH relativeFrom="column">
                  <wp:align>left</wp:align>
                </wp:positionH>
                <wp:positionV relativeFrom="line">
                  <wp:posOffset>635</wp:posOffset>
                </wp:positionV>
                <wp:extent cx="3124200" cy="2386330"/>
                <wp:effectExtent l="0" t="0" r="0" b="0"/>
                <wp:wrapSquare wrapText="right"/>
                <wp:docPr id="114" name="Frame26"/>
                <a:graphic xmlns:a="http://schemas.openxmlformats.org/drawingml/2006/main">
                  <a:graphicData uri="http://schemas.microsoft.com/office/word/2010/wordprocessingShape">
                    <wps:wsp>
                      <wps:cNvSpPr txBox="1"/>
                      <wps:spPr>
                        <a:xfrm>
                          <a:off x="0" y="0"/>
                          <a:ext cx="3124200" cy="23863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Corporate Governance Committee and designated by the Board to fill the vacancy.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sign your proxy or voting instruction card or vote by telephone or over the Internet, but do not give instructions with respect to the election of directors, your shares will be voted for the two persons recommended by the Board.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 Your proxy cannot be voted for more than two director candidates. </w:t>
                            </w:r>
                          </w:p>
                        </w:txbxContent>
                      </wps:txbx>
                      <wps:bodyPr anchor="t" lIns="0" tIns="0" rIns="0" bIns="0">
                        <a:noAutofit/>
                      </wps:bodyPr>
                    </wps:wsp>
                  </a:graphicData>
                </a:graphic>
              </wp:anchor>
            </w:drawing>
          </mc:Choice>
          <mc:Fallback>
            <w:pict>
              <v:rect style="position:absolute;rotation:-0;width:246pt;height:187.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Corporate Governance Committee and designated by the Board to fill the vacancy.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sign your proxy or voting instruction card or vote by telephone or over the Internet, but do not give instructions with respect to the election of directors, your shares will be voted for the two persons recommended by the Board.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 Your proxy cannot be voted for more than two director candidates. </w:t>
                      </w:r>
                    </w:p>
                  </w:txbxContent>
                </v:textbox>
                <w10:wrap type="square" side="right"/>
              </v:rect>
            </w:pict>
          </mc:Fallback>
        </mc:AlternateConten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000000"/>
          <w:sz w:val="20"/>
        </w:rPr>
        <w:t>FOR</w:t>
      </w:r>
      <w:r>
        <w:rPr>
          <w:rFonts w:ascii="Arial;Helvetica;sans-serif" w:hAnsi="Arial;Helvetica;sans-serif"/>
          <w:color w:val="000000"/>
          <w:sz w:val="20"/>
        </w:rPr>
        <w:t>” the election of each of the nominees listed above.</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1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9" descr=""/>
                          <pic:cNvPicPr>
                            <a:picLocks noChangeAspect="1" noChangeArrowheads="1"/>
                          </pic:cNvPicPr>
                        </pic:nvPicPr>
                        <pic:blipFill>
                          <a:blip r:embed="rId9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81940x1_def14a_106-prop1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p>
      <w:pPr>
        <w:pStyle w:val="TextBody"/>
        <w:bidi w:val="0"/>
        <w:spacing w:before="190" w:after="283"/>
        <w:ind w:left="60" w:right="0" w:hanging="0"/>
        <w:jc w:val="left"/>
        <w:rPr>
          <w:rFonts w:ascii="Arial;Helvetica;sans-serif" w:hAnsi="Arial;Helvetica;sans-serif"/>
          <w:b/>
          <w:color w:val="000000"/>
          <w:sz w:val="28"/>
        </w:rPr>
      </w:pPr>
      <w:bookmarkStart w:id="123" w:name="tPRP4"/>
      <w:bookmarkEnd w:id="123"/>
      <w:r>
        <w:rPr>
          <w:rFonts w:ascii="Arial;Helvetica;sans-serif" w:hAnsi="Arial;Helvetica;sans-serif"/>
          <w:b/>
          <w:color w:val="000000"/>
          <w:sz w:val="28"/>
        </w:rPr>
        <w:t xml:space="preserve">Biographical Information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3124200" cy="1254125"/>
                <wp:effectExtent l="0" t="0" r="0" b="0"/>
                <wp:wrapSquare wrapText="right"/>
                <wp:docPr id="116" name="Frame27"/>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the members of the Board, their ages, their positions with Fabrinet and other biographical information as of October 13, 2026, are set forth below. A discussion of the qualifications, attributes and skills of each of the directors that led the Board and the Nominating &amp; Corporate Governance Committee to conclude that he or she should serve as a director follows each of the biographies below.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the members of the Board, their ages, their positions with Fabrinet and other biographical information as of October 13, 2026, are set forth below. A discussion of the qualifications, attributes and skills of each of the directors that led the Board and the Nominating &amp; Corporate Governance Committee to conclude that he or she should serve as a director follows each of the biographies below. </w:t>
                      </w:r>
                    </w:p>
                  </w:txbxContent>
                </v:textbox>
                <w10:wrap type="square" side="right"/>
              </v:rect>
            </w:pict>
          </mc:Fallback>
        </mc:AlternateContent>
      </w:r>
      <w:r>
        <mc:AlternateContent>
          <mc:Choice Requires="wps">
            <w:drawing>
              <wp:anchor behindDoc="0" distT="0" distB="0" distL="228600" distR="0" simplePos="0" locked="0" layoutInCell="1" allowOverlap="1" relativeHeight="234">
                <wp:simplePos x="0" y="0"/>
                <wp:positionH relativeFrom="column">
                  <wp:align>left</wp:align>
                </wp:positionH>
                <wp:positionV relativeFrom="line">
                  <wp:posOffset>635</wp:posOffset>
                </wp:positionV>
                <wp:extent cx="3124200" cy="925830"/>
                <wp:effectExtent l="0" t="0" r="0" b="0"/>
                <wp:wrapSquare wrapText="right"/>
                <wp:docPr id="117" name="Frame28"/>
                <a:graphic xmlns:a="http://schemas.openxmlformats.org/drawingml/2006/main">
                  <a:graphicData uri="http://schemas.microsoft.com/office/word/2010/wordprocessingShape">
                    <wps:wsp>
                      <wps:cNvSpPr txBox="1"/>
                      <wps:spPr>
                        <a:xfrm>
                          <a:off x="0" y="0"/>
                          <a:ext cx="3124200" cy="9258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no family relationships among any of our directors or executive officers.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See “</w:t>
                            </w:r>
                            <w:r>
                              <w:rPr>
                                <w:rFonts w:ascii="Arial;Helvetica;sans-serif" w:hAnsi="Arial;Helvetica;sans-serif"/>
                                <w:i/>
                                <w:color w:val="000000"/>
                                <w:sz w:val="20"/>
                              </w:rPr>
                              <w:t>Corporate Governance Matters</w:t>
                            </w:r>
                            <w:r>
                              <w:rPr>
                                <w:rFonts w:ascii="Arial;Helvetica;sans-serif" w:hAnsi="Arial;Helvetica;sans-serif"/>
                                <w:color w:val="000000"/>
                                <w:sz w:val="20"/>
                              </w:rPr>
                              <w:t xml:space="preserve">” below for additional information regarding the Board. </w:t>
                            </w:r>
                          </w:p>
                        </w:txbxContent>
                      </wps:txbx>
                      <wps:bodyPr anchor="t" lIns="0" tIns="0" rIns="0" bIns="0">
                        <a:noAutofit/>
                      </wps:bodyPr>
                    </wps:wsp>
                  </a:graphicData>
                </a:graphic>
              </wp:anchor>
            </w:drawing>
          </mc:Choice>
          <mc:Fallback>
            <w:pict>
              <v:rect style="position:absolute;rotation:-0;width:246pt;height:72.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no family relationships among any of our directors or executive officers.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See “</w:t>
                      </w:r>
                      <w:r>
                        <w:rPr>
                          <w:rFonts w:ascii="Arial;Helvetica;sans-serif" w:hAnsi="Arial;Helvetica;sans-serif"/>
                          <w:i/>
                          <w:color w:val="000000"/>
                          <w:sz w:val="20"/>
                        </w:rPr>
                        <w:t>Corporate Governance Matters</w:t>
                      </w:r>
                      <w:r>
                        <w:rPr>
                          <w:rFonts w:ascii="Arial;Helvetica;sans-serif" w:hAnsi="Arial;Helvetica;sans-serif"/>
                          <w:color w:val="000000"/>
                          <w:sz w:val="20"/>
                        </w:rPr>
                        <w:t xml:space="preserve">” below for additional information regarding the Board. </w:t>
                      </w:r>
                    </w:p>
                  </w:txbxContent>
                </v:textbox>
                <w10:wrap type="square" side="right"/>
              </v:rect>
            </w:pict>
          </mc:Fallback>
        </mc:AlternateContent>
      </w:r>
    </w:p>
    <w:tbl>
      <w:tblPr>
        <w:tblW w:w="10680" w:type="dxa"/>
        <w:jc w:val="left"/>
        <w:tblInd w:w="60" w:type="dxa"/>
        <w:tblLayout w:type="fixed"/>
        <w:tblCellMar>
          <w:top w:w="0" w:type="dxa"/>
          <w:left w:w="0" w:type="dxa"/>
          <w:bottom w:w="0" w:type="dxa"/>
          <w:right w:w="0" w:type="dxa"/>
        </w:tblCellMar>
      </w:tblPr>
      <w:tblGrid>
        <w:gridCol w:w="185"/>
        <w:gridCol w:w="965"/>
        <w:gridCol w:w="170"/>
        <w:gridCol w:w="170"/>
        <w:gridCol w:w="395"/>
        <w:gridCol w:w="170"/>
        <w:gridCol w:w="170"/>
        <w:gridCol w:w="755"/>
        <w:gridCol w:w="170"/>
        <w:gridCol w:w="170"/>
        <w:gridCol w:w="650"/>
        <w:gridCol w:w="170"/>
        <w:gridCol w:w="170"/>
        <w:gridCol w:w="1085"/>
        <w:gridCol w:w="170"/>
        <w:gridCol w:w="170"/>
        <w:gridCol w:w="1100"/>
        <w:gridCol w:w="170"/>
        <w:gridCol w:w="170"/>
        <w:gridCol w:w="500"/>
        <w:gridCol w:w="170"/>
        <w:gridCol w:w="170"/>
        <w:gridCol w:w="500"/>
        <w:gridCol w:w="170"/>
        <w:gridCol w:w="170"/>
        <w:gridCol w:w="590"/>
        <w:gridCol w:w="170"/>
        <w:gridCol w:w="170"/>
        <w:gridCol w:w="680"/>
        <w:gridCol w:w="215"/>
      </w:tblGrid>
      <w:tr>
        <w:trPr/>
        <w:tc>
          <w:tcPr>
            <w:tcW w:w="185" w:type="dxa"/>
            <w:tcBorders/>
            <w:shd w:fill="819F7C" w:val="clear"/>
            <w:vAlign w:val="center"/>
          </w:tcPr>
          <w:p>
            <w:pPr>
              <w:pStyle w:val="TableContents"/>
              <w:bidi w:val="0"/>
              <w:spacing w:before="0" w:after="0"/>
              <w:jc w:val="left"/>
              <w:rPr/>
            </w:pPr>
            <w:r>
              <w:rPr/>
              <w:t> </w:t>
            </w:r>
          </w:p>
        </w:tc>
        <w:tc>
          <w:tcPr>
            <w:tcW w:w="9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70"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6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bottom w:val="single" w:sz="8" w:space="0" w:color="FFFFFF"/>
            </w:tcBorders>
            <w:shd w:fill="819F7C" w:val="clear"/>
            <w:tcMar>
              <w:bottom w:w="28" w:type="dxa"/>
            </w:tcMar>
            <w:vAlign w:val="center"/>
          </w:tcPr>
          <w:p>
            <w:pPr>
              <w:pStyle w:val="TableContents"/>
              <w:bidi w:val="0"/>
              <w:spacing w:before="0" w:after="0"/>
              <w:jc w:val="left"/>
              <w:rPr/>
            </w:pPr>
            <w:r>
              <w:rPr/>
              <w:t> </w:t>
            </w:r>
          </w:p>
        </w:tc>
        <w:tc>
          <w:tcPr>
            <w:tcW w:w="2270" w:type="dxa"/>
            <w:gridSpan w:val="7"/>
            <w:tcBorders>
              <w:bottom w:val="single" w:sz="8" w:space="0" w:color="FFFFFF"/>
            </w:tcBorders>
            <w:shd w:fill="819F7C" w:val="clear"/>
            <w:tcMar>
              <w:bottom w:w="3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Committee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Memberships </w:t>
            </w:r>
          </w:p>
        </w:tc>
        <w:tc>
          <w:tcPr>
            <w:tcW w:w="170" w:type="dxa"/>
            <w:tcBorders>
              <w:bottom w:val="single" w:sz="8" w:space="0" w:color="FFFFFF"/>
            </w:tcBorders>
            <w:shd w:fill="819F7C" w:val="clear"/>
            <w:tcMar>
              <w:bottom w:w="28" w:type="dxa"/>
            </w:tcM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68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Other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Public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Boards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65"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Name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95"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Age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5"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Director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Since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5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Tenure (Years)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85"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Position with Fabrinet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Independent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AC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CC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0" w:type="dxa"/>
            <w:tcBorders/>
            <w:shd w:fill="819F7C"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NCGC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680"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96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Nominees for Director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Seamus Grady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59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2017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Chief Executive Officer and Chairman of the Board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Thomas F. Kelly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73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2010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16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yes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Chair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Continuing Directors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Forbes I.J. Alexander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66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2024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yes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Dr. Homa Bahrami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2012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yes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Chair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Caroline Dowling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9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59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5"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2025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5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1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8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yes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90" w:type="dxa"/>
            <w:tcBorders/>
            <w:shd w:fill="E5E9E3" w:val="clear"/>
            <w:vAlign w:val="center"/>
          </w:tcPr>
          <w:p>
            <w:pPr>
              <w:pStyle w:val="TableContents"/>
              <w:bidi w:val="0"/>
              <w:spacing w:before="0" w:after="283"/>
              <w:jc w:val="center"/>
              <w:rPr>
                <w:color w:val="000000"/>
              </w:rPr>
            </w:pPr>
            <w:r>
              <w:rPr>
                <w:color w:val="000000"/>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 xml:space="preserve">Dr. Frank H. Levinson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73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2001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Lead Independent Director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yes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Chair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none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85"/>
        <w:gridCol w:w="1851"/>
        <w:gridCol w:w="170"/>
        <w:gridCol w:w="170"/>
        <w:gridCol w:w="2631"/>
        <w:gridCol w:w="170"/>
        <w:gridCol w:w="170"/>
        <w:gridCol w:w="4581"/>
        <w:gridCol w:w="217"/>
      </w:tblGrid>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AC – Audit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CC – Compensation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NCGC – Nominating &amp; Corporate Governance Committee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8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1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0" descr=""/>
                          <pic:cNvPicPr>
                            <a:picLocks noChangeAspect="1" noChangeArrowheads="1"/>
                          </pic:cNvPicPr>
                        </pic:nvPicPr>
                        <pic:blipFill>
                          <a:blip r:embed="rId9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ny20081940x1_def14a_106-prop1_pg3"/>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5760" w:type="dxa"/>
        <w:jc w:val="left"/>
        <w:tblInd w:w="60" w:type="dxa"/>
        <w:tblLayout w:type="fixed"/>
        <w:tblCellMar>
          <w:top w:w="0" w:type="dxa"/>
          <w:left w:w="0" w:type="dxa"/>
          <w:bottom w:w="0" w:type="dxa"/>
          <w:right w:w="0" w:type="dxa"/>
        </w:tblCellMar>
      </w:tblPr>
      <w:tblGrid>
        <w:gridCol w:w="185"/>
        <w:gridCol w:w="5360"/>
        <w:gridCol w:w="215"/>
      </w:tblGrid>
      <w:tr>
        <w:trPr/>
        <w:tc>
          <w:tcPr>
            <w:tcW w:w="185" w:type="dxa"/>
            <w:tcBorders/>
            <w:shd w:fill="819F7C" w:val="clear"/>
            <w:vAlign w:val="center"/>
          </w:tcPr>
          <w:p>
            <w:pPr>
              <w:pStyle w:val="TableContents"/>
              <w:bidi w:val="0"/>
              <w:spacing w:before="0" w:after="0"/>
              <w:jc w:val="left"/>
              <w:rPr/>
            </w:pPr>
            <w:r>
              <w:rPr/>
              <w:t> </w:t>
            </w:r>
          </w:p>
        </w:tc>
        <w:tc>
          <w:tcPr>
            <w:tcW w:w="536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36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Nominees for Director: Terms to Expire in 2029</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36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3123"/>
        <w:gridCol w:w="297"/>
        <w:gridCol w:w="297"/>
        <w:gridCol w:w="6428"/>
      </w:tblGrid>
      <w:tr>
        <w:trPr/>
        <w:tc>
          <w:tcPr>
            <w:tcW w:w="3123"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0"/>
              <w:jc w:val="left"/>
              <w:rPr/>
            </w:pPr>
            <w:r>
              <w:rPr/>
              <w:t> </w:t>
            </w:r>
          </w:p>
        </w:tc>
      </w:tr>
      <w:tr>
        <w:trPr/>
        <w:tc>
          <w:tcPr>
            <w:tcW w:w="3123"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1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1" descr=""/>
                          <pic:cNvPicPr>
                            <a:picLocks noChangeAspect="1" noChangeArrowheads="1"/>
                          </pic:cNvPicPr>
                        </pic:nvPicPr>
                        <pic:blipFill>
                          <a:blip r:embed="rId92"/>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Seamus Grady</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Chief Executive Officer and Chairman of the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Director since</w:t>
            </w:r>
            <w:r>
              <w:rPr>
                <w:rFonts w:ascii="Arial;Helvetica;sans-serif" w:hAnsi="Arial;Helvetica;sans-serif"/>
                <w:b w:val="false"/>
                <w:color w:val="000000"/>
                <w:sz w:val="18"/>
              </w:rPr>
              <w:t>: September 2017</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Age</w:t>
            </w:r>
            <w:r>
              <w:rPr>
                <w:rFonts w:ascii="Arial;Helvetica;sans-serif" w:hAnsi="Arial;Helvetica;sans-serif"/>
                <w:b w:val="false"/>
                <w:color w:val="000000"/>
                <w:sz w:val="18"/>
              </w:rPr>
              <w:t>: 59</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Board committees</w:t>
            </w:r>
            <w:r>
              <w:rPr>
                <w:rFonts w:ascii="Arial;Helvetica;sans-serif" w:hAnsi="Arial;Helvetica;sans-serif"/>
                <w:b w:val="false"/>
                <w:color w:val="000000"/>
                <w:sz w:val="18"/>
              </w:rPr>
              <w:t xml:space="preserve">: None </w:t>
            </w:r>
          </w:p>
        </w:tc>
      </w:tr>
      <w:tr>
        <w:trPr/>
        <w:tc>
          <w:tcPr>
            <w:tcW w:w="3123" w:type="dxa"/>
            <w:tcBorders/>
            <w:vAlign w:val="center"/>
          </w:tcPr>
          <w:p>
            <w:pPr>
              <w:pStyle w:val="TableContents"/>
              <w:bidi w:val="0"/>
              <w:spacing w:before="0" w:after="0"/>
              <w:jc w:val="left"/>
              <w:rPr>
                <w:color w:val="000000"/>
              </w:rPr>
            </w:pPr>
            <w:r>
              <w:rPr>
                <w:color w:val="000000"/>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Deep knowledge of Fabrinet and the industries in which it operates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Broad and deep experience in the electronics manufacturing services industry, including overseeing operations at multiple international facilities </w:t>
            </w:r>
          </w:p>
        </w:tc>
      </w:tr>
      <w:tr>
        <w:trPr/>
        <w:tc>
          <w:tcPr>
            <w:tcW w:w="3123" w:type="dxa"/>
            <w:tcBorders/>
            <w:vAlign w:val="center"/>
          </w:tcPr>
          <w:p>
            <w:pPr>
              <w:pStyle w:val="TableContents"/>
              <w:bidi w:val="0"/>
              <w:spacing w:before="0" w:after="0"/>
              <w:jc w:val="left"/>
              <w:rPr>
                <w:color w:val="000000"/>
              </w:rPr>
            </w:pPr>
            <w:r>
              <w:rPr>
                <w:color w:val="000000"/>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Chairman of the Board, Fabrinet</w:t>
            </w:r>
            <w:r>
              <w:rPr>
                <w:rFonts w:ascii="Arial;Helvetica;sans-serif" w:hAnsi="Arial;Helvetica;sans-serif"/>
                <w:b/>
                <w:color w:val="000000"/>
                <w:sz w:val="20"/>
              </w:rPr>
              <w:t xml:space="preserve"> </w:t>
            </w:r>
            <w:r>
              <w:rPr>
                <w:rFonts w:ascii="Arial;Helvetica;sans-serif" w:hAnsi="Arial;Helvetica;sans-serif"/>
                <w:b w:val="false"/>
                <w:color w:val="000000"/>
                <w:sz w:val="18"/>
              </w:rPr>
              <w:t>(October 2025 – present)</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Chief Executive Officer, Fabrinet</w:t>
            </w:r>
            <w:r>
              <w:rPr>
                <w:rFonts w:ascii="Arial;Helvetica;sans-serif" w:hAnsi="Arial;Helvetica;sans-serif"/>
                <w:b/>
                <w:color w:val="000000"/>
                <w:sz w:val="20"/>
              </w:rPr>
              <w:t xml:space="preserve"> </w:t>
            </w:r>
            <w:r>
              <w:rPr>
                <w:rFonts w:ascii="Arial;Helvetica;sans-serif" w:hAnsi="Arial;Helvetica;sans-serif"/>
                <w:b w:val="false"/>
                <w:color w:val="000000"/>
                <w:sz w:val="18"/>
              </w:rPr>
              <w:t>(September 2017 – present)</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Executive Vice President &amp; Chief Operating Officer, Mechanical Systems Division, Sanmina Corporation,</w:t>
            </w:r>
            <w:r>
              <w:rPr>
                <w:rFonts w:ascii="Arial;Helvetica;sans-serif" w:hAnsi="Arial;Helvetica;sans-serif"/>
                <w:b/>
                <w:color w:val="000000"/>
                <w:sz w:val="20"/>
              </w:rPr>
              <w:t xml:space="preserve"> </w:t>
            </w:r>
            <w:r>
              <w:rPr>
                <w:rFonts w:ascii="Arial;Helvetica;sans-serif" w:hAnsi="Arial;Helvetica;sans-serif"/>
                <w:b w:val="false"/>
                <w:color w:val="000000"/>
                <w:sz w:val="18"/>
              </w:rPr>
              <w:t>an electronics manufacturing services company (October 2012 to May 2017)</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Various operations roles, Sanmina Corporation</w:t>
            </w:r>
            <w:r>
              <w:rPr>
                <w:rFonts w:ascii="Arial;Helvetica;sans-serif" w:hAnsi="Arial;Helvetica;sans-serif"/>
                <w:b/>
                <w:color w:val="000000"/>
                <w:sz w:val="20"/>
              </w:rPr>
              <w:t xml:space="preserve"> </w:t>
            </w:r>
            <w:r>
              <w:rPr>
                <w:rFonts w:ascii="Arial;Helvetica;sans-serif" w:hAnsi="Arial;Helvetica;sans-serif"/>
                <w:b w:val="false"/>
                <w:color w:val="000000"/>
                <w:sz w:val="18"/>
              </w:rPr>
              <w:t>(2000-2012), including senior vice president medical division (June 2011 – October 2012) and senior vice president global medical operations (March 2009 to June 2011)</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Prior operations roles at various companies,</w:t>
            </w:r>
            <w:r>
              <w:rPr>
                <w:rFonts w:ascii="Arial;Helvetica;sans-serif" w:hAnsi="Arial;Helvetica;sans-serif"/>
                <w:b/>
                <w:color w:val="000000"/>
                <w:sz w:val="20"/>
              </w:rPr>
              <w:t xml:space="preserve"> </w:t>
            </w:r>
            <w:r>
              <w:rPr>
                <w:rFonts w:ascii="Arial;Helvetica;sans-serif" w:hAnsi="Arial;Helvetica;sans-serif"/>
                <w:b w:val="false"/>
                <w:color w:val="000000"/>
                <w:sz w:val="18"/>
              </w:rPr>
              <w:t xml:space="preserve">including Lucent Technologies Inc. and Manufacturers’ Services Limited (acquired by Celestica) </w:t>
            </w:r>
          </w:p>
        </w:tc>
      </w:tr>
      <w:tr>
        <w:trPr/>
        <w:tc>
          <w:tcPr>
            <w:tcW w:w="3123" w:type="dxa"/>
            <w:tcBorders/>
            <w:vAlign w:val="center"/>
          </w:tcPr>
          <w:p>
            <w:pPr>
              <w:pStyle w:val="TableContents"/>
              <w:bidi w:val="0"/>
              <w:spacing w:before="0" w:after="0"/>
              <w:jc w:val="left"/>
              <w:rPr>
                <w:color w:val="000000"/>
              </w:rPr>
            </w:pPr>
            <w:r>
              <w:rPr>
                <w:color w:val="000000"/>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 Tech in Manufacturing Technology from the National University of Ireland, Galway (NUIG) </w:t>
            </w:r>
          </w:p>
        </w:tc>
      </w:tr>
      <w:tr>
        <w:trPr/>
        <w:tc>
          <w:tcPr>
            <w:tcW w:w="3123" w:type="dxa"/>
            <w:tcBorders/>
            <w:vAlign w:val="center"/>
          </w:tcPr>
          <w:p>
            <w:pPr>
              <w:pStyle w:val="TableContents"/>
              <w:bidi w:val="0"/>
              <w:spacing w:before="0" w:after="0"/>
              <w:jc w:val="left"/>
              <w:rPr>
                <w:color w:val="000000"/>
              </w:rPr>
            </w:pPr>
            <w:r>
              <w:rPr>
                <w:color w:val="000000"/>
              </w:rPr>
              <w:t> </w:t>
            </w:r>
          </w:p>
        </w:tc>
        <w:tc>
          <w:tcPr>
            <w:tcW w:w="297" w:type="dxa"/>
            <w:tcBorders/>
            <w:vAlign w:val="center"/>
          </w:tcPr>
          <w:p>
            <w:pPr>
              <w:pStyle w:val="TableContents"/>
              <w:bidi w:val="0"/>
              <w:spacing w:before="0" w:after="0"/>
              <w:jc w:val="left"/>
              <w:rPr/>
            </w:pPr>
            <w:r>
              <w:rPr/>
              <w:t> </w:t>
            </w:r>
          </w:p>
        </w:tc>
        <w:tc>
          <w:tcPr>
            <w:tcW w:w="297" w:type="dxa"/>
            <w:tcBorders/>
            <w:vAlign w:val="center"/>
          </w:tcPr>
          <w:p>
            <w:pPr>
              <w:pStyle w:val="TableContents"/>
              <w:bidi w:val="0"/>
              <w:spacing w:before="0" w:after="0"/>
              <w:jc w:val="left"/>
              <w:rPr/>
            </w:pPr>
            <w:r>
              <w:rPr/>
              <w:t> </w:t>
            </w:r>
          </w:p>
        </w:tc>
        <w:tc>
          <w:tcPr>
            <w:tcW w:w="642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r>
      <w:tr>
        <w:trPr/>
        <w:tc>
          <w:tcPr>
            <w:tcW w:w="10145" w:type="dxa"/>
            <w:gridSpan w:val="4"/>
            <w:tcBorders/>
            <w:vAlign w:val="center"/>
          </w:tcPr>
          <w:p>
            <w:pPr>
              <w:pStyle w:val="TableContents"/>
              <w:bidi w:val="0"/>
              <w:spacing w:before="0" w:after="0"/>
              <w:jc w:val="left"/>
              <w:rPr/>
            </w:pPr>
            <w:r>
              <w:rPr/>
              <w:t>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2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2" descr=""/>
                          <pic:cNvPicPr>
                            <a:picLocks noChangeAspect="1" noChangeArrowheads="1"/>
                          </pic:cNvPicPr>
                        </pic:nvPicPr>
                        <pic:blipFill>
                          <a:blip r:embed="rId93"/>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81940x1_def14a_106-prop1_pg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10145" w:type="dxa"/>
        <w:jc w:val="left"/>
        <w:tblInd w:w="60" w:type="dxa"/>
        <w:tblLayout w:type="fixed"/>
        <w:tblCellMar>
          <w:top w:w="0" w:type="dxa"/>
          <w:left w:w="0" w:type="dxa"/>
          <w:bottom w:w="0" w:type="dxa"/>
          <w:right w:w="0" w:type="dxa"/>
        </w:tblCellMar>
      </w:tblPr>
      <w:tblGrid>
        <w:gridCol w:w="3464"/>
        <w:gridCol w:w="329"/>
        <w:gridCol w:w="329"/>
        <w:gridCol w:w="6023"/>
      </w:tblGrid>
      <w:tr>
        <w:trPr/>
        <w:tc>
          <w:tcPr>
            <w:tcW w:w="3464"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0"/>
              <w:jc w:val="left"/>
              <w:rPr/>
            </w:pPr>
            <w:r>
              <w:rPr/>
              <w:t> </w:t>
            </w:r>
          </w:p>
        </w:tc>
      </w:tr>
      <w:tr>
        <w:trPr/>
        <w:tc>
          <w:tcPr>
            <w:tcW w:w="3464"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 descr=""/>
                          <pic:cNvPicPr>
                            <a:picLocks noChangeAspect="1" noChangeArrowheads="1"/>
                          </pic:cNvPicPr>
                        </pic:nvPicPr>
                        <pic:blipFill>
                          <a:blip r:embed="rId94"/>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Thomas F. Kelly</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Venture Consultant, Forgepoint Capital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October 2010</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73</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Independent director</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Board committees: </w:t>
            </w:r>
            <w:r>
              <w:rPr>
                <w:rFonts w:ascii="Arial;Helvetica;sans-serif" w:hAnsi="Arial;Helvetica;sans-serif"/>
                <w:b w:val="false"/>
                <w:color w:val="000000"/>
                <w:sz w:val="18"/>
              </w:rPr>
              <w:t xml:space="preserve">Audit (chair); Compensation </w:t>
            </w:r>
          </w:p>
        </w:tc>
      </w:tr>
      <w:tr>
        <w:trPr/>
        <w:tc>
          <w:tcPr>
            <w:tcW w:w="3464" w:type="dxa"/>
            <w:tcBorders/>
            <w:vAlign w:val="center"/>
          </w:tcPr>
          <w:p>
            <w:pPr>
              <w:pStyle w:val="TableContents"/>
              <w:bidi w:val="0"/>
              <w:spacing w:before="0" w:after="0"/>
              <w:jc w:val="left"/>
              <w:rPr>
                <w:color w:val="000000"/>
              </w:rPr>
            </w:pPr>
            <w:r>
              <w:rPr>
                <w:color w:val="000000"/>
              </w:rPr>
              <w:t>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More than 40 years of experience in executive management positions, with a strong focus on technology, operations and cybersecurity</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Audit and financial reporting expertise </w:t>
            </w:r>
          </w:p>
        </w:tc>
      </w:tr>
      <w:tr>
        <w:trPr/>
        <w:tc>
          <w:tcPr>
            <w:tcW w:w="3464" w:type="dxa"/>
            <w:tcBorders/>
            <w:vAlign w:val="center"/>
          </w:tcPr>
          <w:p>
            <w:pPr>
              <w:pStyle w:val="TableContents"/>
              <w:bidi w:val="0"/>
              <w:spacing w:before="0" w:after="0"/>
              <w:jc w:val="left"/>
              <w:rPr>
                <w:color w:val="000000"/>
              </w:rPr>
            </w:pPr>
            <w:r>
              <w:rPr>
                <w:color w:val="000000"/>
              </w:rPr>
              <w:t>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Venture Consultant</w:t>
            </w:r>
            <w:r>
              <w:rPr>
                <w:rFonts w:ascii="Arial;Helvetica;sans-serif" w:hAnsi="Arial;Helvetica;sans-serif"/>
                <w:b w:val="false"/>
                <w:color w:val="000000"/>
                <w:sz w:val="18"/>
              </w:rPr>
              <w:t xml:space="preserve">, </w:t>
            </w:r>
            <w:r>
              <w:rPr>
                <w:rFonts w:ascii="Arial;Helvetica;sans-serif" w:hAnsi="Arial;Helvetica;sans-serif"/>
                <w:b/>
                <w:color w:val="000000"/>
                <w:sz w:val="18"/>
              </w:rPr>
              <w:t>Forgepoint Capital</w:t>
            </w:r>
            <w:r>
              <w:rPr>
                <w:rFonts w:ascii="Arial;Helvetica;sans-serif" w:hAnsi="Arial;Helvetica;sans-serif"/>
                <w:b w:val="false"/>
                <w:color w:val="000000"/>
                <w:sz w:val="18"/>
              </w:rPr>
              <w:t>, a venture capital firm (November 2022 – present)</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Chief Executive Officer, Anitian, Inc.,</w:t>
            </w:r>
            <w:r>
              <w:rPr>
                <w:rFonts w:ascii="Arial;Helvetica;sans-serif" w:hAnsi="Arial;Helvetica;sans-serif"/>
                <w:b/>
                <w:color w:val="000000"/>
                <w:sz w:val="20"/>
              </w:rPr>
              <w:t xml:space="preserve"> </w:t>
            </w:r>
            <w:r>
              <w:rPr>
                <w:rFonts w:ascii="Arial;Helvetica;sans-serif" w:hAnsi="Arial;Helvetica;sans-serif"/>
                <w:b w:val="false"/>
                <w:color w:val="000000"/>
                <w:sz w:val="18"/>
              </w:rPr>
              <w:t>a Forgepoint Capital portfolio company and cloud security and compliance automation provider (February 2024 – November 2024)</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Chief Executive Officer and President, IDX</w:t>
            </w:r>
            <w:r>
              <w:rPr>
                <w:rFonts w:ascii="Arial;Helvetica;sans-serif" w:hAnsi="Arial;Helvetica;sans-serif"/>
                <w:b/>
                <w:color w:val="000000"/>
                <w:sz w:val="20"/>
              </w:rPr>
              <w:t xml:space="preserve"> </w:t>
            </w:r>
            <w:r>
              <w:rPr>
                <w:rFonts w:ascii="Arial;Helvetica;sans-serif" w:hAnsi="Arial;Helvetica;sans-serif"/>
                <w:b w:val="false"/>
                <w:color w:val="000000"/>
                <w:sz w:val="18"/>
              </w:rPr>
              <w:t>(acquired by ZeroFox Holdings, 2022), a provider of software and services for cyber breach and identity fraud protection (August 2017 – August 2022)</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Cybersecurity industry consultant</w:t>
            </w:r>
            <w:r>
              <w:rPr>
                <w:rFonts w:ascii="Arial;Helvetica;sans-serif" w:hAnsi="Arial;Helvetica;sans-serif"/>
                <w:b/>
                <w:color w:val="000000"/>
                <w:sz w:val="20"/>
              </w:rPr>
              <w:t xml:space="preserve"> </w:t>
            </w:r>
            <w:r>
              <w:rPr>
                <w:rFonts w:ascii="Arial;Helvetica;sans-serif" w:hAnsi="Arial;Helvetica;sans-serif"/>
                <w:b w:val="false"/>
                <w:color w:val="000000"/>
                <w:sz w:val="18"/>
              </w:rPr>
              <w:t>(2016 – 2017)</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Chief Executive Officer of several software and security companies</w:t>
            </w:r>
            <w:r>
              <w:rPr>
                <w:rFonts w:ascii="Arial;Helvetica;sans-serif" w:hAnsi="Arial;Helvetica;sans-serif"/>
                <w:b/>
                <w:color w:val="000000"/>
                <w:sz w:val="20"/>
              </w:rPr>
              <w:t xml:space="preserve"> </w:t>
            </w:r>
            <w:r>
              <w:rPr>
                <w:rFonts w:ascii="Arial;Helvetica;sans-serif" w:hAnsi="Arial;Helvetica;sans-serif"/>
                <w:b w:val="false"/>
                <w:color w:val="000000"/>
                <w:sz w:val="18"/>
              </w:rPr>
              <w:t>(1996 – 2016), including AccelOps (acquired by Fortinet, 2016), Moxie Software, MontaVista Software (acquired by Cavium, 2009), BlueStar Solutions (acquired by Affiliated Computer Services, 2004) and Blaze Software (acquired by Brokat Infosystems AG, 2000)</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Prior executive leadership operating roles at several companies,</w:t>
            </w:r>
            <w:r>
              <w:rPr>
                <w:rFonts w:ascii="Arial;Helvetica;sans-serif" w:hAnsi="Arial;Helvetica;sans-serif"/>
                <w:b/>
                <w:color w:val="000000"/>
                <w:sz w:val="20"/>
              </w:rPr>
              <w:t xml:space="preserve"> </w:t>
            </w:r>
            <w:r>
              <w:rPr>
                <w:rFonts w:ascii="Arial;Helvetica;sans-serif" w:hAnsi="Arial;Helvetica;sans-serif"/>
                <w:b w:val="false"/>
                <w:color w:val="000000"/>
                <w:sz w:val="18"/>
              </w:rPr>
              <w:t xml:space="preserve">including Epicor Software, Cirrus Logic, Cadence Design Systems, and Frame Technology (acquired by Adobe, 1995) </w:t>
            </w:r>
          </w:p>
        </w:tc>
      </w:tr>
      <w:tr>
        <w:trPr/>
        <w:tc>
          <w:tcPr>
            <w:tcW w:w="3464" w:type="dxa"/>
            <w:tcBorders/>
            <w:vAlign w:val="center"/>
          </w:tcPr>
          <w:p>
            <w:pPr>
              <w:pStyle w:val="TableContents"/>
              <w:bidi w:val="0"/>
              <w:spacing w:before="0" w:after="0"/>
              <w:jc w:val="left"/>
              <w:rPr>
                <w:color w:val="000000"/>
              </w:rPr>
            </w:pPr>
            <w:r>
              <w:rPr>
                <w:color w:val="000000"/>
              </w:rPr>
              <w:t>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B.S. in Economics from Santa Clara University </w:t>
            </w:r>
          </w:p>
        </w:tc>
      </w:tr>
      <w:tr>
        <w:trPr/>
        <w:tc>
          <w:tcPr>
            <w:tcW w:w="3464" w:type="dxa"/>
            <w:tcBorders/>
            <w:vAlign w:val="center"/>
          </w:tcPr>
          <w:p>
            <w:pPr>
              <w:pStyle w:val="TableContents"/>
              <w:bidi w:val="0"/>
              <w:spacing w:before="0" w:after="0"/>
              <w:jc w:val="left"/>
              <w:rPr>
                <w:color w:val="000000"/>
              </w:rPr>
            </w:pPr>
            <w:r>
              <w:rPr>
                <w:color w:val="000000"/>
              </w:rPr>
              <w:t> </w:t>
            </w:r>
          </w:p>
        </w:tc>
        <w:tc>
          <w:tcPr>
            <w:tcW w:w="329"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left"/>
              <w:rPr/>
            </w:pPr>
            <w:r>
              <w:rPr/>
              <w:t> </w:t>
            </w:r>
          </w:p>
        </w:tc>
        <w:tc>
          <w:tcPr>
            <w:tcW w:w="6023"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ZeroFox Holdings, Inc. (August 2022 – May 2024)</w:t>
            </w:r>
          </w:p>
        </w:tc>
      </w:tr>
      <w:tr>
        <w:trPr/>
        <w:tc>
          <w:tcPr>
            <w:tcW w:w="10145" w:type="dxa"/>
            <w:gridSpan w:val="4"/>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2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4" descr=""/>
                          <pic:cNvPicPr>
                            <a:picLocks noChangeAspect="1" noChangeArrowheads="1"/>
                          </pic:cNvPicPr>
                        </pic:nvPicPr>
                        <pic:blipFill>
                          <a:blip r:embed="rId9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6" w:name="ny20081940x1_def14a_106-prop1_pg5"/>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5355" w:type="dxa"/>
        <w:jc w:val="left"/>
        <w:tblInd w:w="60" w:type="dxa"/>
        <w:tblLayout w:type="fixed"/>
        <w:tblCellMar>
          <w:top w:w="0" w:type="dxa"/>
          <w:left w:w="0" w:type="dxa"/>
          <w:bottom w:w="0" w:type="dxa"/>
          <w:right w:w="0" w:type="dxa"/>
        </w:tblCellMar>
      </w:tblPr>
      <w:tblGrid>
        <w:gridCol w:w="185"/>
        <w:gridCol w:w="4955"/>
        <w:gridCol w:w="215"/>
      </w:tblGrid>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Continuing Directors: Terms Expire in 2027</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603"/>
        <w:gridCol w:w="247"/>
        <w:gridCol w:w="247"/>
        <w:gridCol w:w="7048"/>
      </w:tblGrid>
      <w:tr>
        <w:trPr/>
        <w:tc>
          <w:tcPr>
            <w:tcW w:w="2603"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0"/>
              <w:jc w:val="left"/>
              <w:rPr/>
            </w:pPr>
            <w:r>
              <w:rPr/>
              <w:t> </w:t>
            </w:r>
          </w:p>
        </w:tc>
      </w:tr>
      <w:tr>
        <w:trPr/>
        <w:tc>
          <w:tcPr>
            <w:tcW w:w="2603"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5" descr=""/>
                          <pic:cNvPicPr>
                            <a:picLocks noChangeAspect="1" noChangeArrowheads="1"/>
                          </pic:cNvPicPr>
                        </pic:nvPicPr>
                        <pic:blipFill>
                          <a:blip r:embed="rId96"/>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Forbes I.J. Alexander</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Former Chief Financial Officer, Jabil Inc.</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June 2024</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66</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Independent director</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Board committees: </w:t>
            </w:r>
            <w:r>
              <w:rPr>
                <w:rFonts w:ascii="Arial;Helvetica;sans-serif" w:hAnsi="Arial;Helvetica;sans-serif"/>
                <w:b w:val="false"/>
                <w:color w:val="000000"/>
                <w:sz w:val="18"/>
              </w:rPr>
              <w:t xml:space="preserve">Audit; Compensation; Nominating &amp; Corporate Governance </w:t>
            </w:r>
          </w:p>
        </w:tc>
      </w:tr>
      <w:tr>
        <w:trPr/>
        <w:tc>
          <w:tcPr>
            <w:tcW w:w="2603"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Extensive audit and financial reporting expertise and executive leadership experience in the electronics manufacturing services industry, having served as the Chief Financial Officer of Jabil Inc. for 14 years </w:t>
            </w:r>
          </w:p>
        </w:tc>
      </w:tr>
      <w:tr>
        <w:trPr/>
        <w:tc>
          <w:tcPr>
            <w:tcW w:w="2603"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Founding Partner, Steadfast Partners LLP,</w:t>
            </w:r>
            <w:r>
              <w:rPr>
                <w:rFonts w:ascii="Arial;Helvetica;sans-serif" w:hAnsi="Arial;Helvetica;sans-serif"/>
                <w:b/>
                <w:color w:val="000000"/>
                <w:sz w:val="20"/>
              </w:rPr>
              <w:t xml:space="preserve"> </w:t>
            </w:r>
            <w:r>
              <w:rPr>
                <w:rFonts w:ascii="Arial;Helvetica;sans-serif" w:hAnsi="Arial;Helvetica;sans-serif"/>
                <w:b w:val="false"/>
                <w:color w:val="000000"/>
                <w:sz w:val="18"/>
              </w:rPr>
              <w:t>an industrial technology advisory group (January 2020 – present)</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Executive Vice President, Jabil Inc.,</w:t>
            </w:r>
            <w:r>
              <w:rPr>
                <w:rFonts w:ascii="Arial;Helvetica;sans-serif" w:hAnsi="Arial;Helvetica;sans-serif"/>
                <w:b/>
                <w:color w:val="000000"/>
                <w:sz w:val="20"/>
              </w:rPr>
              <w:t xml:space="preserve"> </w:t>
            </w:r>
            <w:r>
              <w:rPr>
                <w:rFonts w:ascii="Arial;Helvetica;sans-serif" w:hAnsi="Arial;Helvetica;sans-serif"/>
                <w:b w:val="false"/>
                <w:color w:val="000000"/>
                <w:sz w:val="18"/>
              </w:rPr>
              <w:t>a global manufacturing services company (September 2018 – January 2020)</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Chief Financial Officer, Jabil Inc.</w:t>
            </w:r>
            <w:r>
              <w:rPr>
                <w:rFonts w:ascii="Arial;Helvetica;sans-serif" w:hAnsi="Arial;Helvetica;sans-serif"/>
                <w:b/>
                <w:color w:val="000000"/>
                <w:sz w:val="20"/>
              </w:rPr>
              <w:t xml:space="preserve"> </w:t>
            </w:r>
            <w:r>
              <w:rPr>
                <w:rFonts w:ascii="Arial;Helvetica;sans-serif" w:hAnsi="Arial;Helvetica;sans-serif"/>
                <w:b w:val="false"/>
                <w:color w:val="000000"/>
                <w:sz w:val="18"/>
              </w:rPr>
              <w:t>(September 2004 – August 2018)</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Various other finance roles, Jabil Inc.</w:t>
            </w:r>
            <w:r>
              <w:rPr>
                <w:rFonts w:ascii="Arial;Helvetica;sans-serif" w:hAnsi="Arial;Helvetica;sans-serif"/>
                <w:b/>
                <w:color w:val="000000"/>
                <w:sz w:val="20"/>
              </w:rPr>
              <w:t xml:space="preserve"> </w:t>
            </w:r>
            <w:r>
              <w:rPr>
                <w:rFonts w:ascii="Arial;Helvetica;sans-serif" w:hAnsi="Arial;Helvetica;sans-serif"/>
                <w:b w:val="false"/>
                <w:color w:val="000000"/>
                <w:sz w:val="18"/>
              </w:rPr>
              <w:t>(1993 – 2004)</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Prior finance roles at various companies,</w:t>
            </w:r>
            <w:r>
              <w:rPr>
                <w:rFonts w:ascii="Arial;Helvetica;sans-serif" w:hAnsi="Arial;Helvetica;sans-serif"/>
                <w:b/>
                <w:color w:val="000000"/>
                <w:sz w:val="20"/>
              </w:rPr>
              <w:t xml:space="preserve"> </w:t>
            </w:r>
            <w:r>
              <w:rPr>
                <w:rFonts w:ascii="Arial;Helvetica;sans-serif" w:hAnsi="Arial;Helvetica;sans-serif"/>
                <w:b w:val="false"/>
                <w:color w:val="000000"/>
                <w:sz w:val="18"/>
              </w:rPr>
              <w:t xml:space="preserve">including Tandy Electronics, Ltd., Octocom Systems U.K. Ltd and Apollo Computer (acquired by Hewlett-Packard in 1989) </w:t>
            </w:r>
          </w:p>
        </w:tc>
      </w:tr>
      <w:tr>
        <w:trPr/>
        <w:tc>
          <w:tcPr>
            <w:tcW w:w="2603"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B.A. in Accounting from Abertay University </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Fellow of the Chartered Institute of Management Accountants (FCMA) </w:t>
            </w:r>
          </w:p>
        </w:tc>
      </w:tr>
      <w:tr>
        <w:trPr/>
        <w:tc>
          <w:tcPr>
            <w:tcW w:w="2603"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704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r>
      <w:tr>
        <w:trPr/>
        <w:tc>
          <w:tcPr>
            <w:tcW w:w="10145" w:type="dxa"/>
            <w:gridSpan w:val="4"/>
            <w:tcBorders/>
            <w:vAlign w:val="center"/>
          </w:tcPr>
          <w:p>
            <w:pPr>
              <w:pStyle w:val="TableContents"/>
              <w:bidi w:val="0"/>
              <w:spacing w:before="0" w:after="0"/>
              <w:jc w:val="left"/>
              <w:rPr/>
            </w:pPr>
            <w:r>
              <w:rPr/>
              <w:t>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2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6" descr=""/>
                          <pic:cNvPicPr>
                            <a:picLocks noChangeAspect="1" noChangeArrowheads="1"/>
                          </pic:cNvPicPr>
                        </pic:nvPicPr>
                        <pic:blipFill>
                          <a:blip r:embed="rId97"/>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7" w:name="ny20081940x1_def14a_106-prop1_pg6"/>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10145" w:type="dxa"/>
        <w:jc w:val="left"/>
        <w:tblInd w:w="60" w:type="dxa"/>
        <w:tblLayout w:type="fixed"/>
        <w:tblCellMar>
          <w:top w:w="0" w:type="dxa"/>
          <w:left w:w="0" w:type="dxa"/>
          <w:bottom w:w="0" w:type="dxa"/>
          <w:right w:w="0" w:type="dxa"/>
        </w:tblCellMar>
      </w:tblPr>
      <w:tblGrid>
        <w:gridCol w:w="3261"/>
        <w:gridCol w:w="310"/>
        <w:gridCol w:w="310"/>
        <w:gridCol w:w="5707"/>
        <w:gridCol w:w="170"/>
        <w:gridCol w:w="170"/>
        <w:gridCol w:w="217"/>
      </w:tblGrid>
      <w:tr>
        <w:trPr/>
        <w:tc>
          <w:tcPr>
            <w:tcW w:w="3261"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3261"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7" descr=""/>
                          <pic:cNvPicPr>
                            <a:picLocks noChangeAspect="1" noChangeArrowheads="1"/>
                          </pic:cNvPicPr>
                        </pic:nvPicPr>
                        <pic:blipFill>
                          <a:blip r:embed="rId98"/>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Dr. Frank H. Levinson</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General Partner, Convergent Ventures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Director since: </w:t>
            </w:r>
            <w:r>
              <w:rPr>
                <w:rFonts w:ascii="Arial;Helvetica;sans-serif" w:hAnsi="Arial;Helvetica;sans-serif"/>
                <w:b w:val="false"/>
                <w:color w:val="000000"/>
                <w:sz w:val="18"/>
              </w:rPr>
              <w:t>2001</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Age: </w:t>
            </w:r>
            <w:r>
              <w:rPr>
                <w:rFonts w:ascii="Arial;Helvetica;sans-serif" w:hAnsi="Arial;Helvetica;sans-serif"/>
                <w:b w:val="false"/>
                <w:color w:val="000000"/>
                <w:sz w:val="18"/>
              </w:rPr>
              <w:t>73</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Lead Independent Director</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 xml:space="preserve">Board committees: </w:t>
            </w:r>
            <w:r>
              <w:rPr>
                <w:rFonts w:ascii="Arial;Helvetica;sans-serif" w:hAnsi="Arial;Helvetica;sans-serif"/>
                <w:b w:val="false"/>
                <w:color w:val="000000"/>
                <w:sz w:val="18"/>
              </w:rPr>
              <w:t xml:space="preserve">Audit; Compensation (chair)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3261" w:type="dxa"/>
            <w:tcBorders/>
            <w:vAlign w:val="center"/>
          </w:tcPr>
          <w:p>
            <w:pPr>
              <w:pStyle w:val="TableContents"/>
              <w:bidi w:val="0"/>
              <w:spacing w:before="0" w:after="0"/>
              <w:jc w:val="left"/>
              <w:rPr>
                <w:color w:val="000000"/>
              </w:rPr>
            </w:pPr>
            <w:r>
              <w:rPr>
                <w:color w:val="000000"/>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9588"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Extensive executive leadership and management experience, having served as Chief Executive Officer and Chairman of the Board at Finisar Corporation, which he co-founded</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Deep technical expertise in the semiconductor industry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3261" w:type="dxa"/>
            <w:tcBorders/>
            <w:vAlign w:val="center"/>
          </w:tcPr>
          <w:p>
            <w:pPr>
              <w:pStyle w:val="TableContents"/>
              <w:bidi w:val="0"/>
              <w:spacing w:before="0" w:after="0"/>
              <w:jc w:val="left"/>
              <w:rPr>
                <w:color w:val="000000"/>
              </w:rPr>
            </w:pPr>
            <w:r>
              <w:rPr>
                <w:color w:val="000000"/>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9588"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General Partner, Convergent Ventures,</w:t>
            </w:r>
            <w:r>
              <w:rPr>
                <w:rFonts w:ascii="Arial;Helvetica;sans-serif" w:hAnsi="Arial;Helvetica;sans-serif"/>
                <w:b/>
                <w:color w:val="000000"/>
                <w:sz w:val="20"/>
              </w:rPr>
              <w:t xml:space="preserve"> </w:t>
            </w:r>
            <w:r>
              <w:rPr>
                <w:rFonts w:ascii="Arial;Helvetica;sans-serif" w:hAnsi="Arial;Helvetica;sans-serif"/>
                <w:b w:val="false"/>
                <w:color w:val="000000"/>
                <w:sz w:val="18"/>
              </w:rPr>
              <w:t>a venture capital firm focused on investing in science-driven technologies to change the future of health and sustainability (2023 – present)</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Managing Director, Small World Group,</w:t>
            </w:r>
            <w:r>
              <w:rPr>
                <w:rFonts w:ascii="Arial;Helvetica;sans-serif" w:hAnsi="Arial;Helvetica;sans-serif"/>
                <w:b/>
                <w:color w:val="000000"/>
                <w:sz w:val="20"/>
              </w:rPr>
              <w:t xml:space="preserve"> </w:t>
            </w:r>
            <w:r>
              <w:rPr>
                <w:rFonts w:ascii="Arial;Helvetica;sans-serif" w:hAnsi="Arial;Helvetica;sans-serif"/>
                <w:b w:val="false"/>
                <w:color w:val="000000"/>
                <w:sz w:val="18"/>
              </w:rPr>
              <w:t>a group primarily involved in investing in and growing small companies (2006 – 2025)</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Chairman of the Board and Chief Technical Officer, Finisar Corporation</w:t>
            </w:r>
            <w:r>
              <w:rPr>
                <w:rFonts w:ascii="Arial;Helvetica;sans-serif" w:hAnsi="Arial;Helvetica;sans-serif"/>
                <w:b/>
                <w:color w:val="000000"/>
                <w:sz w:val="20"/>
              </w:rPr>
              <w:t xml:space="preserve"> </w:t>
            </w:r>
            <w:r>
              <w:rPr>
                <w:rFonts w:ascii="Arial;Helvetica;sans-serif" w:hAnsi="Arial;Helvetica;sans-serif"/>
                <w:b w:val="false"/>
                <w:color w:val="000000"/>
                <w:sz w:val="18"/>
              </w:rPr>
              <w:t>(acquired by II-VI Incorporated), a provider of fiber optic components and network performance test and monitoring systems (August 1999 – January 2006)</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Chief Executive Officer, Finisar Corporation</w:t>
            </w:r>
            <w:r>
              <w:rPr>
                <w:rFonts w:ascii="Arial;Helvetica;sans-serif" w:hAnsi="Arial;Helvetica;sans-serif"/>
                <w:b/>
                <w:color w:val="000000"/>
                <w:sz w:val="20"/>
              </w:rPr>
              <w:t xml:space="preserve"> </w:t>
            </w:r>
            <w:r>
              <w:rPr>
                <w:rFonts w:ascii="Arial;Helvetica;sans-serif" w:hAnsi="Arial;Helvetica;sans-serif"/>
                <w:b w:val="false"/>
                <w:color w:val="000000"/>
                <w:sz w:val="18"/>
              </w:rPr>
              <w:t>(1988 – 1999)</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Optical Department Manager, Raynet, Inc.,</w:t>
            </w:r>
            <w:r>
              <w:rPr>
                <w:rFonts w:ascii="Arial;Helvetica;sans-serif" w:hAnsi="Arial;Helvetica;sans-serif"/>
                <w:b/>
                <w:color w:val="000000"/>
                <w:sz w:val="20"/>
              </w:rPr>
              <w:t xml:space="preserve"> </w:t>
            </w:r>
            <w:r>
              <w:rPr>
                <w:rFonts w:ascii="Arial;Helvetica;sans-serif" w:hAnsi="Arial;Helvetica;sans-serif"/>
                <w:b w:val="false"/>
                <w:color w:val="000000"/>
                <w:sz w:val="18"/>
              </w:rPr>
              <w:t>a fiber optic systems company (1986 – 1988)</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Prior technical roles at various companies,</w:t>
            </w:r>
            <w:r>
              <w:rPr>
                <w:rFonts w:ascii="Arial;Helvetica;sans-serif" w:hAnsi="Arial;Helvetica;sans-serif"/>
                <w:b/>
                <w:color w:val="000000"/>
                <w:sz w:val="20"/>
              </w:rPr>
              <w:t xml:space="preserve"> </w:t>
            </w:r>
            <w:r>
              <w:rPr>
                <w:rFonts w:ascii="Arial;Helvetica;sans-serif" w:hAnsi="Arial;Helvetica;sans-serif"/>
                <w:b w:val="false"/>
                <w:color w:val="000000"/>
                <w:sz w:val="18"/>
              </w:rPr>
              <w:t>including Raychem Corporation, Bellcore, and AT&amp;T Bell Laboratories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3261" w:type="dxa"/>
            <w:tcBorders/>
            <w:vAlign w:val="center"/>
          </w:tcPr>
          <w:p>
            <w:pPr>
              <w:pStyle w:val="TableContents"/>
              <w:bidi w:val="0"/>
              <w:spacing w:before="0" w:after="0"/>
              <w:jc w:val="left"/>
              <w:rPr>
                <w:color w:val="000000"/>
              </w:rPr>
            </w:pPr>
            <w:r>
              <w:rPr>
                <w:color w:val="000000"/>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r>
        <w:trPr/>
        <w:tc>
          <w:tcPr>
            <w:tcW w:w="9588"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B.S. in Mathematics and Physics from Butler University</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M.S. in Astronomy from the University of Virginia</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Ph.D. in Astronomy from the University of Virginia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3261" w:type="dxa"/>
            <w:tcBorders/>
            <w:vAlign w:val="center"/>
          </w:tcPr>
          <w:p>
            <w:pPr>
              <w:pStyle w:val="TableContents"/>
              <w:bidi w:val="0"/>
              <w:spacing w:before="0" w:after="0"/>
              <w:jc w:val="left"/>
              <w:rPr>
                <w:color w:val="000000"/>
              </w:rPr>
            </w:pPr>
            <w:r>
              <w:rPr>
                <w:color w:val="000000"/>
              </w:rPr>
              <w:t> </w:t>
            </w:r>
          </w:p>
        </w:tc>
        <w:tc>
          <w:tcPr>
            <w:tcW w:w="310" w:type="dxa"/>
            <w:tcBorders/>
            <w:vAlign w:val="center"/>
          </w:tcPr>
          <w:p>
            <w:pPr>
              <w:pStyle w:val="TableContents"/>
              <w:bidi w:val="0"/>
              <w:spacing w:before="0" w:after="0"/>
              <w:jc w:val="left"/>
              <w:rPr/>
            </w:pPr>
            <w:r>
              <w:rPr/>
              <w:t> </w:t>
            </w:r>
          </w:p>
        </w:tc>
        <w:tc>
          <w:tcPr>
            <w:tcW w:w="310"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r>
        <w:trPr/>
        <w:tc>
          <w:tcPr>
            <w:tcW w:w="9588"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TKB Critical Technologies 1, a special purpose acquisition company (October 2021 – August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958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2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8" descr=""/>
                          <pic:cNvPicPr>
                            <a:picLocks noChangeAspect="1" noChangeArrowheads="1"/>
                          </pic:cNvPicPr>
                        </pic:nvPicPr>
                        <pic:blipFill>
                          <a:blip r:embed="rId9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19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81940x1_def14a_106-prop1_pg7"/>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5355" w:type="dxa"/>
        <w:jc w:val="left"/>
        <w:tblInd w:w="60" w:type="dxa"/>
        <w:tblLayout w:type="fixed"/>
        <w:tblCellMar>
          <w:top w:w="0" w:type="dxa"/>
          <w:left w:w="0" w:type="dxa"/>
          <w:bottom w:w="0" w:type="dxa"/>
          <w:right w:w="0" w:type="dxa"/>
        </w:tblCellMar>
      </w:tblPr>
      <w:tblGrid>
        <w:gridCol w:w="185"/>
        <w:gridCol w:w="4955"/>
        <w:gridCol w:w="215"/>
      </w:tblGrid>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Continuing Directors: Terms Expire in 2028</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233"/>
        <w:gridCol w:w="212"/>
        <w:gridCol w:w="212"/>
        <w:gridCol w:w="7488"/>
      </w:tblGrid>
      <w:tr>
        <w:trPr/>
        <w:tc>
          <w:tcPr>
            <w:tcW w:w="2233"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7488" w:type="dxa"/>
            <w:tcBorders/>
            <w:vAlign w:val="center"/>
          </w:tcPr>
          <w:p>
            <w:pPr>
              <w:pStyle w:val="TableContents"/>
              <w:bidi w:val="0"/>
              <w:spacing w:before="0" w:after="0"/>
              <w:jc w:val="left"/>
              <w:rPr/>
            </w:pPr>
            <w:r>
              <w:rPr/>
              <w:t> </w:t>
            </w:r>
          </w:p>
        </w:tc>
      </w:tr>
      <w:tr>
        <w:trPr/>
        <w:tc>
          <w:tcPr>
            <w:tcW w:w="2233"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9" descr=""/>
                          <pic:cNvPicPr>
                            <a:picLocks noChangeAspect="1" noChangeArrowheads="1"/>
                          </pic:cNvPicPr>
                        </pic:nvPicPr>
                        <pic:blipFill>
                          <a:blip r:embed="rId100"/>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7488"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Dr. Homa Bahrami</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Senior Lecturer, Haas School of Business, University of California, Berkeley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Director since</w:t>
            </w:r>
            <w:r>
              <w:rPr>
                <w:rFonts w:ascii="Arial;Helvetica;sans-serif" w:hAnsi="Arial;Helvetica;sans-serif"/>
                <w:b w:val="false"/>
                <w:color w:val="000000"/>
                <w:sz w:val="18"/>
              </w:rPr>
              <w:t>: August 2012</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Age</w:t>
            </w:r>
            <w:r>
              <w:rPr>
                <w:rFonts w:ascii="Arial;Helvetica;sans-serif" w:hAnsi="Arial;Helvetica;sans-serif"/>
                <w:b w:val="false"/>
                <w:color w:val="000000"/>
                <w:sz w:val="18"/>
              </w:rPr>
              <w:t>: 71</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Independent Director</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Board committees</w:t>
            </w:r>
            <w:r>
              <w:rPr>
                <w:rFonts w:ascii="Arial;Helvetica;sans-serif" w:hAnsi="Arial;Helvetica;sans-serif"/>
                <w:b w:val="false"/>
                <w:color w:val="000000"/>
                <w:sz w:val="18"/>
              </w:rPr>
              <w:t xml:space="preserve">: Compensation; Nominating &amp; Corporate Governance (chair)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International educator, advisor and author, specializing in organizational design, dynamic leadership and executive development for global enterprises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Has served on the faculty at UC Berkeley for 40 years </w:t>
            </w:r>
          </w:p>
        </w:tc>
      </w:tr>
      <w:tr>
        <w:trPr/>
        <w:tc>
          <w:tcPr>
            <w:tcW w:w="223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748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Senior Lecturer, Haas School of Business, University of California, Berkeley</w:t>
            </w:r>
            <w:r>
              <w:rPr>
                <w:rFonts w:ascii="Arial;Helvetica;sans-serif" w:hAnsi="Arial;Helvetica;sans-serif"/>
                <w:b/>
                <w:color w:val="000000"/>
                <w:sz w:val="20"/>
              </w:rPr>
              <w:t xml:space="preserve"> </w:t>
            </w:r>
            <w:r>
              <w:rPr>
                <w:rFonts w:ascii="Arial;Helvetica;sans-serif" w:hAnsi="Arial;Helvetica;sans-serif"/>
                <w:b w:val="false"/>
                <w:color w:val="000000"/>
                <w:sz w:val="18"/>
              </w:rPr>
              <w:t>(1995 – present)</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Faculty Director, Haas Center for Executive Education</w:t>
            </w:r>
            <w:r>
              <w:rPr>
                <w:rFonts w:ascii="Arial;Helvetica;sans-serif" w:hAnsi="Arial;Helvetica;sans-serif"/>
                <w:b/>
                <w:color w:val="000000"/>
                <w:sz w:val="20"/>
              </w:rPr>
              <w:t xml:space="preserve"> </w:t>
            </w:r>
            <w:r>
              <w:rPr>
                <w:rFonts w:ascii="Arial;Helvetica;sans-serif" w:hAnsi="Arial;Helvetica;sans-serif"/>
                <w:b w:val="false"/>
                <w:color w:val="000000"/>
                <w:sz w:val="18"/>
              </w:rPr>
              <w:t xml:space="preserve">(2006 – present) </w:t>
            </w:r>
          </w:p>
        </w:tc>
      </w:tr>
      <w:tr>
        <w:trPr/>
        <w:tc>
          <w:tcPr>
            <w:tcW w:w="223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748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B.A. in Sociology and Social Administration from the University of Hull</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M.S. in Industrial Administration from Aston University </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Ph.D. in Organizational Behavior from Aston University </w:t>
            </w:r>
          </w:p>
        </w:tc>
      </w:tr>
      <w:tr>
        <w:trPr/>
        <w:tc>
          <w:tcPr>
            <w:tcW w:w="2233" w:type="dxa"/>
            <w:tcBorders/>
            <w:vAlign w:val="center"/>
          </w:tcPr>
          <w:p>
            <w:pPr>
              <w:pStyle w:val="TableContents"/>
              <w:bidi w:val="0"/>
              <w:spacing w:before="0" w:after="0"/>
              <w:jc w:val="left"/>
              <w:rPr>
                <w:color w:val="000000"/>
              </w:rPr>
            </w:pPr>
            <w:r>
              <w:rPr>
                <w:color w:val="000000"/>
              </w:rPr>
              <w:t> </w:t>
            </w:r>
          </w:p>
        </w:tc>
        <w:tc>
          <w:tcPr>
            <w:tcW w:w="212" w:type="dxa"/>
            <w:tcBorders/>
            <w:vAlign w:val="center"/>
          </w:tcPr>
          <w:p>
            <w:pPr>
              <w:pStyle w:val="TableContents"/>
              <w:bidi w:val="0"/>
              <w:spacing w:before="0" w:after="0"/>
              <w:jc w:val="left"/>
              <w:rPr/>
            </w:pPr>
            <w:r>
              <w:rPr/>
              <w:t> </w:t>
            </w:r>
          </w:p>
        </w:tc>
        <w:tc>
          <w:tcPr>
            <w:tcW w:w="212" w:type="dxa"/>
            <w:tcBorders/>
            <w:vAlign w:val="center"/>
          </w:tcPr>
          <w:p>
            <w:pPr>
              <w:pStyle w:val="TableContents"/>
              <w:bidi w:val="0"/>
              <w:spacing w:before="0" w:after="0"/>
              <w:jc w:val="left"/>
              <w:rPr/>
            </w:pPr>
            <w:r>
              <w:rPr/>
              <w:t> </w:t>
            </w:r>
          </w:p>
        </w:tc>
        <w:tc>
          <w:tcPr>
            <w:tcW w:w="7488"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None</w:t>
            </w:r>
          </w:p>
        </w:tc>
      </w:tr>
      <w:tr>
        <w:trPr/>
        <w:tc>
          <w:tcPr>
            <w:tcW w:w="10145" w:type="dxa"/>
            <w:gridSpan w:val="4"/>
            <w:tcBorders/>
            <w:vAlign w:val="center"/>
          </w:tcPr>
          <w:p>
            <w:pPr>
              <w:pStyle w:val="TableContents"/>
              <w:bidi w:val="0"/>
              <w:spacing w:before="0" w:after="0"/>
              <w:jc w:val="left"/>
              <w:rPr/>
            </w:pPr>
            <w:r>
              <w:rPr/>
              <w:t>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2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0" descr=""/>
                          <pic:cNvPicPr>
                            <a:picLocks noChangeAspect="1" noChangeArrowheads="1"/>
                          </pic:cNvPicPr>
                        </pic:nvPicPr>
                        <pic:blipFill>
                          <a:blip r:embed="rId101"/>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81940x1_def14a_106-prop1_pg8"/>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PROPOSAL ONE: ELECTION OF DIRECTORS </w:t>
      </w:r>
    </w:p>
    <w:tbl>
      <w:tblPr>
        <w:tblW w:w="10145" w:type="dxa"/>
        <w:jc w:val="left"/>
        <w:tblInd w:w="60" w:type="dxa"/>
        <w:tblLayout w:type="fixed"/>
        <w:tblCellMar>
          <w:top w:w="0" w:type="dxa"/>
          <w:left w:w="0" w:type="dxa"/>
          <w:bottom w:w="0" w:type="dxa"/>
          <w:right w:w="0" w:type="dxa"/>
        </w:tblCellMar>
      </w:tblPr>
      <w:tblGrid>
        <w:gridCol w:w="3105"/>
        <w:gridCol w:w="295"/>
        <w:gridCol w:w="295"/>
        <w:gridCol w:w="6450"/>
      </w:tblGrid>
      <w:tr>
        <w:trPr/>
        <w:tc>
          <w:tcPr>
            <w:tcW w:w="310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6450" w:type="dxa"/>
            <w:tcBorders/>
            <w:vAlign w:val="center"/>
          </w:tcPr>
          <w:p>
            <w:pPr>
              <w:pStyle w:val="TableContents"/>
              <w:bidi w:val="0"/>
              <w:spacing w:before="0" w:after="0"/>
              <w:jc w:val="left"/>
              <w:rPr/>
            </w:pPr>
            <w:r>
              <w:rPr/>
              <w:t> </w:t>
            </w:r>
          </w:p>
        </w:tc>
      </w:tr>
      <w:tr>
        <w:trPr/>
        <w:tc>
          <w:tcPr>
            <w:tcW w:w="310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04900" cy="1371600"/>
                  <wp:effectExtent l="0" t="0" r="0" b="0"/>
                  <wp:docPr id="12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1" descr=""/>
                          <pic:cNvPicPr>
                            <a:picLocks noChangeAspect="1" noChangeArrowheads="1"/>
                          </pic:cNvPicPr>
                        </pic:nvPicPr>
                        <pic:blipFill>
                          <a:blip r:embed="rId102"/>
                          <a:stretch>
                            <a:fillRect/>
                          </a:stretch>
                        </pic:blipFill>
                        <pic:spPr bwMode="auto">
                          <a:xfrm>
                            <a:off x="0" y="0"/>
                            <a:ext cx="1104900" cy="1371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9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6450" w:type="dxa"/>
            <w:tcBorders/>
            <w:vAlign w:val="center"/>
          </w:tcPr>
          <w:p>
            <w:pPr>
              <w:pStyle w:val="TableContents"/>
              <w:bidi w:val="0"/>
              <w:spacing w:before="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Caroline Dowling</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Former Business Group President, Flex</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Director since</w:t>
            </w:r>
            <w:r>
              <w:rPr>
                <w:rFonts w:ascii="Arial;Helvetica;sans-serif" w:hAnsi="Arial;Helvetica;sans-serif"/>
                <w:b w:val="false"/>
                <w:color w:val="000000"/>
                <w:sz w:val="18"/>
              </w:rPr>
              <w:t>: October 2025</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Age</w:t>
            </w:r>
            <w:r>
              <w:rPr>
                <w:rFonts w:ascii="Arial;Helvetica;sans-serif" w:hAnsi="Arial;Helvetica;sans-serif"/>
                <w:b w:val="false"/>
                <w:color w:val="000000"/>
                <w:sz w:val="18"/>
              </w:rPr>
              <w:t>: 59</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Independent Director</w:t>
            </w:r>
          </w:p>
          <w:p>
            <w:pPr>
              <w:pStyle w:val="TableContents"/>
              <w:bidi w:val="0"/>
              <w:spacing w:before="0" w:after="283"/>
              <w:ind w:left="0" w:right="0" w:hanging="0"/>
              <w:jc w:val="left"/>
              <w:rPr>
                <w:rFonts w:ascii="Arial;Helvetica;sans-serif" w:hAnsi="Arial;Helvetica;sans-serif"/>
                <w:b/>
                <w:color w:val="578255"/>
                <w:sz w:val="18"/>
              </w:rPr>
            </w:pPr>
            <w:r>
              <w:rPr>
                <w:rFonts w:ascii="Arial;Helvetica;sans-serif" w:hAnsi="Arial;Helvetica;sans-serif"/>
                <w:b/>
                <w:color w:val="000000"/>
                <w:sz w:val="18"/>
              </w:rPr>
              <w:t>Board committees</w:t>
            </w:r>
            <w:r>
              <w:rPr>
                <w:rFonts w:ascii="Arial;Helvetica;sans-serif" w:hAnsi="Arial;Helvetica;sans-serif"/>
                <w:b w:val="false"/>
                <w:color w:val="000000"/>
                <w:sz w:val="18"/>
              </w:rPr>
              <w:t xml:space="preserve">: Audit; Nominating &amp; Corporate Governance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Board Skills and Qualifications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Global business and technology leader with experience across manufacturing strategy, telecommunications and cloud infrastructure, M&amp;A, business transformation, and complex global supply chains, together with public company board and governance experience</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Over more than 20 years at Flex, led global teams and a group of Flex businesses with approximately $10 billion in annual revenue, bringing complex technologies from concept and design through to large-scale manufacturing and supply chains within a Fortune 500 company with operations in 30 countries </w:t>
            </w:r>
          </w:p>
        </w:tc>
      </w:tr>
      <w:tr>
        <w:trPr/>
        <w:tc>
          <w:tcPr>
            <w:tcW w:w="3105" w:type="dxa"/>
            <w:tcBorders/>
            <w:vAlign w:val="center"/>
          </w:tcPr>
          <w:p>
            <w:pPr>
              <w:pStyle w:val="TableContents"/>
              <w:bidi w:val="0"/>
              <w:spacing w:before="0" w:after="0"/>
              <w:jc w:val="left"/>
              <w:rPr>
                <w:color w:val="000000"/>
              </w:rPr>
            </w:pPr>
            <w:r>
              <w:rPr>
                <w:color w:val="000000"/>
              </w:rPr>
              <w:t> </w:t>
            </w:r>
          </w:p>
        </w:tc>
        <w:tc>
          <w:tcPr>
            <w:tcW w:w="29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6450"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Career Highlights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Business Group President, Flex</w:t>
            </w:r>
            <w:r>
              <w:rPr>
                <w:rFonts w:ascii="Arial;Helvetica;sans-serif" w:hAnsi="Arial;Helvetica;sans-serif"/>
                <w:b w:val="false"/>
                <w:color w:val="000000"/>
                <w:sz w:val="18"/>
              </w:rPr>
              <w:t>, a top-tier electronic manufacturing services provider, where she led global businesses across telecommunications, networking, cloud and data center infrastructure, and services (2012 – February 2019)</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Prior strategy, M&amp;A, operations, business development and commercial leadership roles at Flex</w:t>
            </w:r>
            <w:r>
              <w:rPr>
                <w:rFonts w:ascii="Arial;Helvetica;sans-serif" w:hAnsi="Arial;Helvetica;sans-serif"/>
                <w:b w:val="false"/>
                <w:color w:val="000000"/>
                <w:sz w:val="18"/>
              </w:rPr>
              <w:t>, including President of Corporate Strategy and Senior Vice President of Global Sales (2000 – 2012)</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color w:val="000000"/>
                <w:sz w:val="20"/>
              </w:rPr>
            </w:pPr>
            <w:r>
              <w:rPr>
                <w:rFonts w:ascii="Arial;Helvetica;sans-serif" w:hAnsi="Arial;Helvetica;sans-serif"/>
                <w:b/>
                <w:color w:val="000000"/>
                <w:sz w:val="18"/>
              </w:rPr>
              <w:t>Prior business development, strategic account management and sales roles</w:t>
            </w:r>
            <w:r>
              <w:rPr>
                <w:rFonts w:ascii="Arial;Helvetica;sans-serif" w:hAnsi="Arial;Helvetica;sans-serif"/>
                <w:b/>
                <w:color w:val="000000"/>
                <w:sz w:val="20"/>
              </w:rPr>
              <w:t xml:space="preserve"> </w:t>
            </w:r>
            <w:r>
              <w:rPr>
                <w:rFonts w:ascii="Arial;Helvetica;sans-serif" w:hAnsi="Arial;Helvetica;sans-serif"/>
                <w:b w:val="false"/>
                <w:color w:val="000000"/>
                <w:sz w:val="18"/>
              </w:rPr>
              <w:t>at DII Group (acquired by Flextronics) and Alps Electronics</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18"/>
              </w:rPr>
              <w:t>Former board member, IDA Ireland</w:t>
            </w:r>
            <w:r>
              <w:rPr>
                <w:rFonts w:ascii="Arial;Helvetica;sans-serif" w:hAnsi="Arial;Helvetica;sans-serif"/>
                <w:b/>
                <w:color w:val="000000"/>
                <w:sz w:val="20"/>
              </w:rPr>
              <w:t xml:space="preserve"> </w:t>
            </w:r>
          </w:p>
        </w:tc>
      </w:tr>
      <w:tr>
        <w:trPr/>
        <w:tc>
          <w:tcPr>
            <w:tcW w:w="3105" w:type="dxa"/>
            <w:tcBorders/>
            <w:vAlign w:val="center"/>
          </w:tcPr>
          <w:p>
            <w:pPr>
              <w:pStyle w:val="TableContents"/>
              <w:bidi w:val="0"/>
              <w:spacing w:before="0" w:after="0"/>
              <w:jc w:val="left"/>
              <w:rPr>
                <w:color w:val="000000"/>
              </w:rPr>
            </w:pPr>
            <w:r>
              <w:rPr>
                <w:color w:val="000000"/>
              </w:rPr>
              <w:t> </w:t>
            </w:r>
          </w:p>
        </w:tc>
        <w:tc>
          <w:tcPr>
            <w:tcW w:w="29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6450"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Education</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Completed the Harvard Advanced Management Program (AMP 175)</w:t>
            </w:r>
          </w:p>
          <w:p>
            <w:pPr>
              <w:pStyle w:val="TableContents"/>
              <w:bidi w:val="0"/>
              <w:spacing w:before="0" w:after="283"/>
              <w:ind w:left="0" w:right="0" w:hanging="0"/>
              <w:jc w:val="left"/>
              <w:rPr>
                <w:color w:val="000000"/>
              </w:rPr>
            </w:pPr>
            <w:r>
              <w:rPr>
                <w:color w:val="000000"/>
              </w:rPr>
              <w:t> </w:t>
            </w:r>
            <w:r>
              <w:rPr>
                <w:color w:val="578255"/>
              </w:rPr>
              <w:t>•</w:t>
            </w: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Holds a Diploma in Environmental, Social &amp; Governance from the Corporate Governance Institute </w:t>
            </w:r>
          </w:p>
        </w:tc>
      </w:tr>
      <w:tr>
        <w:trPr/>
        <w:tc>
          <w:tcPr>
            <w:tcW w:w="3105" w:type="dxa"/>
            <w:tcBorders/>
            <w:vAlign w:val="center"/>
          </w:tcPr>
          <w:p>
            <w:pPr>
              <w:pStyle w:val="TableContents"/>
              <w:bidi w:val="0"/>
              <w:spacing w:before="0" w:after="0"/>
              <w:jc w:val="left"/>
              <w:rPr>
                <w:color w:val="000000"/>
              </w:rPr>
            </w:pPr>
            <w:r>
              <w:rPr>
                <w:color w:val="000000"/>
              </w:rPr>
              <w:t> </w:t>
            </w:r>
          </w:p>
        </w:tc>
        <w:tc>
          <w:tcPr>
            <w:tcW w:w="295" w:type="dxa"/>
            <w:tcBorders/>
            <w:vAlign w:val="center"/>
          </w:tcPr>
          <w:p>
            <w:pPr>
              <w:pStyle w:val="TableContents"/>
              <w:bidi w:val="0"/>
              <w:spacing w:before="0" w:after="0"/>
              <w:jc w:val="left"/>
              <w:rPr/>
            </w:pPr>
            <w:r>
              <w:rPr/>
              <w:t> </w:t>
            </w:r>
          </w:p>
        </w:tc>
        <w:tc>
          <w:tcPr>
            <w:tcW w:w="295" w:type="dxa"/>
            <w:tcBorders/>
            <w:vAlign w:val="center"/>
          </w:tcPr>
          <w:p>
            <w:pPr>
              <w:pStyle w:val="TableContents"/>
              <w:bidi w:val="0"/>
              <w:spacing w:before="0" w:after="0"/>
              <w:jc w:val="left"/>
              <w:rPr/>
            </w:pPr>
            <w:r>
              <w:rPr/>
              <w:t> </w:t>
            </w:r>
          </w:p>
        </w:tc>
        <w:tc>
          <w:tcPr>
            <w:tcW w:w="6450" w:type="dxa"/>
            <w:tcBorders/>
            <w:vAlign w:val="center"/>
          </w:tcPr>
          <w:p>
            <w:pPr>
              <w:pStyle w:val="TableContents"/>
              <w:bidi w:val="0"/>
              <w:spacing w:before="0" w:after="0"/>
              <w:jc w:val="left"/>
              <w:rPr>
                <w:color w:val="000000"/>
              </w:rPr>
            </w:pPr>
            <w:r>
              <w:rPr>
                <w:color w:val="000000"/>
              </w:rPr>
              <w:t> </w:t>
            </w:r>
          </w:p>
        </w:tc>
      </w:tr>
      <w:tr>
        <w:trPr/>
        <w:tc>
          <w:tcPr>
            <w:tcW w:w="1014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Other Public Company Boards (Last Five Years)</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CRH plc (NYSE: CRH) (2021 – present); serves on the audit committee and the safety, environment &amp; social responsibility committee</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DCC plc (LSE: DCC) (2019 – present); Senior Independent Director; serves on the audit committee and the remuneration committee</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b w:val="false"/>
                <w:color w:val="000000"/>
                <w:sz w:val="18"/>
              </w:rPr>
            </w:pPr>
            <w:r>
              <w:rPr>
                <w:rFonts w:ascii="Arial;Helvetica;sans-serif" w:hAnsi="Arial;Helvetica;sans-serif"/>
                <w:b w:val="false"/>
                <w:color w:val="000000"/>
                <w:sz w:val="18"/>
              </w:rPr>
              <w:t>IMI plc (LSE: IMI) (November 2019 – May 2025); chaired the remuneration committee and served on the nomination committee</w:t>
            </w:r>
          </w:p>
        </w:tc>
      </w:tr>
      <w:tr>
        <w:trPr/>
        <w:tc>
          <w:tcPr>
            <w:tcW w:w="10145" w:type="dxa"/>
            <w:gridSpan w:val="4"/>
            <w:tcBorders/>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3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2" descr=""/>
                          <pic:cNvPicPr>
                            <a:picLocks noChangeAspect="1" noChangeArrowheads="1"/>
                          </pic:cNvPicPr>
                        </pic:nvPicPr>
                        <pic:blipFill>
                          <a:blip r:embed="rId10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0" w:name="ny20081940x1_def14a_106-prop1_pg9"/>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31" w:name="tDC"/>
      <w:bookmarkEnd w:id="131"/>
      <w:r>
        <w:rPr>
          <w:rFonts w:ascii="Arial;Helvetica;sans-serif" w:hAnsi="Arial;Helvetica;sans-serif"/>
          <w:b/>
          <w:color w:val="578255"/>
          <w:sz w:val="44"/>
        </w:rPr>
        <w:t xml:space="preserve">DIRECTOR COMPENSATION </w:t>
      </w:r>
    </w:p>
    <w:p>
      <w:pPr>
        <w:pStyle w:val="TextBody"/>
        <w:bidi w:val="0"/>
        <w:spacing w:before="400" w:after="283"/>
        <w:ind w:left="0" w:right="0" w:hanging="0"/>
        <w:jc w:val="left"/>
        <w:rPr>
          <w:rFonts w:ascii="Arial;Helvetica;sans-serif" w:hAnsi="Arial;Helvetica;sans-serif"/>
          <w:b/>
          <w:color w:val="000000"/>
          <w:sz w:val="28"/>
        </w:rPr>
      </w:pPr>
      <w:bookmarkStart w:id="132" w:name="tDC1"/>
      <w:bookmarkEnd w:id="132"/>
      <w:r>
        <w:rPr>
          <w:rFonts w:ascii="Arial;Helvetica;sans-serif" w:hAnsi="Arial;Helvetica;sans-serif"/>
          <w:b/>
          <w:color w:val="000000"/>
          <w:sz w:val="28"/>
        </w:rPr>
        <w:t xml:space="preserve">Annual Non-Employee Director Compensation Elements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annually reviews director compensation with the assistance of its independent compensation consultant to ensure that it is appropriate and competitive in light of market circumstances and prevailing “best practices” for corporate governance. The compensation elements reflect the Board’s view that compensation to non-employee directors should consist of an appropriate mix of cash and equity awards. The annual non-employee director compensation arrangements described below have been effective since June 29, 2024 (the beginning of fiscal 2025). </w:t>
      </w:r>
    </w:p>
    <w:tbl>
      <w:tblPr>
        <w:tblW w:w="10205" w:type="dxa"/>
        <w:jc w:val="left"/>
        <w:tblInd w:w="0" w:type="dxa"/>
        <w:tblLayout w:type="fixed"/>
        <w:tblCellMar>
          <w:top w:w="0" w:type="dxa"/>
          <w:left w:w="0" w:type="dxa"/>
          <w:bottom w:w="0" w:type="dxa"/>
          <w:right w:w="0" w:type="dxa"/>
        </w:tblCellMar>
      </w:tblPr>
      <w:tblGrid>
        <w:gridCol w:w="185"/>
        <w:gridCol w:w="1251"/>
        <w:gridCol w:w="170"/>
        <w:gridCol w:w="170"/>
        <w:gridCol w:w="3450"/>
        <w:gridCol w:w="307"/>
        <w:gridCol w:w="307"/>
        <w:gridCol w:w="4149"/>
        <w:gridCol w:w="216"/>
      </w:tblGrid>
      <w:tr>
        <w:trPr/>
        <w:tc>
          <w:tcPr>
            <w:tcW w:w="185" w:type="dxa"/>
            <w:tcBorders/>
            <w:shd w:fill="819F7C" w:val="clear"/>
            <w:vAlign w:val="center"/>
          </w:tcPr>
          <w:p>
            <w:pPr>
              <w:pStyle w:val="TableContents"/>
              <w:bidi w:val="0"/>
              <w:spacing w:before="0" w:after="0"/>
              <w:jc w:val="left"/>
              <w:rPr/>
            </w:pPr>
            <w:r>
              <w:rPr/>
              <w:t> </w:t>
            </w:r>
          </w:p>
        </w:tc>
        <w:tc>
          <w:tcPr>
            <w:tcW w:w="1251"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213" w:type="dxa"/>
            <w:gridSpan w:val="4"/>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51"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Pay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213" w:type="dxa"/>
            <w:gridSpan w:val="4"/>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9"/>
              </w:rPr>
            </w:pPr>
            <w:r>
              <w:rPr>
                <w:rFonts w:ascii="Arial;Helvetica;sans-serif" w:hAnsi="Arial;Helvetica;sans-serif"/>
                <w:b/>
                <w:color w:val="FFFFFF"/>
                <w:sz w:val="19"/>
              </w:rPr>
              <w:t>Fiscal 2026 Board Compensation for Non-Employee Directors</w:t>
            </w:r>
          </w:p>
        </w:tc>
        <w:tc>
          <w:tcPr>
            <w:tcW w:w="216"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251"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Annual Retainer </w:t>
            </w:r>
          </w:p>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(Cash)</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45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All Board Members:</w:t>
            </w:r>
          </w:p>
        </w:tc>
        <w:tc>
          <w:tcPr>
            <w:tcW w:w="307" w:type="dxa"/>
            <w:tcBorders/>
            <w:shd w:fill="E5E9E3" w:val="clear"/>
            <w:vAlign w:val="center"/>
          </w:tcPr>
          <w:p>
            <w:pPr>
              <w:pStyle w:val="TableContents"/>
              <w:bidi w:val="0"/>
              <w:spacing w:before="0" w:after="0"/>
              <w:jc w:val="left"/>
              <w:rPr/>
            </w:pPr>
            <w:r>
              <w:rPr/>
              <w:t> </w:t>
            </w:r>
          </w:p>
        </w:tc>
        <w:tc>
          <w:tcPr>
            <w:tcW w:w="307"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$85,000</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345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Board Chair*:</w:t>
            </w:r>
          </w:p>
        </w:tc>
        <w:tc>
          <w:tcPr>
            <w:tcW w:w="307" w:type="dxa"/>
            <w:tcBorders/>
            <w:shd w:fill="E5E9E3" w:val="clear"/>
            <w:vAlign w:val="center"/>
          </w:tcPr>
          <w:p>
            <w:pPr>
              <w:pStyle w:val="TableContents"/>
              <w:bidi w:val="0"/>
              <w:spacing w:before="0" w:after="0"/>
              <w:jc w:val="left"/>
              <w:rPr/>
            </w:pPr>
            <w:r>
              <w:rPr/>
              <w:t> </w:t>
            </w:r>
          </w:p>
        </w:tc>
        <w:tc>
          <w:tcPr>
            <w:tcW w:w="307"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$200,000</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345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Lead Independent Director**:</w:t>
            </w:r>
          </w:p>
        </w:tc>
        <w:tc>
          <w:tcPr>
            <w:tcW w:w="307" w:type="dxa"/>
            <w:tcBorders/>
            <w:shd w:fill="E5E9E3" w:val="clear"/>
            <w:vAlign w:val="center"/>
          </w:tcPr>
          <w:p>
            <w:pPr>
              <w:pStyle w:val="TableContents"/>
              <w:bidi w:val="0"/>
              <w:spacing w:before="0" w:after="0"/>
              <w:jc w:val="left"/>
              <w:rPr/>
            </w:pPr>
            <w:r>
              <w:rPr/>
              <w:t> </w:t>
            </w:r>
          </w:p>
        </w:tc>
        <w:tc>
          <w:tcPr>
            <w:tcW w:w="307"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$45,000</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*Applicable only if the Board Chair is a non-employee director.</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**Applicable only if the Board Chair is not an independent director.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251"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Committee Member Retainer (Cash)</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Audit Committee:</w:t>
            </w:r>
          </w:p>
        </w:tc>
        <w:tc>
          <w:tcPr>
            <w:tcW w:w="307" w:type="dxa"/>
            <w:tcBorders/>
            <w:vAlign w:val="center"/>
          </w:tcPr>
          <w:p>
            <w:pPr>
              <w:pStyle w:val="TableContents"/>
              <w:bidi w:val="0"/>
              <w:spacing w:before="0" w:after="0"/>
              <w:jc w:val="left"/>
              <w:rPr/>
            </w:pPr>
            <w:r>
              <w:rPr/>
              <w:t> </w:t>
            </w:r>
          </w:p>
        </w:tc>
        <w:tc>
          <w:tcPr>
            <w:tcW w:w="307" w:type="dxa"/>
            <w:tcBorders/>
            <w:vAlign w:val="center"/>
          </w:tcPr>
          <w:p>
            <w:pPr>
              <w:pStyle w:val="TableContents"/>
              <w:bidi w:val="0"/>
              <w:spacing w:before="0" w:after="0"/>
              <w:jc w:val="left"/>
              <w:rPr/>
            </w:pPr>
            <w:r>
              <w:rPr/>
              <w:t> </w:t>
            </w:r>
          </w:p>
        </w:tc>
        <w:tc>
          <w:tcPr>
            <w:tcW w:w="4149"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$14,000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$33,000 </w:t>
            </w:r>
            <w:r>
              <w:rPr>
                <w:rFonts w:ascii="Arial;Helvetica;sans-serif" w:hAnsi="Arial;Helvetica;sans-serif"/>
                <w:b w:val="false"/>
                <w:color w:val="000000"/>
                <w:sz w:val="19"/>
              </w:rPr>
              <w:t>if member is the chair)</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45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Compensation Committee:</w:t>
            </w:r>
          </w:p>
        </w:tc>
        <w:tc>
          <w:tcPr>
            <w:tcW w:w="307" w:type="dxa"/>
            <w:tcBorders/>
            <w:vAlign w:val="center"/>
          </w:tcPr>
          <w:p>
            <w:pPr>
              <w:pStyle w:val="TableContents"/>
              <w:bidi w:val="0"/>
              <w:spacing w:before="0" w:after="0"/>
              <w:jc w:val="left"/>
              <w:rPr/>
            </w:pPr>
            <w:r>
              <w:rPr/>
              <w:t> </w:t>
            </w:r>
          </w:p>
        </w:tc>
        <w:tc>
          <w:tcPr>
            <w:tcW w:w="307" w:type="dxa"/>
            <w:tcBorders/>
            <w:vAlign w:val="center"/>
          </w:tcPr>
          <w:p>
            <w:pPr>
              <w:pStyle w:val="TableContents"/>
              <w:bidi w:val="0"/>
              <w:spacing w:before="0" w:after="0"/>
              <w:jc w:val="left"/>
              <w:rPr/>
            </w:pPr>
            <w:r>
              <w:rPr/>
              <w:t> </w:t>
            </w:r>
          </w:p>
        </w:tc>
        <w:tc>
          <w:tcPr>
            <w:tcW w:w="4149"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$10,000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$24,000 </w:t>
            </w:r>
            <w:r>
              <w:rPr>
                <w:rFonts w:ascii="Arial;Helvetica;sans-serif" w:hAnsi="Arial;Helvetica;sans-serif"/>
                <w:b w:val="false"/>
                <w:color w:val="000000"/>
                <w:sz w:val="19"/>
              </w:rPr>
              <w:t>if member is the chair)</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5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45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Nominating &amp; Corporate</w:t>
            </w:r>
          </w:p>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Governance Committee:</w:t>
            </w:r>
          </w:p>
        </w:tc>
        <w:tc>
          <w:tcPr>
            <w:tcW w:w="307" w:type="dxa"/>
            <w:tcBorders/>
            <w:vAlign w:val="center"/>
          </w:tcPr>
          <w:p>
            <w:pPr>
              <w:pStyle w:val="TableContents"/>
              <w:bidi w:val="0"/>
              <w:spacing w:before="0" w:after="0"/>
              <w:jc w:val="left"/>
              <w:rPr/>
            </w:pPr>
            <w:r>
              <w:rPr/>
              <w:t> </w:t>
            </w:r>
          </w:p>
        </w:tc>
        <w:tc>
          <w:tcPr>
            <w:tcW w:w="307" w:type="dxa"/>
            <w:tcBorders/>
            <w:vAlign w:val="center"/>
          </w:tcPr>
          <w:p>
            <w:pPr>
              <w:pStyle w:val="TableContents"/>
              <w:bidi w:val="0"/>
              <w:spacing w:before="0" w:after="0"/>
              <w:jc w:val="left"/>
              <w:rPr/>
            </w:pPr>
            <w:r>
              <w:rPr/>
              <w:t> </w:t>
            </w:r>
          </w:p>
        </w:tc>
        <w:tc>
          <w:tcPr>
            <w:tcW w:w="4149" w:type="dxa"/>
            <w:tcBorders/>
            <w:vAlign w:val="center"/>
          </w:tcPr>
          <w:p>
            <w:pPr>
              <w:pStyle w:val="TableContents"/>
              <w:bidi w:val="0"/>
              <w:spacing w:before="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$7,000 </w:t>
            </w:r>
            <w:r>
              <w:rPr>
                <w:rFonts w:ascii="Arial;Helvetica;sans-serif" w:hAnsi="Arial;Helvetica;sans-serif"/>
                <w:b w:val="false"/>
                <w:color w:val="000000"/>
                <w:sz w:val="19"/>
              </w:rPr>
              <w:t xml:space="preserve">(or </w:t>
            </w:r>
            <w:r>
              <w:rPr>
                <w:rFonts w:ascii="Arial;Helvetica;sans-serif" w:hAnsi="Arial;Helvetica;sans-serif"/>
                <w:b/>
                <w:color w:val="000000"/>
                <w:sz w:val="19"/>
              </w:rPr>
              <w:t xml:space="preserve">$16,000 </w:t>
            </w:r>
            <w:r>
              <w:rPr>
                <w:rFonts w:ascii="Arial;Helvetica;sans-serif" w:hAnsi="Arial;Helvetica;sans-serif"/>
                <w:b w:val="false"/>
                <w:color w:val="000000"/>
                <w:sz w:val="19"/>
              </w:rPr>
              <w:t xml:space="preserve">if member is the chair) </w:t>
            </w:r>
          </w:p>
        </w:tc>
        <w:tc>
          <w:tcPr>
            <w:tcW w:w="216"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251"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9"/>
              </w:rPr>
            </w:pPr>
            <w:r>
              <w:rPr>
                <w:rFonts w:ascii="Arial;Helvetica;sans-serif" w:hAnsi="Arial;Helvetica;sans-serif"/>
                <w:b/>
                <w:color w:val="000000"/>
                <w:sz w:val="19"/>
              </w:rPr>
              <w:t>Restricted Share Units (Equity)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Initial Grant*</w:t>
            </w:r>
            <w:r>
              <w:rPr>
                <w:rFonts w:ascii="Arial;Helvetica;sans-serif" w:hAnsi="Arial;Helvetica;sans-serif"/>
                <w:b w:val="false"/>
                <w:color w:val="000000"/>
                <w:sz w:val="19"/>
              </w:rPr>
              <w:t xml:space="preserve">: Upon joining the Board, and effective as of the date an individual becomes a non-employee member of the Board, an award of RSUs, on a prorated basis, to cover a number of Fabrinet’s ordinary shares equal to: </w:t>
            </w:r>
            <w:r>
              <w:rPr>
                <w:rFonts w:ascii="Arial;Helvetica;sans-serif" w:hAnsi="Arial;Helvetica;sans-serif"/>
                <w:b/>
                <w:color w:val="000000"/>
                <w:sz w:val="19"/>
              </w:rPr>
              <w:t>$220,000</w:t>
            </w:r>
            <w:r>
              <w:rPr>
                <w:rFonts w:ascii="Arial;Helvetica;sans-serif" w:hAnsi="Arial;Helvetica;sans-serif"/>
                <w:b w:val="false"/>
                <w:color w:val="000000"/>
                <w:sz w:val="19"/>
              </w:rPr>
              <w:t>, divided by the closing price of the ordinary shares on the NYSE on the date of grant, and multiplied by the ratio of (i) the number of days beginning with the date the director joins the Board and ending on the day immediately preceding the one year anniversary of the prior year’s annual shareholder meeting, divided by (ii) 365 days, with the resulting number rounded up to the nearest whole share. For the avoidance of doubt, an individual who becomes a non-employee director as a result of ceasing to be an employee will be eligible to receive an Initial Grant.</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Annual Grant*</w:t>
            </w:r>
            <w:r>
              <w:rPr>
                <w:rFonts w:ascii="Arial;Helvetica;sans-serif" w:hAnsi="Arial;Helvetica;sans-serif"/>
                <w:b w:val="false"/>
                <w:color w:val="000000"/>
                <w:sz w:val="19"/>
              </w:rPr>
              <w:t xml:space="preserve">: On the date of each annual shareholder meeting and provided that the non-employee director will continue as a Board member following such meeting, an award of RSUs covering a number of Fabrinet’s ordinary shares equal to: </w:t>
            </w:r>
            <w:r>
              <w:rPr>
                <w:rFonts w:ascii="Arial;Helvetica;sans-serif" w:hAnsi="Arial;Helvetica;sans-serif"/>
                <w:b/>
                <w:color w:val="000000"/>
                <w:sz w:val="19"/>
              </w:rPr>
              <w:t>$220,000</w:t>
            </w:r>
            <w:r>
              <w:rPr>
                <w:rFonts w:ascii="Arial;Helvetica;sans-serif" w:hAnsi="Arial;Helvetica;sans-serif"/>
                <w:b w:val="false"/>
                <w:color w:val="000000"/>
                <w:sz w:val="19"/>
              </w:rPr>
              <w:t xml:space="preserve">, divided by the closing price of the ordinary shares on the NYSE on the date of grant, with the resulting number rounded up to the nearest whole share.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b/>
                <w:color w:val="000000"/>
                <w:sz w:val="19"/>
              </w:rPr>
            </w:pPr>
            <w:r>
              <w:rPr>
                <w:rFonts w:ascii="Arial;Helvetica;sans-serif" w:hAnsi="Arial;Helvetica;sans-serif"/>
                <w:b/>
                <w:color w:val="000000"/>
                <w:sz w:val="19"/>
              </w:rPr>
              <w:t>Vesting</w:t>
            </w:r>
            <w:r>
              <w:rPr>
                <w:rFonts w:ascii="Arial;Helvetica;sans-serif" w:hAnsi="Arial;Helvetica;sans-serif"/>
                <w:b w:val="false"/>
                <w:color w:val="000000"/>
                <w:sz w:val="19"/>
              </w:rPr>
              <w:t>: RSUs will be scheduled to vest in full on January 1 following the next annual meeting of shareholders after the applicable date of grant, provided the director continues to remain a service provider to Fabrinet through such date.</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251"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*Grants are automatic and nondiscretionary and subject to the terms and conditions of Fabrinet’s 2020 Equity Incentive Plan and form of Restricted Share Unit Agreement previously approved for use under such plan. Any RSUs that vest will be settled in ordinary shares of Fabrinet, and the par value of ordinary shares of Fabrinet issued upon such settlement will be considered to have been paid with past services rendered.</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51"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213" w:type="dxa"/>
            <w:gridSpan w:val="4"/>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Fiscal 2027 Board Compensation for Non-Employee Directors</w:t>
      </w:r>
      <w:r>
        <w:rPr>
          <w:rFonts w:ascii="Arial;Helvetica;sans-serif" w:hAnsi="Arial;Helvetica;sans-serif"/>
          <w:b w:val="false"/>
          <w:color w:val="000000"/>
          <w:sz w:val="20"/>
        </w:rPr>
        <w:t xml:space="preserve">: In 2026, the Compensation Committee retained Compensia, Inc., a national compensation consulting firm, to provide independent services to assist the Compensation Committee in evaluating the competitiveness of our non-employee director compensation program. As a result of this review, the Compensation Committee determined not to make any changes to the program for fiscal 2027.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3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3" descr=""/>
                          <pic:cNvPicPr>
                            <a:picLocks noChangeAspect="1" noChangeArrowheads="1"/>
                          </pic:cNvPicPr>
                        </pic:nvPicPr>
                        <pic:blipFill>
                          <a:blip r:embed="rId10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3" w:name="ny20081940x1_def14a_106-prop1_pg10"/>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DIRECTOR COMPENSATION </w:t>
      </w:r>
    </w:p>
    <w:p>
      <w:pPr>
        <w:pStyle w:val="TextBody"/>
        <w:bidi w:val="0"/>
        <w:spacing w:before="190" w:after="283"/>
        <w:ind w:left="60" w:right="0" w:hanging="0"/>
        <w:jc w:val="left"/>
        <w:rPr>
          <w:rFonts w:ascii="Arial;Helvetica;sans-serif" w:hAnsi="Arial;Helvetica;sans-serif"/>
          <w:b/>
          <w:color w:val="000000"/>
          <w:sz w:val="28"/>
        </w:rPr>
      </w:pPr>
      <w:bookmarkStart w:id="134" w:name="tDC2"/>
      <w:bookmarkEnd w:id="134"/>
      <w:r>
        <w:rPr>
          <w:rFonts w:ascii="Arial;Helvetica;sans-serif" w:hAnsi="Arial;Helvetica;sans-serif"/>
          <w:b/>
          <w:color w:val="000000"/>
          <w:sz w:val="28"/>
        </w:rPr>
        <w:t xml:space="preserve">Fiscal 2026 Director Compensation Table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compensation earned or paid in fiscal 2026 to individuals who were members of the Board at any time during fiscal 2026, and who also were not our employees. We refer to those directors as non-employee directors. During fiscal 2026, Mr. Grady, our chief executive officer, did not receive additional compensation for his service as a director. </w:t>
      </w:r>
    </w:p>
    <w:tbl>
      <w:tblPr>
        <w:tblW w:w="9270" w:type="dxa"/>
        <w:jc w:val="left"/>
        <w:tblInd w:w="60" w:type="dxa"/>
        <w:tblLayout w:type="fixed"/>
        <w:tblCellMar>
          <w:top w:w="0" w:type="dxa"/>
          <w:left w:w="0" w:type="dxa"/>
          <w:bottom w:w="0" w:type="dxa"/>
          <w:right w:w="0" w:type="dxa"/>
        </w:tblCellMar>
      </w:tblPr>
      <w:tblGrid>
        <w:gridCol w:w="185"/>
        <w:gridCol w:w="3065"/>
        <w:gridCol w:w="170"/>
        <w:gridCol w:w="170"/>
        <w:gridCol w:w="1235"/>
        <w:gridCol w:w="170"/>
        <w:gridCol w:w="170"/>
        <w:gridCol w:w="1145"/>
        <w:gridCol w:w="170"/>
        <w:gridCol w:w="170"/>
        <w:gridCol w:w="1265"/>
        <w:gridCol w:w="170"/>
        <w:gridCol w:w="170"/>
        <w:gridCol w:w="800"/>
        <w:gridCol w:w="215"/>
      </w:tblGrid>
      <w:tr>
        <w:trPr/>
        <w:tc>
          <w:tcPr>
            <w:tcW w:w="185" w:type="dxa"/>
            <w:tcBorders/>
            <w:shd w:fill="819F7C" w:val="clear"/>
            <w:vAlign w:val="center"/>
          </w:tcPr>
          <w:p>
            <w:pPr>
              <w:pStyle w:val="TableContents"/>
              <w:bidi w:val="0"/>
              <w:spacing w:before="0" w:after="0"/>
              <w:jc w:val="left"/>
              <w:rPr/>
            </w:pPr>
            <w:r>
              <w:rPr/>
              <w:t> </w:t>
            </w:r>
          </w:p>
        </w:tc>
        <w:tc>
          <w:tcPr>
            <w:tcW w:w="30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30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Fees Earned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Paid in Cash</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306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Current 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ind w:left="1305"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5" w:type="dxa"/>
            <w:tcBorders/>
            <w:shd w:fill="E5E9E3" w:val="clear"/>
            <w:vAlign w:val="center"/>
          </w:tcPr>
          <w:p>
            <w:pPr>
              <w:pStyle w:val="TableContents"/>
              <w:bidi w:val="0"/>
              <w:spacing w:before="0" w:after="283"/>
              <w:ind w:left="1305"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ind w:left="1305"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ind w:left="1305"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Forbes I.J. Alexander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220,247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328,747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30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Homa Bahrami</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111,000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220,247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331,247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Caroline Dowling</w:t>
            </w:r>
            <w:r>
              <w:rPr>
                <w:rFonts w:ascii="Arial;Helvetica;sans-serif" w:hAnsi="Arial;Helvetica;san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61,763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255,829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317,592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30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Thomas F. Kelly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128,000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220,247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348,247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Dr. Frank H. Levinson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220,247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388,247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306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Former 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5"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Darlene S. Knight</w:t>
            </w:r>
            <w:r>
              <w:rPr>
                <w:rFonts w:ascii="Arial;Helvetica;sans-serif" w:hAnsi="Arial;Helvetica;san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45,420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30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David T. (Tom) Mitchell</w:t>
            </w:r>
            <w:r>
              <w:rPr>
                <w:rFonts w:ascii="Arial;Helvetica;sans-serif" w:hAnsi="Arial;Helvetica;sans-serif"/>
                <w:color w:val="000000"/>
                <w:position w:val="7"/>
                <w:sz w:val="16"/>
                <w:sz w:val="20"/>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84,560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65" w:type="dxa"/>
            <w:tcBorders/>
            <w:shd w:fill="E5E9E3" w:val="clear"/>
            <w:vAlign w:val="center"/>
          </w:tcPr>
          <w:p>
            <w:pPr>
              <w:pStyle w:val="TableContents"/>
              <w:bidi w:val="0"/>
              <w:spacing w:before="0" w:after="283"/>
              <w:jc w:val="center"/>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0" w:type="dxa"/>
            <w:tcBorders/>
            <w:shd w:fill="E5E9E3"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84,560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Rollance E. Olson</w:t>
            </w:r>
            <w:r>
              <w:rPr>
                <w:rFonts w:ascii="Arial;Helvetica;sans-serif" w:hAnsi="Arial;Helvetica;san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42,209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20,171</w:t>
            </w:r>
            <w:r>
              <w:rPr>
                <w:rFonts w:ascii="Arial;Helvetica;sans-serif" w:hAnsi="Arial;Helvetica;san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62,380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aggregate grant date fair value of the shares in accordance with FASB Accounting Standards Codification Topic 718. The assumptions used in the valuation of these awards are set forth in the notes to our consolidated financial statements, which are included in our Annual Report on Form 10-K for fiscal 2026, filed with the SEC on August 18, 2026. These amounts do not correspond to the actual value that may be realized by the directors. </w:t>
            </w:r>
          </w:p>
        </w:tc>
      </w:tr>
    </w:tbl>
    <w:tbl>
      <w:tblPr>
        <w:tblW w:w="10145" w:type="dxa"/>
        <w:jc w:val="left"/>
        <w:tblInd w:w="60" w:type="dxa"/>
        <w:tblLayout w:type="fixed"/>
        <w:tblCellMar>
          <w:top w:w="0" w:type="dxa"/>
          <w:left w:w="0" w:type="dxa"/>
          <w:bottom w:w="0" w:type="dxa"/>
          <w:right w:w="0" w:type="dxa"/>
        </w:tblCellMar>
      </w:tblPr>
      <w:tblGrid>
        <w:gridCol w:w="199"/>
        <w:gridCol w:w="9946"/>
      </w:tblGrid>
      <w:tr>
        <w:trPr/>
        <w:tc>
          <w:tcPr>
            <w:tcW w:w="19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4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accordance with our non-employee director compensation program, upon her appointment to the Board (October 13, 2025) Ms. Dowling was granted 93 restricted share units with an aggregate grant date fair value of $35,582. On December 11, 2025, each of our current non-employee directors received an award of 417 restricted share units in accordance with our non-employee director compensation program. </w:t>
            </w:r>
          </w:p>
        </w:tc>
      </w:tr>
    </w:tbl>
    <w:tbl>
      <w:tblPr>
        <w:tblW w:w="10145" w:type="dxa"/>
        <w:jc w:val="left"/>
        <w:tblInd w:w="60" w:type="dxa"/>
        <w:tblLayout w:type="fixed"/>
        <w:tblCellMar>
          <w:top w:w="0" w:type="dxa"/>
          <w:left w:w="0" w:type="dxa"/>
          <w:bottom w:w="0" w:type="dxa"/>
          <w:right w:w="0" w:type="dxa"/>
        </w:tblCellMar>
      </w:tblPr>
      <w:tblGrid>
        <w:gridCol w:w="203"/>
        <w:gridCol w:w="9942"/>
      </w:tblGrid>
      <w:tr>
        <w:trPr/>
        <w:tc>
          <w:tcPr>
            <w:tcW w:w="20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4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following table presents the aggregate number of shares underlying unvested stock awards and outstanding options held by each of our non-employee directors as of the last day of fiscal 2026. Ms. Knight, Mr. Mitchell and Mr. Olson did not hold any unvested stock awards or outstanding options as of the last day of fiscal 2026. </w:t>
            </w:r>
          </w:p>
        </w:tc>
      </w:tr>
    </w:tbl>
    <w:tbl>
      <w:tblPr>
        <w:tblW w:w="7440" w:type="dxa"/>
        <w:jc w:val="left"/>
        <w:tblInd w:w="60" w:type="dxa"/>
        <w:tblLayout w:type="fixed"/>
        <w:tblCellMar>
          <w:top w:w="0" w:type="dxa"/>
          <w:left w:w="0" w:type="dxa"/>
          <w:bottom w:w="0" w:type="dxa"/>
          <w:right w:w="0" w:type="dxa"/>
        </w:tblCellMar>
      </w:tblPr>
      <w:tblGrid>
        <w:gridCol w:w="185"/>
        <w:gridCol w:w="1670"/>
        <w:gridCol w:w="170"/>
        <w:gridCol w:w="170"/>
        <w:gridCol w:w="2345"/>
        <w:gridCol w:w="170"/>
        <w:gridCol w:w="170"/>
        <w:gridCol w:w="2345"/>
        <w:gridCol w:w="215"/>
      </w:tblGrid>
      <w:tr>
        <w:trPr/>
        <w:tc>
          <w:tcPr>
            <w:tcW w:w="185" w:type="dxa"/>
            <w:tcBorders/>
            <w:shd w:fill="819F7C" w:val="clear"/>
            <w:vAlign w:val="center"/>
          </w:tcPr>
          <w:p>
            <w:pPr>
              <w:pStyle w:val="TableContents"/>
              <w:bidi w:val="0"/>
              <w:spacing w:before="0" w:after="0"/>
              <w:jc w:val="left"/>
              <w:rPr/>
            </w:pPr>
            <w:r>
              <w:rPr/>
              <w:t> </w:t>
            </w:r>
          </w:p>
        </w:tc>
        <w:tc>
          <w:tcPr>
            <w:tcW w:w="16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4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67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4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 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 Unvested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4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 Number of 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 Outstanding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Forbes I.J. Alexander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Caroline Dowling</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color w:val="000000"/>
              </w:rPr>
            </w:pPr>
            <w:r>
              <w:rPr>
                <w:color w:val="000000"/>
              </w:rPr>
              <w:t>—</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Thomas F. Kelly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7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Frank H. Levinson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283"/>
              <w:jc w:val="center"/>
              <w:rPr>
                <w:color w:val="000000"/>
              </w:rPr>
            </w:pPr>
            <w:r>
              <w:rPr>
                <w:color w:val="000000"/>
              </w:rPr>
              <w:t>—</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4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3535" w:type="dxa"/>
        <w:jc w:val="left"/>
        <w:tblInd w:w="60" w:type="dxa"/>
        <w:tblLayout w:type="fixed"/>
        <w:tblCellMar>
          <w:top w:w="0" w:type="dxa"/>
          <w:left w:w="0" w:type="dxa"/>
          <w:bottom w:w="0" w:type="dxa"/>
          <w:right w:w="0" w:type="dxa"/>
        </w:tblCellMar>
      </w:tblPr>
      <w:tblGrid>
        <w:gridCol w:w="230"/>
        <w:gridCol w:w="330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33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Appointed to the Board on October 13, 2025. </w:t>
            </w:r>
          </w:p>
        </w:tc>
      </w:tr>
    </w:tbl>
    <w:tbl>
      <w:tblPr>
        <w:tblW w:w="6955" w:type="dxa"/>
        <w:jc w:val="left"/>
        <w:tblInd w:w="60" w:type="dxa"/>
        <w:tblLayout w:type="fixed"/>
        <w:tblCellMar>
          <w:top w:w="0" w:type="dxa"/>
          <w:left w:w="0" w:type="dxa"/>
          <w:bottom w:w="0" w:type="dxa"/>
          <w:right w:w="0" w:type="dxa"/>
        </w:tblCellMar>
      </w:tblPr>
      <w:tblGrid>
        <w:gridCol w:w="230"/>
        <w:gridCol w:w="672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672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Term ended at our 2025 annual general meeting of shareholders, held on December 11, 2025. </w:t>
            </w:r>
          </w:p>
        </w:tc>
      </w:tr>
    </w:tbl>
    <w:tbl>
      <w:tblPr>
        <w:tblW w:w="3475" w:type="dxa"/>
        <w:jc w:val="left"/>
        <w:tblInd w:w="60" w:type="dxa"/>
        <w:tblLayout w:type="fixed"/>
        <w:tblCellMar>
          <w:top w:w="0" w:type="dxa"/>
          <w:left w:w="0" w:type="dxa"/>
          <w:bottom w:w="0" w:type="dxa"/>
          <w:right w:w="0" w:type="dxa"/>
        </w:tblCellMar>
      </w:tblPr>
      <w:tblGrid>
        <w:gridCol w:w="230"/>
        <w:gridCol w:w="324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324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Retired from the Board on October 13, 2025. </w:t>
            </w:r>
          </w:p>
        </w:tc>
      </w:tr>
    </w:tbl>
    <w:tbl>
      <w:tblPr>
        <w:tblW w:w="7375" w:type="dxa"/>
        <w:jc w:val="left"/>
        <w:tblInd w:w="60" w:type="dxa"/>
        <w:tblLayout w:type="fixed"/>
        <w:tblCellMar>
          <w:top w:w="0" w:type="dxa"/>
          <w:left w:w="0" w:type="dxa"/>
          <w:bottom w:w="0" w:type="dxa"/>
          <w:right w:w="0" w:type="dxa"/>
        </w:tblCellMar>
      </w:tblPr>
      <w:tblGrid>
        <w:gridCol w:w="230"/>
        <w:gridCol w:w="714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714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the cost of a Rolex watch given to Mr. Olson in recognition of years of service to Fabrinet. </w:t>
            </w:r>
          </w:p>
        </w:tc>
      </w:tr>
    </w:tbl>
    <w:p>
      <w:pPr>
        <w:pStyle w:val="TextBody"/>
        <w:bidi w:val="0"/>
        <w:spacing w:before="450" w:after="283"/>
        <w:ind w:left="60" w:right="0" w:hanging="0"/>
        <w:jc w:val="left"/>
        <w:rPr>
          <w:rFonts w:ascii="Arial;Helvetica;sans-serif" w:hAnsi="Arial;Helvetica;sans-serif"/>
          <w:b/>
          <w:color w:val="000000"/>
          <w:sz w:val="28"/>
        </w:rPr>
      </w:pPr>
      <w:bookmarkStart w:id="135" w:name="tDC3"/>
      <w:bookmarkEnd w:id="135"/>
      <w:r>
        <w:rPr>
          <w:rFonts w:ascii="Arial;Helvetica;sans-serif" w:hAnsi="Arial;Helvetica;sans-serif"/>
          <w:b/>
          <w:color w:val="000000"/>
          <w:sz w:val="28"/>
        </w:rPr>
        <w:t xml:space="preserve">Director Share Ownership Guidelines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directors are subject to share ownership guidelines and certain prohibitions on transactions in our securities. For more information, see “Corporate Governance Matters—Share Ownership Guidelines” and “Corporate Governance Matters—Prohibited Transactions in Our Securities.” </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3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4" descr=""/>
                          <pic:cNvPicPr>
                            <a:picLocks noChangeAspect="1" noChangeArrowheads="1"/>
                          </pic:cNvPicPr>
                        </pic:nvPicPr>
                        <pic:blipFill>
                          <a:blip r:embed="rId10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ny20081940x1_def14a_107-corporate_pg1"/>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37" w:name="tCGM"/>
      <w:bookmarkEnd w:id="137"/>
      <w:r>
        <w:rPr>
          <w:rFonts w:ascii="Arial;Helvetica;sans-serif" w:hAnsi="Arial;Helvetica;sans-serif"/>
          <w:b/>
          <w:color w:val="578255"/>
          <w:sz w:val="44"/>
        </w:rPr>
        <w:t xml:space="preserve">CORPORATE GOVERNANCE MATTERS </w:t>
      </w:r>
    </w:p>
    <w:p>
      <w:pPr>
        <w:pStyle w:val="TextBody"/>
        <w:bidi w:val="0"/>
        <w:spacing w:before="380" w:after="283"/>
        <w:ind w:left="0" w:right="0" w:hanging="0"/>
        <w:jc w:val="left"/>
        <w:rPr>
          <w:rFonts w:ascii="Arial;Helvetica;sans-serif" w:hAnsi="Arial;Helvetica;sans-serif"/>
          <w:b/>
          <w:color w:val="000000"/>
          <w:sz w:val="28"/>
        </w:rPr>
      </w:pPr>
      <w:bookmarkStart w:id="138" w:name="tCGM1"/>
      <w:bookmarkEnd w:id="138"/>
      <w:r>
        <w:rPr>
          <w:rFonts w:ascii="Arial;Helvetica;sans-serif" w:hAnsi="Arial;Helvetica;sans-serif"/>
          <w:b/>
          <w:color w:val="000000"/>
          <w:sz w:val="28"/>
        </w:rPr>
        <w:t xml:space="preserve">Corporate Governance Guidelines </w:t>
      </w:r>
    </w:p>
    <w:p>
      <w:pPr>
        <w:pStyle w:val="TextBody"/>
        <w:bidi w:val="0"/>
        <w:spacing w:before="430" w:after="283"/>
        <w:ind w:left="0" w:right="0" w:hanging="0"/>
        <w:jc w:val="left"/>
        <w:rPr>
          <w:rFonts w:ascii="Arial;Helvetica;sans-serif" w:hAnsi="Arial;Helvetica;sans-serif"/>
          <w:b/>
          <w:color w:val="000000"/>
          <w:sz w:val="28"/>
        </w:rPr>
      </w:pPr>
      <w:bookmarkStart w:id="139" w:name="tCGM2"/>
      <w:bookmarkEnd w:id="139"/>
      <w:r>
        <w:rPr>
          <w:rFonts w:ascii="Arial;Helvetica;sans-serif" w:hAnsi="Arial;Helvetica;sans-serif"/>
          <w:b/>
          <w:color w:val="000000"/>
          <w:sz w:val="28"/>
        </w:rPr>
        <w:t xml:space="preserve">Code of Business Conduct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3124200" cy="669925"/>
                <wp:effectExtent l="0" t="0" r="0" b="0"/>
                <wp:wrapSquare wrapText="right"/>
                <wp:docPr id="133" name="Frame29"/>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Corporate Governance Guidelines that establish the corporate governance policies the Board intends to follow in overseeing our business in accordance with its fiduciary duties.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Corporate Governance Guidelines that establish the corporate governance policies the Board intends to follow in overseeing our business in accordance with its fiduciary duties. </w:t>
                      </w:r>
                    </w:p>
                  </w:txbxContent>
                </v:textbox>
                <w10:wrap type="square" side="right"/>
              </v:rect>
            </w:pict>
          </mc:Fallback>
        </mc:AlternateContent>
      </w:r>
      <w:r>
        <mc:AlternateContent>
          <mc:Choice Requires="wps">
            <w:drawing>
              <wp:anchor behindDoc="0" distT="0" distB="0" distL="228600" distR="0" simplePos="0" locked="0" layoutInCell="1" allowOverlap="1" relativeHeight="236">
                <wp:simplePos x="0" y="0"/>
                <wp:positionH relativeFrom="column">
                  <wp:align>left</wp:align>
                </wp:positionH>
                <wp:positionV relativeFrom="line">
                  <wp:posOffset>635</wp:posOffset>
                </wp:positionV>
                <wp:extent cx="3124200" cy="523875"/>
                <wp:effectExtent l="0" t="0" r="0" b="0"/>
                <wp:wrapSquare wrapText="right"/>
                <wp:docPr id="134" name="Frame30"/>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Guidelines are available in the “Investors—Governance” section of our website at www.fabrinet.com.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Guidelines are available in the “Investors—Governance” section of our website at www.fabrinet.com.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40" w:name="tCGM3"/>
      <w:bookmarkEnd w:id="140"/>
      <w:r>
        <w:rPr>
          <w:rFonts w:ascii="Arial;Helvetica;sans-serif" w:hAnsi="Arial;Helvetica;sans-serif"/>
          <w:b/>
          <w:color w:val="000000"/>
          <w:sz w:val="28"/>
        </w:rPr>
        <w:t xml:space="preserve">Majority Voting Director Resignation Policy in Uncontested Elections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3124200" cy="1254125"/>
                <wp:effectExtent l="0" t="0" r="0" b="0"/>
                <wp:wrapSquare wrapText="right"/>
                <wp:docPr id="135" name="Frame31"/>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the highest standards of ethical conduct, with business practices and principles of behavior that support this commitment. Accordingly, the Board has adopted a Code of Business Conduct, which is applicable to all of our directors, officers (including our principal executive officer and senior financial and accounting officers) and employees.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the highest standards of ethical conduct, with business practices and principles of behavior that support this commitment. Accordingly, the Board has adopted a Code of Business Conduct, which is applicable to all of our directors, officers (including our principal executive officer and senior financial and accounting officers) and employees. </w:t>
                      </w:r>
                    </w:p>
                  </w:txbxContent>
                </v:textbox>
                <w10:wrap type="square" side="right"/>
              </v:rect>
            </w:pict>
          </mc:Fallback>
        </mc:AlternateContent>
      </w:r>
      <w:r>
        <mc:AlternateContent>
          <mc:Choice Requires="wps">
            <w:drawing>
              <wp:anchor behindDoc="0" distT="0" distB="0" distL="228600" distR="0" simplePos="0" locked="0" layoutInCell="1" allowOverlap="1" relativeHeight="238">
                <wp:simplePos x="0" y="0"/>
                <wp:positionH relativeFrom="column">
                  <wp:align>left</wp:align>
                </wp:positionH>
                <wp:positionV relativeFrom="line">
                  <wp:posOffset>635</wp:posOffset>
                </wp:positionV>
                <wp:extent cx="3124200" cy="962025"/>
                <wp:effectExtent l="0" t="0" r="0" b="0"/>
                <wp:wrapSquare wrapText="right"/>
                <wp:docPr id="136" name="Frame32"/>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Code of Business Conduct is available in the “Investors—Governance” section of our website at www.fabrinet.com. We will disclose on our website any amendments to the Code of Business Conduct, as well as any waivers, required to be disclosed by SEC or NYSE rules.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Code of Business Conduct is available in the “Investors—Governance” section of our website at www.fabrinet.com. We will disclose on our website any amendments to the Code of Business Conduct, as well as any waivers, required to be disclosed by SEC or NYSE rules.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41" w:name="tCGM4"/>
      <w:bookmarkEnd w:id="141"/>
      <w:r>
        <w:rPr>
          <w:rFonts w:ascii="Arial;Helvetica;sans-serif" w:hAnsi="Arial;Helvetica;sans-serif"/>
          <w:b/>
          <w:color w:val="000000"/>
          <w:sz w:val="28"/>
        </w:rPr>
        <w:t xml:space="preserve">Board Leadership Structure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3124200" cy="1108075"/>
                <wp:effectExtent l="0" t="0" r="0" b="0"/>
                <wp:wrapSquare wrapText="right"/>
                <wp:docPr id="137" name="Frame33"/>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to the Board for consideration. </w:t>
                            </w:r>
                          </w:p>
                        </w:txbxContent>
                      </wps:txbx>
                      <wps:bodyPr anchor="t" lIns="0" tIns="0" rIns="0" bIns="0">
                        <a:noAutofit/>
                      </wps:bodyPr>
                    </wps:wsp>
                  </a:graphicData>
                </a:graphic>
              </wp:anchor>
            </w:drawing>
          </mc:Choice>
          <mc:Fallback>
            <w:pict>
              <v:rect style="position:absolute;rotation:-0;width:246pt;height:8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to the Board for consideration. </w:t>
                      </w:r>
                    </w:p>
                  </w:txbxContent>
                </v:textbox>
                <w10:wrap type="square" side="right"/>
              </v:rect>
            </w:pict>
          </mc:Fallback>
        </mc:AlternateContent>
      </w:r>
      <w:r>
        <mc:AlternateContent>
          <mc:Choice Requires="wps">
            <w:drawing>
              <wp:anchor behindDoc="0" distT="0" distB="0" distL="228600" distR="0" simplePos="0" locked="0" layoutInCell="1" allowOverlap="1" relativeHeight="240">
                <wp:simplePos x="0" y="0"/>
                <wp:positionH relativeFrom="column">
                  <wp:align>left</wp:align>
                </wp:positionH>
                <wp:positionV relativeFrom="line">
                  <wp:posOffset>635</wp:posOffset>
                </wp:positionV>
                <wp:extent cx="3124200" cy="962025"/>
                <wp:effectExtent l="0" t="0" r="0" b="0"/>
                <wp:wrapSquare wrapText="right"/>
                <wp:docPr id="138" name="Frame34"/>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considering any information the Board deems appropriate, the Board will act to accept or reject each tendered director resignation. Any director who tenders a resignation under the majority voting policy may not participate in the action of the Board regarding whether to accept or reject his or her tender of resignation.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considering any information the Board deems appropriate, the Board will act to accept or reject each tendered director resignation. Any director who tenders a resignation under the majority voting policy may not participate in the action of the Board regarding whether to accept or reject his or her tender of resignation.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3124200" cy="3664585"/>
                <wp:effectExtent l="0" t="0" r="0" b="0"/>
                <wp:wrapSquare wrapText="right"/>
                <wp:docPr id="139" name="Frame35"/>
                <a:graphic xmlns:a="http://schemas.openxmlformats.org/drawingml/2006/main">
                  <a:graphicData uri="http://schemas.microsoft.com/office/word/2010/wordprocessingShape">
                    <wps:wsp>
                      <wps:cNvSpPr txBox="1"/>
                      <wps:spPr>
                        <a:xfrm>
                          <a:off x="0" y="0"/>
                          <a:ext cx="3124200" cy="366458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the Board will fill the chairperson and chief executive officer positions based upon what it believes is in our best interests at any point in time. The chair and the chief executive officer may, but need not be, the same person.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founder, David T. (Tom) Mitchell, served in both positions until his retirement as chief executive officer in September 2017. We separated the two roles effective upon this transition, with Mr. Mitchell continuing as executive chairman of the Board from September 2017 until June 2018, and as a non-employee chairman of the Board from June 2018 until his retirement from the Board in October 2025.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Following Mr. Mitchell’s retirement, the Board reviewed its leadership structure and determined that it was in the best interests of Fabrinet and our shareholders that Mr. Grady serve as both our chief executive officer and chairman of the Board. The Board believes that, as our chief executive officer, Mr. Grady is in the best position to </w:t>
                            </w:r>
                          </w:p>
                        </w:txbxContent>
                      </wps:txbx>
                      <wps:bodyPr anchor="t" lIns="0" tIns="0" rIns="0" bIns="0">
                        <a:noAutofit/>
                      </wps:bodyPr>
                    </wps:wsp>
                  </a:graphicData>
                </a:graphic>
              </wp:anchor>
            </w:drawing>
          </mc:Choice>
          <mc:Fallback>
            <w:pict>
              <v:rect style="position:absolute;rotation:-0;width:246pt;height:28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the Board will fill the chairperson and chief executive officer positions based upon what it believes is in our best interests at any point in time. The chair and the chief executive officer may, but need not be, the same person.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founder, David T. (Tom) Mitchell, served in both positions until his retirement as chief executive officer in September 2017. We separated the two roles effective upon this transition, with Mr. Mitchell continuing as executive chairman of the Board from September 2017 until June 2018, and as a non-employee chairman of the Board from June 2018 until his retirement from the Board in October 2025.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Following Mr. Mitchell’s retirement, the Board reviewed its leadership structure and determined that it was in the best interests of Fabrinet and our shareholders that Mr. Grady serve as both our chief executive officer and chairman of the Board. The Board believes that, as our chief executive officer, Mr. Grady is in the best position to </w:t>
                      </w:r>
                    </w:p>
                  </w:txbxContent>
                </v:textbox>
                <w10:wrap type="square" side="right"/>
              </v:rect>
            </w:pict>
          </mc:Fallback>
        </mc:AlternateContent>
      </w:r>
      <w:r>
        <mc:AlternateContent>
          <mc:Choice Requires="wps">
            <w:drawing>
              <wp:anchor behindDoc="0" distT="0" distB="0" distL="228600" distR="0" simplePos="0" locked="0" layoutInCell="1" allowOverlap="1" relativeHeight="242">
                <wp:simplePos x="0" y="0"/>
                <wp:positionH relativeFrom="column">
                  <wp:align>left</wp:align>
                </wp:positionH>
                <wp:positionV relativeFrom="line">
                  <wp:posOffset>635</wp:posOffset>
                </wp:positionV>
                <wp:extent cx="3124200" cy="3518535"/>
                <wp:effectExtent l="0" t="0" r="0" b="0"/>
                <wp:wrapSquare wrapText="right"/>
                <wp:docPr id="140" name="Frame36"/>
                <a:graphic xmlns:a="http://schemas.openxmlformats.org/drawingml/2006/main">
                  <a:graphicData uri="http://schemas.microsoft.com/office/word/2010/wordprocessingShape">
                    <wps:wsp>
                      <wps:cNvSpPr txBox="1"/>
                      <wps:spPr>
                        <a:xfrm>
                          <a:off x="0" y="0"/>
                          <a:ext cx="3124200" cy="351853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 the focus and attention of the Board on the areas most relevant for us and our shareholders as Mr. Grady is the most familiar with our business, industry and strategic priorities. By serving in both roles, Mr. Grady is able to provide strong and valuable leadership for us both internally and externally.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Corporate Governance Guidelines provide that if the chairman is not independent, the Board shall appoint a lead independent director. Dr. Levinson has served as our lead independent director since June 2025. The lead independent director’s duties include coordinating the activities of the independent and other non-employee directors, coordinating the agenda for and moderating sessions of the independent and other non-employee directors, and facilitating communications among the entire Board.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independent directors meet in executive session at each regularly scheduled meeting of the Board, and at such other times as necessary or appropriate as </w:t>
                            </w:r>
                          </w:p>
                        </w:txbxContent>
                      </wps:txbx>
                      <wps:bodyPr anchor="t" lIns="0" tIns="0" rIns="0" bIns="0">
                        <a:noAutofit/>
                      </wps:bodyPr>
                    </wps:wsp>
                  </a:graphicData>
                </a:graphic>
              </wp:anchor>
            </w:drawing>
          </mc:Choice>
          <mc:Fallback>
            <w:pict>
              <v:rect style="position:absolute;rotation:-0;width:246pt;height:27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 the focus and attention of the Board on the areas most relevant for us and our shareholders as Mr. Grady is the most familiar with our business, industry and strategic priorities. By serving in both roles, Mr. Grady is able to provide strong and valuable leadership for us both internally and externally.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Corporate Governance Guidelines provide that if the chairman is not independent, the Board shall appoint a lead independent director. Dr. Levinson has served as our lead independent director since June 2025. The lead independent director’s duties include coordinating the activities of the independent and other non-employee directors, coordinating the agenda for and moderating sessions of the independent and other non-employee directors, and facilitating communications among the entire Board.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independent directors meet in executive session at each regularly scheduled meeting of the Board, and at such other times as necessary or appropriate as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4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5" descr=""/>
                          <pic:cNvPicPr>
                            <a:picLocks noChangeAspect="1" noChangeArrowheads="1"/>
                          </pic:cNvPicPr>
                        </pic:nvPicPr>
                        <pic:blipFill>
                          <a:blip r:embed="rId10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ny20081940x1_def14a_107-corporate_pg2"/>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3" w:name="tCGM5"/>
      <w:bookmarkEnd w:id="143"/>
      <w:r>
        <w:rPr>
          <w:rFonts w:ascii="Arial;Helvetica;sans-serif" w:hAnsi="Arial;Helvetica;sans-serif"/>
          <w:b/>
          <w:color w:val="000000"/>
          <w:sz w:val="28"/>
        </w:rPr>
        <w:t xml:space="preserve">Risk Oversight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3124200" cy="815975"/>
                <wp:effectExtent l="0" t="0" r="0" b="0"/>
                <wp:wrapSquare wrapText="right"/>
                <wp:docPr id="142" name="Frame37"/>
                <a:graphic xmlns:a="http://schemas.openxmlformats.org/drawingml/2006/main">
                  <a:graphicData uri="http://schemas.microsoft.com/office/word/2010/wordprocessingShape">
                    <wps:wsp>
                      <wps:cNvSpPr txBox="1"/>
                      <wps:spPr>
                        <a:xfrm>
                          <a:off x="0" y="0"/>
                          <a:ext cx="3124200" cy="8159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determined by the independent directors. Our lead independent director presides at such executive sessions of the Board. The Board believes that its current leadership structure strikes the right balance of allowing our chief </w:t>
                            </w:r>
                          </w:p>
                        </w:txbxContent>
                      </wps:txbx>
                      <wps:bodyPr anchor="t" lIns="0" tIns="0" rIns="0" bIns="0">
                        <a:noAutofit/>
                      </wps:bodyPr>
                    </wps:wsp>
                  </a:graphicData>
                </a:graphic>
              </wp:anchor>
            </w:drawing>
          </mc:Choice>
          <mc:Fallback>
            <w:pict>
              <v:rect style="position:absolute;rotation:-0;width:246pt;height:6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determined by the independent directors. Our lead independent director presides at such executive sessions of the Board. The Board believes that its current leadership structure strikes the right balance of allowing our chief </w:t>
                      </w:r>
                    </w:p>
                  </w:txbxContent>
                </v:textbox>
                <w10:wrap type="square" side="right"/>
              </v:rect>
            </w:pict>
          </mc:Fallback>
        </mc:AlternateContent>
      </w:r>
      <w:r>
        <mc:AlternateContent>
          <mc:Choice Requires="wps">
            <w:drawing>
              <wp:anchor behindDoc="0" distT="0" distB="0" distL="228600" distR="0" simplePos="0" locked="0" layoutInCell="1" allowOverlap="1" relativeHeight="244">
                <wp:simplePos x="0" y="0"/>
                <wp:positionH relativeFrom="column">
                  <wp:align>left</wp:align>
                </wp:positionH>
                <wp:positionV relativeFrom="line">
                  <wp:posOffset>635</wp:posOffset>
                </wp:positionV>
                <wp:extent cx="3124200" cy="669925"/>
                <wp:effectExtent l="0" t="0" r="0" b="0"/>
                <wp:wrapSquare wrapText="right"/>
                <wp:docPr id="143" name="Frame38"/>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officer and Board chair to promote a clear, unified vision of Fabrinet’s strategies, while ensuring robust, independent oversight by the Board and our lead independent director.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officer and Board chair to promote a clear, unified vision of Fabrinet’s strategies, while ensuring robust, independent oversight by the Board and our lead independent director.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44" w:name="tCGM6"/>
      <w:bookmarkEnd w:id="144"/>
      <w:r>
        <w:rPr>
          <w:rFonts w:ascii="Arial;Helvetica;sans-serif" w:hAnsi="Arial;Helvetica;sans-serif"/>
          <w:b/>
          <w:color w:val="000000"/>
          <w:sz w:val="28"/>
        </w:rPr>
        <w:t xml:space="preserve">Information Security Risk Oversight and Management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3124200" cy="5271135"/>
                <wp:effectExtent l="0" t="0" r="0" b="0"/>
                <wp:wrapSquare wrapText="right"/>
                <wp:docPr id="144" name="Frame39"/>
                <a:graphic xmlns:a="http://schemas.openxmlformats.org/drawingml/2006/main">
                  <a:graphicData uri="http://schemas.microsoft.com/office/word/2010/wordprocessingShape">
                    <wps:wsp>
                      <wps:cNvSpPr txBox="1"/>
                      <wps:spPr>
                        <a:xfrm>
                          <a:off x="0" y="0"/>
                          <a:ext cx="3124200" cy="52711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a part of its oversight function, the Board monitors management’s processes for operating our business, including risk management. The Board’s oversight of risk includes monitoring management’s work to identify risks and manage risk parameters, including those relating to enterprise, financial, operational, information security, business and reputation risks. Together with its committees, the Board ensures that any material risks relevant to us or our business are identified, appropriately considered and addressed.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the Board, together with its committees, oversees management in its execution of these responsibilities. At periodic meetings of the Board and its committees, and in other meetings and discussions, our management reports to and seeks guidance from the Board and its committees, as applicable, with respect to risks and other matters that could affect our business. In addition, our legal counsel provides reports of legal risks to the Board and its committees. Similarly, our chief financial officer provides reports to the Audit Committee concerning financial, tax and audit related risks. In addition, the Audit Committee receives periodic reports from management on our compliance programs and efforts, investment policy and practices.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reviews the strategic, financial, operational and information security risks inherent in our business </w:t>
                            </w:r>
                          </w:p>
                        </w:txbxContent>
                      </wps:txbx>
                      <wps:bodyPr anchor="t" lIns="0" tIns="0" rIns="0" bIns="0">
                        <a:noAutofit/>
                      </wps:bodyPr>
                    </wps:wsp>
                  </a:graphicData>
                </a:graphic>
              </wp:anchor>
            </w:drawing>
          </mc:Choice>
          <mc:Fallback>
            <w:pict>
              <v:rect style="position:absolute;rotation:-0;width:246pt;height:41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a part of its oversight function, the Board monitors management’s processes for operating our business, including risk management. The Board’s oversight of risk includes monitoring management’s work to identify risks and manage risk parameters, including those relating to enterprise, financial, operational, information security, business and reputation risks. Together with its committees, the Board ensures that any material risks relevant to us or our business are identified, appropriately considered and addressed.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the Board, together with its committees, oversees management in its execution of these responsibilities. At periodic meetings of the Board and its committees, and in other meetings and discussions, our management reports to and seeks guidance from the Board and its committees, as applicable, with respect to risks and other matters that could affect our business. In addition, our legal counsel provides reports of legal risks to the Board and its committees. Similarly, our chief financial officer provides reports to the Audit Committee concerning financial, tax and audit related risks. In addition, the Audit Committee receives periodic reports from management on our compliance programs and efforts, investment policy and practices.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reviews the strategic, financial, operational and information security risks inherent in our business </w:t>
                      </w:r>
                    </w:p>
                  </w:txbxContent>
                </v:textbox>
                <w10:wrap type="square" side="right"/>
              </v:rect>
            </w:pict>
          </mc:Fallback>
        </mc:AlternateContent>
      </w:r>
      <w:r>
        <mc:AlternateContent>
          <mc:Choice Requires="wps">
            <w:drawing>
              <wp:anchor behindDoc="0" distT="0" distB="0" distL="228600" distR="0" simplePos="0" locked="0" layoutInCell="1" allowOverlap="1" relativeHeight="246">
                <wp:simplePos x="0" y="0"/>
                <wp:positionH relativeFrom="column">
                  <wp:align>left</wp:align>
                </wp:positionH>
                <wp:positionV relativeFrom="line">
                  <wp:posOffset>635</wp:posOffset>
                </wp:positionV>
                <wp:extent cx="3124200" cy="5125085"/>
                <wp:effectExtent l="0" t="0" r="0" b="0"/>
                <wp:wrapSquare wrapText="right"/>
                <wp:docPr id="145" name="Frame40"/>
                <a:graphic xmlns:a="http://schemas.openxmlformats.org/drawingml/2006/main">
                  <a:graphicData uri="http://schemas.microsoft.com/office/word/2010/wordprocessingShape">
                    <wps:wsp>
                      <wps:cNvSpPr txBox="1"/>
                      <wps:spPr>
                        <a:xfrm>
                          <a:off x="0" y="0"/>
                          <a:ext cx="3124200" cy="512508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through its consideration of the various matters presented to the Board or its committees by management for review or approval. Furthermore, each board committee regularly reviews and evaluates various aspects of enterprise risk as part of its specific functions and responsibilities delegated by the Board.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and cybersecurity and data security risks. The Compensation Committee considers risk in connection with its oversight of the design and administration of our compensation policies, plans and programs and assesses and monitors whether such policies, plans and programs have the potential to encourage excessive risk-taking. The Nominating &amp; Corporate Governance Committee considers risk in connection with its oversight of our governance structure, policies and processes, including conflicts of interest (other than related party transactions reviewed by the Audit Committee), and oversight of our environmental, social and governance programs.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the Board’s role is consistent with our leadership structure, with our chief executive officer and management primarily responsible for enterprise risk management, and with the Board and its committees providing oversight of these efforts. </w:t>
                            </w:r>
                          </w:p>
                        </w:txbxContent>
                      </wps:txbx>
                      <wps:bodyPr anchor="t" lIns="0" tIns="0" rIns="0" bIns="0">
                        <a:noAutofit/>
                      </wps:bodyPr>
                    </wps:wsp>
                  </a:graphicData>
                </a:graphic>
              </wp:anchor>
            </w:drawing>
          </mc:Choice>
          <mc:Fallback>
            <w:pict>
              <v:rect style="position:absolute;rotation:-0;width:246pt;height:403.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through its consideration of the various matters presented to the Board or its committees by management for review or approval. Furthermore, each board committee regularly reviews and evaluates various aspects of enterprise risk as part of its specific functions and responsibilities delegated by the Board.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and cybersecurity and data security risks. The Compensation Committee considers risk in connection with its oversight of the design and administration of our compensation policies, plans and programs and assesses and monitors whether such policies, plans and programs have the potential to encourage excessive risk-taking. The Nominating &amp; Corporate Governance Committee considers risk in connection with its oversight of our governance structure, policies and processes, including conflicts of interest (other than related party transactions reviewed by the Audit Committee), and oversight of our environmental, social and governance programs.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the Board’s role is consistent with our leadership structure, with our chief executive officer and management primarily responsible for enterprise risk management, and with the Board and its committees providing oversight of these efforts.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3124200" cy="1546225"/>
                <wp:effectExtent l="0" t="0" r="0" b="0"/>
                <wp:wrapSquare wrapText="right"/>
                <wp:docPr id="146" name="Frame41"/>
                <a:graphic xmlns:a="http://schemas.openxmlformats.org/drawingml/2006/main">
                  <a:graphicData uri="http://schemas.microsoft.com/office/word/2010/wordprocessingShape">
                    <wps:wsp>
                      <wps:cNvSpPr txBox="1"/>
                      <wps:spPr>
                        <a:xfrm>
                          <a:off x="0" y="0"/>
                          <a:ext cx="3124200" cy="1546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delegated to the Audit Committee primary responsibility for the oversight of cybersecurity and data security risks and mitigation strategies. Mr. Kelly, an independent director and Chair of the Audit Committee, has significant information security risk oversight and management expertise, most recently as chief executive officer and president of IDX, a provider of software and services for cyber breach and identity fraud protection, from August 2017 to August 2022. </w:t>
                            </w:r>
                          </w:p>
                        </w:txbxContent>
                      </wps:txbx>
                      <wps:bodyPr anchor="t" lIns="0" tIns="0" rIns="0" bIns="0">
                        <a:noAutofit/>
                      </wps:bodyPr>
                    </wps:wsp>
                  </a:graphicData>
                </a:graphic>
              </wp:anchor>
            </w:drawing>
          </mc:Choice>
          <mc:Fallback>
            <w:pict>
              <v:rect style="position:absolute;rotation:-0;width:246pt;height:12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delegated to the Audit Committee primary responsibility for the oversight of cybersecurity and data security risks and mitigation strategies. Mr. Kelly, an independent director and Chair of the Audit Committee, has significant information security risk oversight and management expertise, most recently as chief executive officer and president of IDX, a provider of software and services for cyber breach and identity fraud protection, from August 2017 to August 2022. </w:t>
                      </w:r>
                    </w:p>
                  </w:txbxContent>
                </v:textbox>
                <w10:wrap type="square" side="right"/>
              </v:rect>
            </w:pict>
          </mc:Fallback>
        </mc:AlternateContent>
      </w:r>
      <w:r>
        <mc:AlternateContent>
          <mc:Choice Requires="wps">
            <w:drawing>
              <wp:anchor behindDoc="0" distT="0" distB="0" distL="228600" distR="0" simplePos="0" locked="0" layoutInCell="1" allowOverlap="1" relativeHeight="248">
                <wp:simplePos x="0" y="0"/>
                <wp:positionH relativeFrom="column">
                  <wp:align>left</wp:align>
                </wp:positionH>
                <wp:positionV relativeFrom="line">
                  <wp:posOffset>635</wp:posOffset>
                </wp:positionV>
                <wp:extent cx="3124200" cy="1400175"/>
                <wp:effectExtent l="0" t="0" r="0" b="0"/>
                <wp:wrapSquare wrapText="right"/>
                <wp:docPr id="147" name="Frame42"/>
                <a:graphic xmlns:a="http://schemas.openxmlformats.org/drawingml/2006/main">
                  <a:graphicData uri="http://schemas.microsoft.com/office/word/2010/wordprocessingShape">
                    <wps:wsp>
                      <wps:cNvSpPr txBox="1"/>
                      <wps:spPr>
                        <a:xfrm>
                          <a:off x="0" y="0"/>
                          <a:ext cx="3124200" cy="14001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provides oversight of management’s review of our information security program and risk mitigation actions, which include information security policies, procedures, training initiatives, and both internal and external audits. The Audit Committee receives quarterly briefings on these matters by our Vice President, Information Technology &amp; Security, who has oversight responsibility for our information security team. </w:t>
                            </w:r>
                          </w:p>
                        </w:txbxContent>
                      </wps:txbx>
                      <wps:bodyPr anchor="t" lIns="0" tIns="0" rIns="0" bIns="0">
                        <a:noAutofit/>
                      </wps:bodyPr>
                    </wps:wsp>
                  </a:graphicData>
                </a:graphic>
              </wp:anchor>
            </w:drawing>
          </mc:Choice>
          <mc:Fallback>
            <w:pict>
              <v:rect style="position:absolute;rotation:-0;width:246pt;height:110.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provides oversight of management’s review of our information security program and risk mitigation actions, which include information security policies, procedures, training initiatives, and both internal and external audits. The Audit Committee receives quarterly briefings on these matters by our Vice President, Information Technology &amp; Security, who has oversight responsibility for our information security team.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4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6" descr=""/>
                          <pic:cNvPicPr>
                            <a:picLocks noChangeAspect="1" noChangeArrowheads="1"/>
                          </pic:cNvPicPr>
                        </pic:nvPicPr>
                        <pic:blipFill>
                          <a:blip r:embed="rId10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5" w:name="ny20081940x1_def14a_107-corporate_pg3"/>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6" w:name="tCGM8"/>
      <w:bookmarkEnd w:id="146"/>
      <w:r>
        <w:rPr>
          <w:rFonts w:ascii="Arial;Helvetica;sans-serif" w:hAnsi="Arial;Helvetica;sans-serif"/>
          <w:b/>
          <w:color w:val="000000"/>
          <w:sz w:val="28"/>
        </w:rPr>
        <w:t xml:space="preserve">Director Independence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3124200" cy="669925"/>
                <wp:effectExtent l="0" t="0" r="0" b="0"/>
                <wp:wrapSquare wrapText="right"/>
                <wp:docPr id="149" name="Frame43"/>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thorough approach to information security management, and to continue to avoid being subject to information security breach penalties or settlements, we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thorough approach to information security management, and to continue to avoid being subject to information security breach penalties or settlements, we </w:t>
                      </w:r>
                    </w:p>
                  </w:txbxContent>
                </v:textbox>
                <w10:wrap type="square" side="right"/>
              </v:rect>
            </w:pict>
          </mc:Fallback>
        </mc:AlternateContent>
      </w:r>
      <w:r>
        <mc:AlternateContent>
          <mc:Choice Requires="wps">
            <w:drawing>
              <wp:anchor behindDoc="0" distT="0" distB="0" distL="228600" distR="0" simplePos="0" locked="0" layoutInCell="1" allowOverlap="1" relativeHeight="250">
                <wp:simplePos x="0" y="0"/>
                <wp:positionH relativeFrom="column">
                  <wp:align>left</wp:align>
                </wp:positionH>
                <wp:positionV relativeFrom="line">
                  <wp:posOffset>635</wp:posOffset>
                </wp:positionV>
                <wp:extent cx="3124200" cy="523875"/>
                <wp:effectExtent l="0" t="0" r="0" b="0"/>
                <wp:wrapSquare wrapText="right"/>
                <wp:docPr id="150" name="Frame44"/>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 external experts to regularly test and audit our information security program in addition to conducting our own internal testing and audits.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 external experts to regularly test and audit our information security program in addition to conducting our own internal testing and audits.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47" w:name="tCGM9"/>
      <w:bookmarkEnd w:id="147"/>
      <w:r>
        <w:rPr>
          <w:rFonts w:ascii="Arial;Helvetica;sans-serif" w:hAnsi="Arial;Helvetica;sans-serif"/>
          <w:b/>
          <w:color w:val="000000"/>
          <w:sz w:val="28"/>
        </w:rPr>
        <w:t xml:space="preserve">Board Meetings and Committees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124200" cy="4102735"/>
                <wp:effectExtent l="0" t="0" r="0" b="0"/>
                <wp:wrapSquare wrapText="right"/>
                <wp:docPr id="151" name="Frame45"/>
                <a:graphic xmlns:a="http://schemas.openxmlformats.org/drawingml/2006/main">
                  <a:graphicData uri="http://schemas.microsoft.com/office/word/2010/wordprocessingShape">
                    <wps:wsp>
                      <wps:cNvSpPr txBox="1"/>
                      <wps:spPr>
                        <a:xfrm>
                          <a:off x="0" y="0"/>
                          <a:ext cx="3124200" cy="41027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Our ordinary shares are listed on the NYSE. Pursuant to the NYSE listing standards, independent directors must comprise a majority of the Board, and each member of our Audit, Compensation and Nominating &amp; Corporate Governance Committees must be independent. A director will only qualify as an “independent director” if he or she meets certain requirements and the Board determines that the director has no material relationship with Fabrinet (either directly or as a partner, shareholder or officer of an organization that has a relationship with Fabrinet).</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Board has reviewed the independence of each director and determined that each of Mr. Alexander, Dr. Bahrami, Ms. Dowling, Mr. Kelly and Dr. Levinson, representing five of our six directors, is “independent” </w:t>
                            </w:r>
                            <w:r>
                              <w:rPr>
                                <w:rFonts w:ascii="Arial;Helvetica;sans-serif" w:hAnsi="Arial;Helvetica;sans-serif"/>
                                <w:b w:val="false"/>
                                <w:color w:val="000000"/>
                                <w:sz w:val="20"/>
                              </w:rPr>
                              <w:t xml:space="preserve">as that term is defined under the applicable rules and regulations of the SEC and the NYSE listing standards. In making these determinations, the Board considered the current and prior relationships that each non-employee director has with us and all other facts and circumstances the Board deemed relevant.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Audit Committee members must satisfy additional independence criteria set forth in Rule 10A-3 under the </w:t>
                            </w:r>
                          </w:p>
                        </w:txbxContent>
                      </wps:txbx>
                      <wps:bodyPr anchor="t" lIns="0" tIns="0" rIns="0" bIns="0">
                        <a:noAutofit/>
                      </wps:bodyPr>
                    </wps:wsp>
                  </a:graphicData>
                </a:graphic>
              </wp:anchor>
            </w:drawing>
          </mc:Choice>
          <mc:Fallback>
            <w:pict>
              <v:rect style="position:absolute;rotation:-0;width:246pt;height:3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Our ordinary shares are listed on the NYSE. Pursuant to the NYSE listing standards, independent directors must comprise a majority of the Board, and each member of our Audit, Compensation and Nominating &amp; Corporate Governance Committees must be independent. A director will only qualify as an “independent director” if he or she meets certain requirements and the Board determines that the director has no material relationship with Fabrinet (either directly or as a partner, shareholder or officer of an organization that has a relationship with Fabrinet).</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Board has reviewed the independence of each director and determined that each of Mr. Alexander, Dr. Bahrami, Ms. Dowling, Mr. Kelly and Dr. Levinson, representing five of our six directors, is “independent” </w:t>
                      </w:r>
                      <w:r>
                        <w:rPr>
                          <w:rFonts w:ascii="Arial;Helvetica;sans-serif" w:hAnsi="Arial;Helvetica;sans-serif"/>
                          <w:b w:val="false"/>
                          <w:color w:val="000000"/>
                          <w:sz w:val="20"/>
                        </w:rPr>
                        <w:t xml:space="preserve">as that term is defined under the applicable rules and regulations of the SEC and the NYSE listing standards. In making these determinations, the Board considered the current and prior relationships that each non-employee director has with us and all other facts and circumstances the Board deemed relevant.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Audit Committee members must satisfy additional independence criteria set forth in Rule 10A-3 under the </w:t>
                      </w:r>
                    </w:p>
                  </w:txbxContent>
                </v:textbox>
                <w10:wrap type="square" side="right"/>
              </v:rect>
            </w:pict>
          </mc:Fallback>
        </mc:AlternateContent>
      </w:r>
      <w:r>
        <mc:AlternateContent>
          <mc:Choice Requires="wps">
            <w:drawing>
              <wp:anchor behindDoc="0" distT="0" distB="0" distL="228600" distR="0" simplePos="0" locked="0" layoutInCell="1" allowOverlap="1" relativeHeight="252">
                <wp:simplePos x="0" y="0"/>
                <wp:positionH relativeFrom="column">
                  <wp:align>left</wp:align>
                </wp:positionH>
                <wp:positionV relativeFrom="line">
                  <wp:posOffset>635</wp:posOffset>
                </wp:positionV>
                <wp:extent cx="3124200" cy="3846830"/>
                <wp:effectExtent l="0" t="0" r="0" b="0"/>
                <wp:wrapSquare wrapText="right"/>
                <wp:docPr id="152" name="Frame46"/>
                <a:graphic xmlns:a="http://schemas.openxmlformats.org/drawingml/2006/main">
                  <a:graphicData uri="http://schemas.microsoft.com/office/word/2010/wordprocessingShape">
                    <wps:wsp>
                      <wps:cNvSpPr txBox="1"/>
                      <wps:spPr>
                        <a:xfrm>
                          <a:off x="0" y="0"/>
                          <a:ext cx="3124200" cy="38468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Exchange Act. In order to be considered independent for purposes of Rule 10A-3, a member of the Audit Committee may not, other than in his or her capacity as a member of the Audit Committee, the Board, or any other board committee: (1) accept, directly or indirectly, any consulting, advisory, or other compensatory fee from us or any of our subsidiaries; or (2) be an affiliated person of us or any of our subsidiaries.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Committee members must satisfy additional independence criteria set forth under the NYSE listing standards. In order for a member of the Compensation Committee to be considered independent, the Board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our subsidiaries, or an affiliate of any of our subsidiaries. </w:t>
                            </w:r>
                          </w:p>
                        </w:txbxContent>
                      </wps:txbx>
                      <wps:bodyPr anchor="t" lIns="0" tIns="0" rIns="0" bIns="0">
                        <a:noAutofit/>
                      </wps:bodyPr>
                    </wps:wsp>
                  </a:graphicData>
                </a:graphic>
              </wp:anchor>
            </w:drawing>
          </mc:Choice>
          <mc:Fallback>
            <w:pict>
              <v:rect style="position:absolute;rotation:-0;width:246pt;height:302.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Exchange Act. In order to be considered independent for purposes of Rule 10A-3, a member of the Audit Committee may not, other than in his or her capacity as a member of the Audit Committee, the Board, or any other board committee: (1) accept, directly or indirectly, any consulting, advisory, or other compensatory fee from us or any of our subsidiaries; or (2) be an affiliated person of us or any of our subsidiaries.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Committee members must satisfy additional independence criteria set forth under the NYSE listing standards. In order for a member of the Compensation Committee to be considered independent, the Board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our subsidiaries, or an affiliate of any of our subsidiaries.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3124200" cy="4671060"/>
                <wp:effectExtent l="0" t="0" r="0" b="0"/>
                <wp:wrapSquare wrapText="right"/>
                <wp:docPr id="153" name="Frame47"/>
                <a:graphic xmlns:a="http://schemas.openxmlformats.org/drawingml/2006/main">
                  <a:graphicData uri="http://schemas.microsoft.com/office/word/2010/wordprocessingShape">
                    <wps:wsp>
                      <wps:cNvSpPr txBox="1"/>
                      <wps:spPr>
                        <a:xfrm>
                          <a:off x="0" y="0"/>
                          <a:ext cx="3124200" cy="467106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expect directors to attend and actively participate in Board and committee meetings. Each of our incumbent directors attended at least 75% of the total number of meetings of the Board and the committees on which he or she served during fiscal 2026. </w:t>
                            </w:r>
                          </w:p>
                          <w:tbl>
                            <w:tblPr>
                              <w:tblW w:w="8790" w:type="dxa"/>
                              <w:jc w:val="left"/>
                              <w:tblInd w:w="60" w:type="dxa"/>
                              <w:tblLayout w:type="fixed"/>
                              <w:tblCellMar>
                                <w:top w:w="0" w:type="dxa"/>
                                <w:left w:w="0" w:type="dxa"/>
                                <w:bottom w:w="0" w:type="dxa"/>
                                <w:right w:w="0" w:type="dxa"/>
                              </w:tblCellMar>
                            </w:tblPr>
                            <w:tblGrid>
                              <w:gridCol w:w="185"/>
                              <w:gridCol w:w="6710"/>
                              <w:gridCol w:w="170"/>
                              <w:gridCol w:w="170"/>
                              <w:gridCol w:w="1340"/>
                              <w:gridCol w:w="215"/>
                            </w:tblGrid>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Board/Committee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 of Meetings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Fiscal 2026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Full Board</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Audit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Nominating &amp; Corporate 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190" w:right="0" w:hanging="0"/>
                                    <w:jc w:val="left"/>
                                    <w:rPr>
                                      <w:rFonts w:ascii="Arial;Helvetica;sans-serif" w:hAnsi="Arial;Helvetica;sans-serif"/>
                                      <w:b/>
                                      <w:color w:val="000000"/>
                                      <w:sz w:val="16"/>
                                    </w:rPr>
                                  </w:pPr>
                                  <w:r>
                                    <w:rPr>
                                      <w:rFonts w:ascii="Arial;Helvetica;sans-serif" w:hAnsi="Arial;Helvetica;sans-serif"/>
                                      <w:b/>
                                      <w:color w:val="000000"/>
                                      <w:sz w:val="16"/>
                                    </w:rPr>
                                    <w:t>Total Meetings (average incumbent director attendance of 100%)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Executive Sessions of the Board (independent directors meet without management present)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established an Audit Committee, a Compensation Committee, and a Nominating &amp; Corporate Governance Committee, each of which has the composition and responsibilities described below. Each committee acts in accordance with a written charter </w:t>
                            </w:r>
                          </w:p>
                        </w:txbxContent>
                      </wps:txbx>
                      <wps:bodyPr anchor="t" lIns="0" tIns="0" rIns="0" bIns="0">
                        <a:noAutofit/>
                      </wps:bodyPr>
                    </wps:wsp>
                  </a:graphicData>
                </a:graphic>
              </wp:anchor>
            </w:drawing>
          </mc:Choice>
          <mc:Fallback>
            <w:pict>
              <v:rect style="position:absolute;rotation:-0;width:246pt;height:36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expect directors to attend and actively participate in Board and committee meetings. Each of our incumbent directors attended at least 75% of the total number of meetings of the Board and the committees on which he or she served during fiscal 2026. </w:t>
                      </w:r>
                    </w:p>
                    <w:tbl>
                      <w:tblPr>
                        <w:tblW w:w="8790" w:type="dxa"/>
                        <w:jc w:val="left"/>
                        <w:tblInd w:w="60" w:type="dxa"/>
                        <w:tblLayout w:type="fixed"/>
                        <w:tblCellMar>
                          <w:top w:w="0" w:type="dxa"/>
                          <w:left w:w="0" w:type="dxa"/>
                          <w:bottom w:w="0" w:type="dxa"/>
                          <w:right w:w="0" w:type="dxa"/>
                        </w:tblCellMar>
                      </w:tblPr>
                      <w:tblGrid>
                        <w:gridCol w:w="185"/>
                        <w:gridCol w:w="6710"/>
                        <w:gridCol w:w="170"/>
                        <w:gridCol w:w="170"/>
                        <w:gridCol w:w="1340"/>
                        <w:gridCol w:w="215"/>
                      </w:tblGrid>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7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Board/Committee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 of Meetings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Fiscal 2026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Full Board</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Audit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Nominating &amp; Corporate 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6710" w:type="dxa"/>
                            <w:tcBorders/>
                            <w:shd w:fill="E5E9E3" w:val="clear"/>
                            <w:vAlign w:val="center"/>
                          </w:tcPr>
                          <w:p>
                            <w:pPr>
                              <w:pStyle w:val="TableContents"/>
                              <w:bidi w:val="0"/>
                              <w:spacing w:before="0" w:after="283"/>
                              <w:ind w:left="190" w:right="0" w:hanging="0"/>
                              <w:jc w:val="left"/>
                              <w:rPr>
                                <w:rFonts w:ascii="Arial;Helvetica;sans-serif" w:hAnsi="Arial;Helvetica;sans-serif"/>
                                <w:b/>
                                <w:color w:val="000000"/>
                                <w:sz w:val="16"/>
                              </w:rPr>
                            </w:pPr>
                            <w:r>
                              <w:rPr>
                                <w:rFonts w:ascii="Arial;Helvetica;sans-serif" w:hAnsi="Arial;Helvetica;sans-serif"/>
                                <w:b/>
                                <w:color w:val="000000"/>
                                <w:sz w:val="16"/>
                              </w:rPr>
                              <w:t>Total Meetings (average incumbent director attendance of 100%)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Executive Sessions of the Board (independent directors meet without management present)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established an Audit Committee, a Compensation Committee, and a Nominating &amp; Corporate Governance Committee, each of which has the composition and responsibilities described below. Each committee acts in accordance with a written charter </w:t>
                      </w:r>
                    </w:p>
                  </w:txbxContent>
                </v:textbox>
                <w10:wrap type="square" side="right"/>
              </v:rect>
            </w:pict>
          </mc:Fallback>
        </mc:AlternateContent>
      </w:r>
      <w:r>
        <mc:AlternateContent>
          <mc:Choice Requires="wps">
            <w:drawing>
              <wp:anchor behindDoc="0" distT="0" distB="0" distL="228600" distR="0" simplePos="0" locked="0" layoutInCell="1" allowOverlap="1" relativeHeight="254">
                <wp:simplePos x="0" y="0"/>
                <wp:positionH relativeFrom="column">
                  <wp:align>left</wp:align>
                </wp:positionH>
                <wp:positionV relativeFrom="line">
                  <wp:posOffset>635</wp:posOffset>
                </wp:positionV>
                <wp:extent cx="3124200" cy="4076700"/>
                <wp:effectExtent l="0" t="0" r="0" b="0"/>
                <wp:wrapSquare wrapText="right"/>
                <wp:docPr id="154" name="Frame48"/>
                <a:graphic xmlns:a="http://schemas.openxmlformats.org/drawingml/2006/main">
                  <a:graphicData uri="http://schemas.microsoft.com/office/word/2010/wordprocessingShape">
                    <wps:wsp>
                      <wps:cNvSpPr txBox="1"/>
                      <wps:spPr>
                        <a:xfrm>
                          <a:off x="0" y="0"/>
                          <a:ext cx="3124200" cy="407670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adopted by the Board. The committee charters are available in the “Investors—Governance” section of our website at www.fabrinet.com. </w:t>
                            </w:r>
                          </w:p>
                          <w:p>
                            <w:pPr>
                              <w:pStyle w:val="TextBody"/>
                              <w:bidi w:val="0"/>
                              <w:spacing w:before="32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Audit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currently consists of Mr. Alexander, Ms. Dowling, Mr. Kelly (chair) and Dr. Levinson, each of whom is independent under the NYSE listing standards and the rules and regulations of the SEC. The Board has determined that each of Mr. Alexander and Mr. Kelly qualifies as an “audit committee financial expert” under the rules and regulations of the SEC and that each member of the Audit Committee meets the financial literacy requirements of the NYSE listing standards.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Audit Committee assists the Board in its oversight of (1) our accounting and financial reporting processes and internal controls, (2) the audit and integrity of our financial statements, (3) our compliance with legal and regulatory requirements, (4) the qualifications, independence and performance of our </w:t>
                            </w:r>
                          </w:p>
                        </w:txbxContent>
                      </wps:txbx>
                      <wps:bodyPr anchor="t" lIns="0" tIns="0" rIns="0" bIns="0">
                        <a:noAutofit/>
                      </wps:bodyPr>
                    </wps:wsp>
                  </a:graphicData>
                </a:graphic>
              </wp:anchor>
            </w:drawing>
          </mc:Choice>
          <mc:Fallback>
            <w:pict>
              <v:rect style="position:absolute;rotation:-0;width:246pt;height:32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adopted by the Board. The committee charters are available in the “Investors—Governance” section of our website at www.fabrinet.com. </w:t>
                      </w:r>
                    </w:p>
                    <w:p>
                      <w:pPr>
                        <w:pStyle w:val="TextBody"/>
                        <w:bidi w:val="0"/>
                        <w:spacing w:before="32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Audit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currently consists of Mr. Alexander, Ms. Dowling, Mr. Kelly (chair) and Dr. Levinson, each of whom is independent under the NYSE listing standards and the rules and regulations of the SEC. The Board has determined that each of Mr. Alexander and Mr. Kelly qualifies as an “audit committee financial expert” under the rules and regulations of the SEC and that each member of the Audit Committee meets the financial literacy requirements of the NYSE listing standards.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Audit Committee assists the Board in its oversight of (1) our accounting and financial reporting processes and internal controls, (2) the audit and integrity of our financial statements, (3) our compliance with legal and regulatory requirements, (4) the qualifications, independence and performance of our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5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7" descr=""/>
                          <pic:cNvPicPr>
                            <a:picLocks noChangeAspect="1" noChangeArrowheads="1"/>
                          </pic:cNvPicPr>
                        </pic:nvPicPr>
                        <pic:blipFill>
                          <a:blip r:embed="rId10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81940x1_def14a_107-corporate_pg4"/>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49" w:name="tCGM10"/>
      <w:bookmarkEnd w:id="149"/>
      <w:r>
        <w:rPr>
          <w:rFonts w:ascii="Arial;Helvetica;sans-serif" w:hAnsi="Arial;Helvetica;sans-serif"/>
          <w:b/>
          <w:color w:val="000000"/>
          <w:sz w:val="28"/>
        </w:rPr>
        <w:t xml:space="preserve">Attendance at Annual Meetings of Shareholders by the Board of Directors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124200" cy="6520180"/>
                <wp:effectExtent l="0" t="0" r="0" b="0"/>
                <wp:wrapSquare wrapText="right"/>
                <wp:docPr id="156" name="Frame49"/>
                <a:graphic xmlns:a="http://schemas.openxmlformats.org/drawingml/2006/main">
                  <a:graphicData uri="http://schemas.microsoft.com/office/word/2010/wordprocessingShape">
                    <wps:wsp>
                      <wps:cNvSpPr txBox="1"/>
                      <wps:spPr>
                        <a:xfrm>
                          <a:off x="0" y="0"/>
                          <a:ext cx="3124200" cy="6520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independent auditors, and (5) the performance of our internal audit function. The Audit Committee is also responsible for reviewing, approving and monitoring related party transactions, and reviewing cybersecurity and data security risks and mitigation strategies. </w:t>
                            </w:r>
                          </w:p>
                          <w:p>
                            <w:pPr>
                              <w:pStyle w:val="TextBody"/>
                              <w:bidi w:val="0"/>
                              <w:spacing w:before="120" w:after="283"/>
                              <w:ind w:left="60" w:right="0" w:hanging="0"/>
                              <w:jc w:val="both"/>
                              <w:rPr/>
                            </w:pPr>
                            <w:r>
                              <w:rPr>
                                <w:rFonts w:ascii="Arial;Helvetica;sans-serif" w:hAnsi="Arial;Helvetica;sans-serif"/>
                                <w:color w:val="000000"/>
                                <w:sz w:val="20"/>
                              </w:rPr>
                              <w:t xml:space="preserve">The Audit Committee report is included in this proxy statement on page </w:t>
                            </w:r>
                            <w:hyperlink w:anchor="tACR">
                              <w:r>
                                <w:rPr>
                                  <w:rStyle w:val="InternetLink"/>
                                </w:rPr>
                                <w:t>36</w:t>
                              </w:r>
                            </w:hyperlink>
                            <w:r>
                              <w:rPr>
                                <w:rFonts w:ascii="Arial;Helvetica;sans-serif" w:hAnsi="Arial;Helvetica;sans-serif"/>
                                <w:color w:val="000000"/>
                                <w:sz w:val="20"/>
                              </w:rPr>
                              <w:t xml:space="preserve">.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Mr. Alexander, Dr. Bahrami, Mr. Kelly and Dr. Levinson (chair), each of whom is independent under the NYSE listing standards and the rules and regulations of the SEC. In addition, the Board has determined that Mr. Alexander, Dr. Bahrami, Mr. Kelly and Dr. Levinson meet the requirements of the non-employee director definition of Rule 16b-3 promulgated under the Exchange Act and the outside director definition of Section 162(m) of the Internal Revenue Code.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Compensation Committee (1) oversees our compensation policies, plans, benefits programs, and overall compensation philosophy, (2) assists the Board in its oversight of executive compensation, (3) administers our incentive compensation and equity compensation plans, (4) prepares an annual report on executive officer compensation for inclusion in our annual proxy statement, (5) assists the Board in its oversight of our policies and strategies related to people management, and (6) reviews and evaluates our compensation policies and practices as they relate to risk management and risk-taking incentives. </w:t>
                            </w:r>
                          </w:p>
                          <w:p>
                            <w:pPr>
                              <w:pStyle w:val="TextBody"/>
                              <w:bidi w:val="0"/>
                              <w:spacing w:before="120" w:after="283"/>
                              <w:ind w:left="60" w:right="0" w:hanging="0"/>
                              <w:jc w:val="both"/>
                              <w:rPr/>
                            </w:pPr>
                            <w:r>
                              <w:rPr>
                                <w:rFonts w:ascii="Arial;Helvetica;sans-serif" w:hAnsi="Arial;Helvetica;sans-serif"/>
                                <w:color w:val="000000"/>
                                <w:sz w:val="20"/>
                              </w:rPr>
                              <w:t xml:space="preserve">The Compensation Committee report is included in this proxy statement on page </w:t>
                            </w:r>
                            <w:hyperlink w:anchor="tEC3">
                              <w:r>
                                <w:rPr>
                                  <w:rStyle w:val="InternetLink"/>
                                </w:rPr>
                                <w:t>49</w:t>
                              </w:r>
                            </w:hyperlink>
                            <w:r>
                              <w:rPr>
                                <w:rFonts w:ascii="Arial;Helvetica;sans-serif" w:hAnsi="Arial;Helvetica;sans-serif"/>
                                <w:color w:val="000000"/>
                                <w:sz w:val="20"/>
                              </w:rPr>
                              <w:t xml:space="preserve">. </w:t>
                            </w:r>
                          </w:p>
                        </w:txbxContent>
                      </wps:txbx>
                      <wps:bodyPr anchor="t" lIns="0" tIns="0" rIns="0" bIns="0">
                        <a:noAutofit/>
                      </wps:bodyPr>
                    </wps:wsp>
                  </a:graphicData>
                </a:graphic>
              </wp:anchor>
            </w:drawing>
          </mc:Choice>
          <mc:Fallback>
            <w:pict>
              <v:rect style="position:absolute;rotation:-0;width:246pt;height:51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independent auditors, and (5) the performance of our internal audit function. The Audit Committee is also responsible for reviewing, approving and monitoring related party transactions, and reviewing cybersecurity and data security risks and mitigation strategies. </w:t>
                      </w:r>
                    </w:p>
                    <w:p>
                      <w:pPr>
                        <w:pStyle w:val="TextBody"/>
                        <w:bidi w:val="0"/>
                        <w:spacing w:before="120" w:after="283"/>
                        <w:ind w:left="60" w:right="0" w:hanging="0"/>
                        <w:jc w:val="both"/>
                        <w:rPr/>
                      </w:pPr>
                      <w:r>
                        <w:rPr>
                          <w:rFonts w:ascii="Arial;Helvetica;sans-serif" w:hAnsi="Arial;Helvetica;sans-serif"/>
                          <w:color w:val="000000"/>
                          <w:sz w:val="20"/>
                        </w:rPr>
                        <w:t xml:space="preserve">The Audit Committee report is included in this proxy statement on page </w:t>
                      </w:r>
                      <w:hyperlink w:anchor="tACR">
                        <w:r>
                          <w:rPr>
                            <w:rStyle w:val="InternetLink"/>
                          </w:rPr>
                          <w:t>36</w:t>
                        </w:r>
                      </w:hyperlink>
                      <w:r>
                        <w:rPr>
                          <w:rFonts w:ascii="Arial;Helvetica;sans-serif" w:hAnsi="Arial;Helvetica;sans-serif"/>
                          <w:color w:val="000000"/>
                          <w:sz w:val="20"/>
                        </w:rPr>
                        <w:t xml:space="preserve">.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Mr. Alexander, Dr. Bahrami, Mr. Kelly and Dr. Levinson (chair), each of whom is independent under the NYSE listing standards and the rules and regulations of the SEC. In addition, the Board has determined that Mr. Alexander, Dr. Bahrami, Mr. Kelly and Dr. Levinson meet the requirements of the non-employee director definition of Rule 16b-3 promulgated under the Exchange Act and the outside director definition of Section 162(m) of the Internal Revenue Code.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Compensation Committee (1) oversees our compensation policies, plans, benefits programs, and overall compensation philosophy, (2) assists the Board in its oversight of executive compensation, (3) administers our incentive compensation and equity compensation plans, (4) prepares an annual report on executive officer compensation for inclusion in our annual proxy statement, (5) assists the Board in its oversight of our policies and strategies related to people management, and (6) reviews and evaluates our compensation policies and practices as they relate to risk management and risk-taking incentives. </w:t>
                      </w:r>
                    </w:p>
                    <w:p>
                      <w:pPr>
                        <w:pStyle w:val="TextBody"/>
                        <w:bidi w:val="0"/>
                        <w:spacing w:before="120" w:after="283"/>
                        <w:ind w:left="60" w:right="0" w:hanging="0"/>
                        <w:jc w:val="both"/>
                        <w:rPr/>
                      </w:pPr>
                      <w:r>
                        <w:rPr>
                          <w:rFonts w:ascii="Arial;Helvetica;sans-serif" w:hAnsi="Arial;Helvetica;sans-serif"/>
                          <w:color w:val="000000"/>
                          <w:sz w:val="20"/>
                        </w:rPr>
                        <w:t xml:space="preserve">The Compensation Committee report is included in this proxy statement on page </w:t>
                      </w:r>
                      <w:hyperlink w:anchor="tEC3">
                        <w:r>
                          <w:rPr>
                            <w:rStyle w:val="InternetLink"/>
                          </w:rPr>
                          <w:t>49</w:t>
                        </w:r>
                      </w:hyperlink>
                      <w:r>
                        <w:rPr>
                          <w:rFonts w:ascii="Arial;Helvetica;sans-serif" w:hAnsi="Arial;Helvetica;sans-serif"/>
                          <w:color w:val="000000"/>
                          <w:sz w:val="20"/>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56">
                <wp:simplePos x="0" y="0"/>
                <wp:positionH relativeFrom="column">
                  <wp:align>left</wp:align>
                </wp:positionH>
                <wp:positionV relativeFrom="line">
                  <wp:posOffset>635</wp:posOffset>
                </wp:positionV>
                <wp:extent cx="3124200" cy="5017135"/>
                <wp:effectExtent l="0" t="0" r="0" b="0"/>
                <wp:wrapSquare wrapText="right"/>
                <wp:docPr id="157" name="Frame50"/>
                <a:graphic xmlns:a="http://schemas.openxmlformats.org/drawingml/2006/main">
                  <a:graphicData uri="http://schemas.microsoft.com/office/word/2010/wordprocessingShape">
                    <wps:wsp>
                      <wps:cNvSpPr txBox="1"/>
                      <wps:spPr>
                        <a:xfrm>
                          <a:off x="0" y="0"/>
                          <a:ext cx="3124200" cy="5017135"/>
                        </a:xfrm>
                        <a:prstGeom prst="rect"/>
                        <a:solidFill>
                          <a:srgbClr val="FFFFFF"/>
                        </a:solidFill>
                      </wps:spPr>
                      <wps:txb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Nominating &amp; Corporate Governance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currently consists of Mr. Alexander, Dr. Bahrami (chair) and Ms. Dowling, each of whom is independent under the NYSE listing standards and the rules and regulations of the SEC.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Nominating &amp; Corporate Governance Committee (1) assists the Board in identifying prospective director nominees, (2) recommends candidates for election to the Board at each annual meeting of shareholders, (3) reviews and recommends updates to our corporate governance guidelines, as appropriate, (4) reviews and recommends directors to serve on each board committee, (5) oversees the annual evaluation of the Board and its committees, (6) monitors and reviews matters related to succession planning for our executive officers, and (7) oversees our environmental, social and governance programs (including reviewing risks relating to corporate social responsibility and environmental sustainability).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Nominating &amp; Corporate Governance Committee will consider recommendations of candidates for election to the Board submitted by shareholders of Fabrinet. For more information, see “</w:t>
                            </w:r>
                            <w:r>
                              <w:rPr>
                                <w:rFonts w:ascii="Arial;Helvetica;sans-serif" w:hAnsi="Arial;Helvetica;sans-serif"/>
                                <w:i/>
                                <w:color w:val="000000"/>
                                <w:sz w:val="20"/>
                              </w:rPr>
                              <w:t>Process for Recommending Candidates for Election to the Board of Directors</w:t>
                            </w:r>
                            <w:r>
                              <w:rPr>
                                <w:rFonts w:ascii="Arial;Helvetica;sans-serif" w:hAnsi="Arial;Helvetica;sans-serif"/>
                                <w:color w:val="000000"/>
                                <w:sz w:val="20"/>
                              </w:rPr>
                              <w:t xml:space="preserve">” below. </w:t>
                            </w:r>
                          </w:p>
                        </w:txbxContent>
                      </wps:txbx>
                      <wps:bodyPr anchor="t" lIns="0" tIns="0" rIns="0" bIns="0">
                        <a:noAutofit/>
                      </wps:bodyPr>
                    </wps:wsp>
                  </a:graphicData>
                </a:graphic>
              </wp:anchor>
            </w:drawing>
          </mc:Choice>
          <mc:Fallback>
            <w:pict>
              <v:rect style="position:absolute;rotation:-0;width:246pt;height:395.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Nominating &amp; Corporate Governance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currently consists of Mr. Alexander, Dr. Bahrami (chair) and Ms. Dowling, each of whom is independent under the NYSE listing standards and the rules and regulations of the SEC.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Among other responsibilities, the Nominating &amp; Corporate Governance Committee (1) assists the Board in identifying prospective director nominees, (2) recommends candidates for election to the Board at each annual meeting of shareholders, (3) reviews and recommends updates to our corporate governance guidelines, as appropriate, (4) reviews and recommends directors to serve on each board committee, (5) oversees the annual evaluation of the Board and its committees, (6) monitors and reviews matters related to succession planning for our executive officers, and (7) oversees our environmental, social and governance programs (including reviewing risks relating to corporate social responsibility and environmental sustainability).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Nominating &amp; Corporate Governance Committee will consider recommendations of candidates for election to the Board submitted by shareholders of Fabrinet. For more information, see “</w:t>
                      </w:r>
                      <w:r>
                        <w:rPr>
                          <w:rFonts w:ascii="Arial;Helvetica;sans-serif" w:hAnsi="Arial;Helvetica;sans-serif"/>
                          <w:i/>
                          <w:color w:val="000000"/>
                          <w:sz w:val="20"/>
                        </w:rPr>
                        <w:t>Process for Recommending Candidates for Election to the Board of Directors</w:t>
                      </w:r>
                      <w:r>
                        <w:rPr>
                          <w:rFonts w:ascii="Arial;Helvetica;sans-serif" w:hAnsi="Arial;Helvetica;sans-serif"/>
                          <w:color w:val="000000"/>
                          <w:sz w:val="20"/>
                        </w:rPr>
                        <w:t xml:space="preserve">” below.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50" w:name="tCTBOD"/>
      <w:bookmarkEnd w:id="150"/>
      <w:r>
        <w:rPr>
          <w:rFonts w:ascii="Arial;Helvetica;sans-serif" w:hAnsi="Arial;Helvetica;sans-serif"/>
          <w:b/>
          <w:color w:val="000000"/>
          <w:sz w:val="28"/>
        </w:rPr>
        <w:t xml:space="preserve">Contacting the Board of Directors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124200" cy="669925"/>
                <wp:effectExtent l="0" t="0" r="0" b="0"/>
                <wp:wrapSquare wrapText="right"/>
                <wp:docPr id="158" name="Frame51"/>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we do not have a formal policy regarding attendance by members of the Board at our annual meeting of shareholders, we encourage, but do not require, directors to attend.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we do not have a formal policy regarding attendance by members of the Board at our annual meeting of shareholders, we encourage, but do not require, directors to attend. </w:t>
                      </w:r>
                    </w:p>
                  </w:txbxContent>
                </v:textbox>
                <w10:wrap type="square" side="right"/>
              </v:rect>
            </w:pict>
          </mc:Fallback>
        </mc:AlternateContent>
      </w:r>
      <w:r>
        <mc:AlternateContent>
          <mc:Choice Requires="wps">
            <w:drawing>
              <wp:anchor behindDoc="0" distT="0" distB="0" distL="228600" distR="0" simplePos="0" locked="0" layoutInCell="1" allowOverlap="1" relativeHeight="258">
                <wp:simplePos x="0" y="0"/>
                <wp:positionH relativeFrom="column">
                  <wp:align>left</wp:align>
                </wp:positionH>
                <wp:positionV relativeFrom="line">
                  <wp:posOffset>635</wp:posOffset>
                </wp:positionV>
                <wp:extent cx="3124200" cy="377825"/>
                <wp:effectExtent l="0" t="0" r="0" b="0"/>
                <wp:wrapSquare wrapText="right"/>
                <wp:docPr id="159" name="Frame52"/>
                <a:graphic xmlns:a="http://schemas.openxmlformats.org/drawingml/2006/main">
                  <a:graphicData uri="http://schemas.microsoft.com/office/word/2010/wordprocessingShape">
                    <wps:wsp>
                      <wps:cNvSpPr txBox="1"/>
                      <wps:spPr>
                        <a:xfrm>
                          <a:off x="0" y="0"/>
                          <a:ext cx="3124200" cy="3778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our incumbent directors attended our 2025 annual general meeting of shareholders. </w:t>
                            </w:r>
                          </w:p>
                        </w:txbxContent>
                      </wps:txbx>
                      <wps:bodyPr anchor="t" lIns="0" tIns="0" rIns="0" bIns="0">
                        <a:noAutofit/>
                      </wps:bodyPr>
                    </wps:wsp>
                  </a:graphicData>
                </a:graphic>
              </wp:anchor>
            </w:drawing>
          </mc:Choice>
          <mc:Fallback>
            <w:pict>
              <v:rect style="position:absolute;rotation:-0;width:246pt;height:29.7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our incumbent directors attended our 2025 annual general meeting of shareholders.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124200" cy="1108075"/>
                <wp:effectExtent l="0" t="0" r="0" b="0"/>
                <wp:wrapSquare wrapText="right"/>
                <wp:docPr id="160" name="Frame53"/>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directly with our lead independent director may do so by sending an email to leadindependentdirector@fabrinet.com. Communications received at this email address are automatically routed directly to our lead independent director. </w:t>
                            </w:r>
                          </w:p>
                        </w:txbxContent>
                      </wps:txbx>
                      <wps:bodyPr anchor="t" lIns="0" tIns="0" rIns="0" bIns="0">
                        <a:noAutofit/>
                      </wps:bodyPr>
                    </wps:wsp>
                  </a:graphicData>
                </a:graphic>
              </wp:anchor>
            </w:drawing>
          </mc:Choice>
          <mc:Fallback>
            <w:pict>
              <v:rect style="position:absolute;rotation:-0;width:246pt;height:87.2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directly with our lead independent director may do so by sending an email to leadindependentdirector@fabrinet.com. Communications received at this email address are automatically routed directly to our lead independent director. </w:t>
                      </w:r>
                    </w:p>
                  </w:txbxContent>
                </v:textbox>
                <w10:wrap type="square" side="right"/>
              </v:rect>
            </w:pict>
          </mc:Fallback>
        </mc:AlternateContent>
      </w:r>
      <w:r>
        <mc:AlternateContent>
          <mc:Choice Requires="wps">
            <w:drawing>
              <wp:anchor behindDoc="0" distT="0" distB="0" distL="228600" distR="0" simplePos="0" locked="0" layoutInCell="1" allowOverlap="1" relativeHeight="260">
                <wp:simplePos x="0" y="0"/>
                <wp:positionH relativeFrom="column">
                  <wp:align>left</wp:align>
                </wp:positionH>
                <wp:positionV relativeFrom="line">
                  <wp:posOffset>635</wp:posOffset>
                </wp:positionV>
                <wp:extent cx="3124200" cy="962025"/>
                <wp:effectExtent l="0" t="0" r="0" b="0"/>
                <wp:wrapSquare wrapText="right"/>
                <wp:docPr id="161" name="Frame54"/>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with the Board may do so by sending an email to board@fabrinet.com or a written communication addressed to Fabrinet, c/o Fabrinet USA, Inc., 4900 Patrick Henry Drive, Santa Clara, CA 95054, Attention: Board of Directors. </w:t>
                            </w:r>
                          </w:p>
                        </w:txbxContent>
                      </wps:txbx>
                      <wps:bodyPr anchor="t" lIns="0" tIns="0" rIns="0" bIns="0">
                        <a:noAutofit/>
                      </wps:bodyPr>
                    </wps:wsp>
                  </a:graphicData>
                </a:graphic>
              </wp:anchor>
            </w:drawing>
          </mc:Choice>
          <mc:Fallback>
            <w:pict>
              <v:rect style="position:absolute;rotation:-0;width:246pt;height:75.7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who wish to communicate with the Board may do so by sending an email to board@fabrinet.com or a written communication addressed to Fabrinet, c/o Fabrinet USA, Inc., 4900 Patrick Henry Drive, Santa Clara, CA 95054, Attention: Board of Directors.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6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8" descr=""/>
                          <pic:cNvPicPr>
                            <a:picLocks noChangeAspect="1" noChangeArrowheads="1"/>
                          </pic:cNvPicPr>
                        </pic:nvPicPr>
                        <pic:blipFill>
                          <a:blip r:embed="rId10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1" w:name="ny20081940x1_def14a_107-corporate_pg5"/>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430" w:after="283"/>
        <w:ind w:left="60" w:right="0" w:hanging="0"/>
        <w:jc w:val="left"/>
        <w:rPr>
          <w:rFonts w:ascii="Arial;Helvetica;sans-serif" w:hAnsi="Arial;Helvetica;sans-serif"/>
          <w:b/>
          <w:color w:val="000000"/>
          <w:sz w:val="28"/>
        </w:rPr>
      </w:pPr>
      <w:bookmarkStart w:id="152" w:name="tSOG"/>
      <w:bookmarkEnd w:id="152"/>
      <w:r>
        <w:rPr>
          <w:rFonts w:ascii="Arial;Helvetica;sans-serif" w:hAnsi="Arial;Helvetica;sans-serif"/>
          <w:b/>
          <w:color w:val="000000"/>
          <w:sz w:val="28"/>
        </w:rPr>
        <w:t xml:space="preserve">Share Ownership Guidelines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124200" cy="962025"/>
                <wp:effectExtent l="0" t="0" r="0" b="0"/>
                <wp:wrapSquare wrapText="right"/>
                <wp:docPr id="163" name="Frame55"/>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w:t>
                      </w:r>
                    </w:p>
                  </w:txbxContent>
                </v:textbox>
                <w10:wrap type="square" side="right"/>
              </v:rect>
            </w:pict>
          </mc:Fallback>
        </mc:AlternateContent>
      </w:r>
      <w:r>
        <mc:AlternateContent>
          <mc:Choice Requires="wps">
            <w:drawing>
              <wp:anchor behindDoc="0" distT="0" distB="0" distL="228600" distR="0" simplePos="0" locked="0" layoutInCell="1" allowOverlap="1" relativeHeight="262">
                <wp:simplePos x="0" y="0"/>
                <wp:positionH relativeFrom="column">
                  <wp:align>left</wp:align>
                </wp:positionH>
                <wp:positionV relativeFrom="line">
                  <wp:posOffset>635</wp:posOffset>
                </wp:positionV>
                <wp:extent cx="3124200" cy="669925"/>
                <wp:effectExtent l="0" t="0" r="0" b="0"/>
                <wp:wrapSquare wrapText="right"/>
                <wp:docPr id="164" name="Frame56"/>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or otherwise inappropriate material) and, as appropriate, routes such communications to the appropriate member(s) of the Board, or if none is specified, to the chairman of the Board.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or otherwise inappropriate material) and, as appropriate, routes such communications to the appropriate member(s) of the Board, or if none is specified, to the chairman of the Board.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53" w:name="tITP"/>
      <w:bookmarkEnd w:id="153"/>
      <w:r>
        <w:rPr>
          <w:rFonts w:ascii="Arial;Helvetica;sans-serif" w:hAnsi="Arial;Helvetica;sans-serif"/>
          <w:b/>
          <w:color w:val="000000"/>
          <w:sz w:val="28"/>
        </w:rPr>
        <w:t xml:space="preserve">Insider Trading Policy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124200" cy="6113780"/>
                <wp:effectExtent l="0" t="0" r="0" b="0"/>
                <wp:wrapSquare wrapText="right"/>
                <wp:docPr id="165" name="Frame57"/>
                <a:graphic xmlns:a="http://schemas.openxmlformats.org/drawingml/2006/main">
                  <a:graphicData uri="http://schemas.microsoft.com/office/word/2010/wordprocessingShape">
                    <wps:wsp>
                      <wps:cNvSpPr txBox="1"/>
                      <wps:spPr>
                        <a:xfrm>
                          <a:off x="0" y="0"/>
                          <a:ext cx="3124200" cy="61137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further align the interests of our executive officers and members of the Board with those of our shareholders, we first adopted share ownership guidelines for our executive officers and non-employee directors in August 2012. In 2026, the Compensation Committee retained Compensia, Inc., a national compensation consulting firm, to provide independent services to assist the Compensation Committee in evaluating the competitiveness of our share ownership guidelines. As a result of this review and upon the recommendation of the Compensation Committee, the Board amended our share ownership guidelines in August 2026 to increase the minimum ownership value for our chief executive officer (from five times annual base salary to six times annual base salary), other executive officers (from two times annual base salary to three times annual base salary), and non-employee directors (from four times annual Board retainer to five times annual Board retainer (excluding Board chair, lead independent director and committee-service cash retainers)). Under these guidelines, our executive officers are required, and our non-employee directors are expected, to own a number of shares with a minimum value equivalent to the following: </w:t>
                            </w:r>
                          </w:p>
                          <w:tbl>
                            <w:tblPr>
                              <w:tblW w:w="4830" w:type="dxa"/>
                              <w:jc w:val="left"/>
                              <w:tblInd w:w="60" w:type="dxa"/>
                              <w:tblLayout w:type="fixed"/>
                              <w:tblCellMar>
                                <w:top w:w="0" w:type="dxa"/>
                                <w:left w:w="0" w:type="dxa"/>
                                <w:bottom w:w="0" w:type="dxa"/>
                                <w:right w:w="0" w:type="dxa"/>
                              </w:tblCellMar>
                            </w:tblPr>
                            <w:tblGrid>
                              <w:gridCol w:w="185"/>
                              <w:gridCol w:w="1865"/>
                              <w:gridCol w:w="170"/>
                              <w:gridCol w:w="170"/>
                              <w:gridCol w:w="2225"/>
                              <w:gridCol w:w="215"/>
                            </w:tblGrid>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Minimum Ownership Value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6x annual base salary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Other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3x 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5x annual Board retainer</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officers are required, and non-employee directors are expected, to have achieved the applicable amount of share ownership by the later of August 2023 or five years after becoming an executive officer or being </w:t>
                            </w:r>
                          </w:p>
                        </w:txbxContent>
                      </wps:txbx>
                      <wps:bodyPr anchor="t" lIns="0" tIns="0" rIns="0" bIns="0">
                        <a:noAutofit/>
                      </wps:bodyPr>
                    </wps:wsp>
                  </a:graphicData>
                </a:graphic>
              </wp:anchor>
            </w:drawing>
          </mc:Choice>
          <mc:Fallback>
            <w:pict>
              <v:rect style="position:absolute;rotation:-0;width:246pt;height:48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further align the interests of our executive officers and members of the Board with those of our shareholders, we first adopted share ownership guidelines for our executive officers and non-employee directors in August 2012. In 2026, the Compensation Committee retained Compensia, Inc., a national compensation consulting firm, to provide independent services to assist the Compensation Committee in evaluating the competitiveness of our share ownership guidelines. As a result of this review and upon the recommendation of the Compensation Committee, the Board amended our share ownership guidelines in August 2026 to increase the minimum ownership value for our chief executive officer (from five times annual base salary to six times annual base salary), other executive officers (from two times annual base salary to three times annual base salary), and non-employee directors (from four times annual Board retainer to five times annual Board retainer (excluding Board chair, lead independent director and committee-service cash retainers)). Under these guidelines, our executive officers are required, and our non-employee directors are expected, to own a number of shares with a minimum value equivalent to the following: </w:t>
                      </w:r>
                    </w:p>
                    <w:tbl>
                      <w:tblPr>
                        <w:tblW w:w="4830" w:type="dxa"/>
                        <w:jc w:val="left"/>
                        <w:tblInd w:w="60" w:type="dxa"/>
                        <w:tblLayout w:type="fixed"/>
                        <w:tblCellMar>
                          <w:top w:w="0" w:type="dxa"/>
                          <w:left w:w="0" w:type="dxa"/>
                          <w:bottom w:w="0" w:type="dxa"/>
                          <w:right w:w="0" w:type="dxa"/>
                        </w:tblCellMar>
                      </w:tblPr>
                      <w:tblGrid>
                        <w:gridCol w:w="185"/>
                        <w:gridCol w:w="1865"/>
                        <w:gridCol w:w="170"/>
                        <w:gridCol w:w="170"/>
                        <w:gridCol w:w="2225"/>
                        <w:gridCol w:w="215"/>
                      </w:tblGrid>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Minimum Ownership Value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6x annual base salary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Other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3x 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Non-Employee Directors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5x annual Board retainer</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2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officers are required, and non-employee directors are expected, to have achieved the applicable amount of share ownership by the later of August 2023 or five years after becoming an executive officer or being </w:t>
                      </w:r>
                    </w:p>
                  </w:txbxContent>
                </v:textbox>
                <w10:wrap type="square" side="right"/>
              </v:rect>
            </w:pict>
          </mc:Fallback>
        </mc:AlternateContent>
      </w:r>
      <w:r>
        <mc:AlternateContent>
          <mc:Choice Requires="wps">
            <w:drawing>
              <wp:anchor behindDoc="0" distT="0" distB="0" distL="228600" distR="0" simplePos="0" locked="0" layoutInCell="1" allowOverlap="1" relativeHeight="264">
                <wp:simplePos x="0" y="0"/>
                <wp:positionH relativeFrom="column">
                  <wp:align>left</wp:align>
                </wp:positionH>
                <wp:positionV relativeFrom="line">
                  <wp:posOffset>635</wp:posOffset>
                </wp:positionV>
                <wp:extent cx="3124200" cy="5782945"/>
                <wp:effectExtent l="0" t="0" r="0" b="0"/>
                <wp:wrapSquare wrapText="right"/>
                <wp:docPr id="166" name="Frame58"/>
                <a:graphic xmlns:a="http://schemas.openxmlformats.org/drawingml/2006/main">
                  <a:graphicData uri="http://schemas.microsoft.com/office/word/2010/wordprocessingShape">
                    <wps:wsp>
                      <wps:cNvSpPr txBox="1"/>
                      <wps:spPr>
                        <a:xfrm>
                          <a:off x="0" y="0"/>
                          <a:ext cx="3124200" cy="578294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appointed to the Board, as applicable, and to maintain such amount of share ownership thereafter throughout their tenure as an executive officer or non-employee director of Fabrinet.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counted towards the minimum ownership levels include all shares directly or beneficially owned by the executive officer or non-employee director and any unvested, non-performance-based restricted share units held by the executive officer or non-employee director.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satisfy these guidelines, any executive officer or non-employee director who has not reached or who fails to maintain their minimum ownership level must retain at least fifty percent (50%) of any net shares derived from the vesting or exercise of equity awards until their applicable guideline is met. “Net shares” are those shares that remain after shares are sold or netted to pay the exercise price (if any) of equity awards and applicable taxes.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At its discretion, the Compensation Committee may waive these guidelines for non-employee directors joining the Board from government, academia, or similar professions. The Compensation Committee may also temporarily suspend these guidelines if compliance would create severe hardship or prevent an executive officer or non-employee director from complying with a court order.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As of September 30, 2026, all of our executive officers and non-employee directors either met the applicable ownership threshold or were within the permitted time period to attain the required ownership. </w:t>
                            </w:r>
                          </w:p>
                        </w:txbxContent>
                      </wps:txbx>
                      <wps:bodyPr anchor="t" lIns="0" tIns="0" rIns="0" bIns="0">
                        <a:noAutofit/>
                      </wps:bodyPr>
                    </wps:wsp>
                  </a:graphicData>
                </a:graphic>
              </wp:anchor>
            </w:drawing>
          </mc:Choice>
          <mc:Fallback>
            <w:pict>
              <v:rect style="position:absolute;rotation:-0;width:246pt;height:455.3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appointed to the Board, as applicable, and to maintain such amount of share ownership thereafter throughout their tenure as an executive officer or non-employee director of Fabrinet.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counted towards the minimum ownership levels include all shares directly or beneficially owned by the executive officer or non-employee director and any unvested, non-performance-based restricted share units held by the executive officer or non-employee director.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satisfy these guidelines, any executive officer or non-employee director who has not reached or who fails to maintain their minimum ownership level must retain at least fifty percent (50%) of any net shares derived from the vesting or exercise of equity awards until their applicable guideline is met. “Net shares” are those shares that remain after shares are sold or netted to pay the exercise price (if any) of equity awards and applicable taxes.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At its discretion, the Compensation Committee may waive these guidelines for non-employee directors joining the Board from government, academia, or similar professions. The Compensation Committee may also temporarily suspend these guidelines if compliance would create severe hardship or prevent an executive officer or non-employee director from complying with a court order.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As of September 30, 2026, all of our executive officers and non-employee directors either met the applicable ownership threshold or were within the permitted time period to attain the required ownership.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3124200" cy="1254125"/>
                <wp:effectExtent l="0" t="0" r="0" b="0"/>
                <wp:wrapSquare wrapText="right"/>
                <wp:docPr id="167" name="Frame59"/>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an insider trading policy governing the purchase, sale, and/or other disposition of our securities by our directors, officers, employees, and other covered persons. We believe this policy is reasonably designed to promote compliance with insider trading laws, rules, and regulations, as well as the exchange listing standards applicable to us. A copy of our insider trading policy is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an insider trading policy governing the purchase, sale, and/or other disposition of our securities by our directors, officers, employees, and other covered persons. We believe this policy is reasonably designed to promote compliance with insider trading laws, rules, and regulations, as well as the exchange listing standards applicable to us. A copy of our insider trading policy is </w:t>
                      </w:r>
                    </w:p>
                  </w:txbxContent>
                </v:textbox>
                <w10:wrap type="square" side="right"/>
              </v:rect>
            </w:pict>
          </mc:Fallback>
        </mc:AlternateContent>
      </w:r>
      <w:r>
        <mc:AlternateContent>
          <mc:Choice Requires="wps">
            <w:drawing>
              <wp:anchor behindDoc="0" distT="0" distB="0" distL="228600" distR="0" simplePos="0" locked="0" layoutInCell="1" allowOverlap="1" relativeHeight="266">
                <wp:simplePos x="0" y="0"/>
                <wp:positionH relativeFrom="column">
                  <wp:align>left</wp:align>
                </wp:positionH>
                <wp:positionV relativeFrom="line">
                  <wp:posOffset>635</wp:posOffset>
                </wp:positionV>
                <wp:extent cx="3124200" cy="1108075"/>
                <wp:effectExtent l="0" t="0" r="0" b="0"/>
                <wp:wrapSquare wrapText="right"/>
                <wp:docPr id="168" name="Frame60"/>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filed as an exhibit to our Annual Report on Form 10-K for fiscal 2024, filed with the SEC on August 20, 2024. Further, we periodically engage in transactions in our own securities. With regard to trading in our own securities, it is our practice to comply with the U.S. federal securities laws and the applicable exchange listing requirements. </w:t>
                            </w:r>
                          </w:p>
                        </w:txbxContent>
                      </wps:txbx>
                      <wps:bodyPr anchor="t" lIns="0" tIns="0" rIns="0" bIns="0">
                        <a:noAutofit/>
                      </wps:bodyPr>
                    </wps:wsp>
                  </a:graphicData>
                </a:graphic>
              </wp:anchor>
            </w:drawing>
          </mc:Choice>
          <mc:Fallback>
            <w:pict>
              <v:rect style="position:absolute;rotation:-0;width:246pt;height:87.25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filed as an exhibit to our Annual Report on Form 10-K for fiscal 2024, filed with the SEC on August 20, 2024. Further, we periodically engage in transactions in our own securities. With regard to trading in our own securities, it is our practice to comply with the U.S. federal securities laws and the applicable exchange listing requirements.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6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9" descr=""/>
                          <pic:cNvPicPr>
                            <a:picLocks noChangeAspect="1" noChangeArrowheads="1"/>
                          </pic:cNvPicPr>
                        </pic:nvPicPr>
                        <pic:blipFill>
                          <a:blip r:embed="rId11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4" w:name="ny20081940x1_def14a_107-corporate_pg6"/>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190" w:after="283"/>
        <w:ind w:left="60" w:right="0" w:hanging="0"/>
        <w:jc w:val="left"/>
        <w:rPr>
          <w:rFonts w:ascii="Arial;Helvetica;sans-serif" w:hAnsi="Arial;Helvetica;sans-serif"/>
          <w:b/>
          <w:color w:val="000000"/>
          <w:sz w:val="28"/>
        </w:rPr>
      </w:pPr>
      <w:bookmarkStart w:id="155" w:name="tPTIO"/>
      <w:bookmarkEnd w:id="155"/>
      <w:r>
        <w:rPr>
          <w:rFonts w:ascii="Arial;Helvetica;sans-serif" w:hAnsi="Arial;Helvetica;sans-serif"/>
          <w:b/>
          <w:color w:val="000000"/>
          <w:sz w:val="28"/>
        </w:rPr>
        <w:t xml:space="preserve">Prohibited Transactions in Our Securities </w:t>
      </w:r>
    </w:p>
    <w:p>
      <w:pPr>
        <w:pStyle w:val="TextBody"/>
        <w:bidi w:val="0"/>
        <w:spacing w:before="430" w:after="283"/>
        <w:ind w:left="60" w:right="0" w:hanging="0"/>
        <w:jc w:val="left"/>
        <w:rPr>
          <w:rFonts w:ascii="Arial;Helvetica;sans-serif" w:hAnsi="Arial;Helvetica;sans-serif"/>
          <w:b/>
          <w:color w:val="000000"/>
          <w:sz w:val="28"/>
        </w:rPr>
      </w:pPr>
      <w:bookmarkStart w:id="156" w:name="tCGM13"/>
      <w:bookmarkEnd w:id="156"/>
      <w:r>
        <w:rPr>
          <w:rFonts w:ascii="Arial;Helvetica;sans-serif" w:hAnsi="Arial;Helvetica;sans-serif"/>
          <w:b/>
          <w:color w:val="000000"/>
          <w:sz w:val="28"/>
        </w:rPr>
        <w:t xml:space="preserve">Compensation Committee Interlocks and Insider Participation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24200" cy="669925"/>
                <wp:effectExtent l="0" t="0" r="0" b="0"/>
                <wp:wrapSquare wrapText="right"/>
                <wp:docPr id="170" name="Frame61"/>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officers, directors, employees and consultants are prohibited from trading in derivative securities with respect to our securities, including put and call options and other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officers, directors, employees and consultants are prohibited from trading in derivative securities with respect to our securities, including put and call options and other </w:t>
                      </w:r>
                    </w:p>
                  </w:txbxContent>
                </v:textbox>
                <w10:wrap type="square" side="right"/>
              </v:rect>
            </w:pict>
          </mc:Fallback>
        </mc:AlternateContent>
      </w:r>
      <w:r>
        <mc:AlternateContent>
          <mc:Choice Requires="wps">
            <w:drawing>
              <wp:anchor behindDoc="0" distT="0" distB="0" distL="228600" distR="0" simplePos="0" locked="0" layoutInCell="1" allowOverlap="1" relativeHeight="268">
                <wp:simplePos x="0" y="0"/>
                <wp:positionH relativeFrom="column">
                  <wp:align>left</wp:align>
                </wp:positionH>
                <wp:positionV relativeFrom="line">
                  <wp:posOffset>635</wp:posOffset>
                </wp:positionV>
                <wp:extent cx="3124200" cy="523875"/>
                <wp:effectExtent l="0" t="0" r="0" b="0"/>
                <wp:wrapSquare wrapText="right"/>
                <wp:docPr id="171" name="Frame62"/>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financial instruments whose value varies with the value of our ordinary shares. This prohibition also extends to short sales.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financial instruments whose value varies with the value of our ordinary shares. This prohibition also extends to short sales.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57" w:name="tDRNP"/>
      <w:bookmarkEnd w:id="157"/>
      <w:r>
        <w:rPr>
          <w:rFonts w:ascii="Arial;Helvetica;sans-serif" w:hAnsi="Arial;Helvetica;sans-serif"/>
          <w:b/>
          <w:color w:val="000000"/>
          <w:sz w:val="28"/>
        </w:rPr>
        <w:t xml:space="preserve">Director Re-Nomination Process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124200" cy="962025"/>
                <wp:effectExtent l="0" t="0" r="0" b="0"/>
                <wp:wrapSquare wrapText="right"/>
                <wp:docPr id="172" name="Frame63"/>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Mr. Alexander, Dr. Bahrami, Mr. Kelly and Dr. Levinson served as members of the Compensation Committee. None of the members of the Compensation Committee is or has in the past served as an officer or employee of Fabrinet. None of our executive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Mr. Alexander, Dr. Bahrami, Mr. Kelly and Dr. Levinson served as members of the Compensation Committee. None of the members of the Compensation Committee is or has in the past served as an officer or employee of Fabrinet. None of our executive </w:t>
                      </w:r>
                    </w:p>
                  </w:txbxContent>
                </v:textbox>
                <w10:wrap type="square" side="right"/>
              </v:rect>
            </w:pict>
          </mc:Fallback>
        </mc:AlternateContent>
      </w:r>
      <w:r>
        <mc:AlternateContent>
          <mc:Choice Requires="wps">
            <w:drawing>
              <wp:anchor behindDoc="0" distT="0" distB="0" distL="228600" distR="0" simplePos="0" locked="0" layoutInCell="1" allowOverlap="1" relativeHeight="270">
                <wp:simplePos x="0" y="0"/>
                <wp:positionH relativeFrom="column">
                  <wp:align>left</wp:align>
                </wp:positionH>
                <wp:positionV relativeFrom="line">
                  <wp:posOffset>635</wp:posOffset>
                </wp:positionV>
                <wp:extent cx="3124200" cy="669925"/>
                <wp:effectExtent l="0" t="0" r="0" b="0"/>
                <wp:wrapSquare wrapText="right"/>
                <wp:docPr id="173" name="Frame64"/>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officers serves as a member of the board of directors or compensation committee of any entity that has one or more executive officers serving as a member of the Board or Compensation Committee.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officers serves as a member of the board of directors or compensation committee of any entity that has one or more executive officers serving as a member of the Board or Compensation Committee.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24200" cy="1901190"/>
                <wp:effectExtent l="0" t="0" r="0" b="0"/>
                <wp:wrapSquare wrapText="right"/>
                <wp:docPr id="174" name="Frame65"/>
                <a:graphic xmlns:a="http://schemas.openxmlformats.org/drawingml/2006/main">
                  <a:graphicData uri="http://schemas.microsoft.com/office/word/2010/wordprocessingShape">
                    <wps:wsp>
                      <wps:cNvSpPr txBox="1"/>
                      <wps:spPr>
                        <a:xfrm>
                          <a:off x="0" y="0"/>
                          <a:ext cx="3124200" cy="190119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oversees the re-nomination process. In considering whether to re-nominate a director for election at our annual meeting, the Nominating &amp; Corporate Governance Committee conducts a detailed review, considering factors such as: </w:t>
                            </w:r>
                          </w:p>
                          <w:tbl>
                            <w:tblPr>
                              <w:tblW w:w="10145" w:type="dxa"/>
                              <w:jc w:val="left"/>
                              <w:tblInd w:w="60" w:type="dxa"/>
                              <w:tblLayout w:type="fixed"/>
                              <w:tblCellMar>
                                <w:top w:w="0" w:type="dxa"/>
                                <w:left w:w="0" w:type="dxa"/>
                                <w:bottom w:w="0" w:type="dxa"/>
                                <w:right w:w="0" w:type="dxa"/>
                              </w:tblCellMar>
                            </w:tblPr>
                            <w:tblGrid>
                              <w:gridCol w:w="413"/>
                              <w:gridCol w:w="9732"/>
                            </w:tblGrid>
                            <w:tr>
                              <w:trPr/>
                              <w:tc>
                                <w:tcPr>
                                  <w:tcW w:w="413"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0" descr=""/>
                                                <pic:cNvPicPr>
                                                  <a:picLocks noChangeAspect="1" noChangeArrowheads="1"/>
                                                </pic:cNvPicPr>
                                              </pic:nvPicPr>
                                              <pic:blipFill>
                                                <a:blip r:embed="rId111"/>
                                                <a:stretch>
                                                  <a:fillRect/>
                                                </a:stretch>
                                              </pic:blipFill>
                                              <pic:spPr bwMode="auto">
                                                <a:xfrm>
                                                  <a:off x="0" y="0"/>
                                                  <a:ext cx="104775" cy="104775"/>
                                                </a:xfrm>
                                                <a:prstGeom prst="rect">
                                                  <a:avLst/>
                                                </a:prstGeom>
                                              </pic:spPr>
                                            </pic:pic>
                                          </a:graphicData>
                                        </a:graphic>
                                      </wp:inline>
                                    </w:drawing>
                                  </w:r>
                                  <w:r>
                                    <w:rPr>
                                      <w:color w:val="578255"/>
                                    </w:rPr>
                                    <w:t> </w:t>
                                  </w:r>
                                </w:p>
                              </w:tc>
                              <w:tc>
                                <w:tcPr>
                                  <w:tcW w:w="97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extent to which the director’s judgment, skills, qualifications and experience continue to contribute to the success of the Board and Fabrinet; </w:t>
                                  </w:r>
                                </w:p>
                              </w:tc>
                            </w:tr>
                          </w:tbl>
                          <w:tbl>
                            <w:tblPr>
                              <w:tblW w:w="8035" w:type="dxa"/>
                              <w:jc w:val="left"/>
                              <w:tblInd w:w="60" w:type="dxa"/>
                              <w:tblLayout w:type="fixed"/>
                              <w:tblCellMar>
                                <w:top w:w="0" w:type="dxa"/>
                                <w:left w:w="0" w:type="dxa"/>
                                <w:bottom w:w="0" w:type="dxa"/>
                                <w:right w:w="0" w:type="dxa"/>
                              </w:tblCellMar>
                            </w:tblPr>
                            <w:tblGrid>
                              <w:gridCol w:w="455"/>
                              <w:gridCol w:w="75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1" descr=""/>
                                                <pic:cNvPicPr>
                                                  <a:picLocks noChangeAspect="1" noChangeArrowheads="1"/>
                                                </pic:cNvPicPr>
                                              </pic:nvPicPr>
                                              <pic:blipFill>
                                                <a:blip r:embed="rId112"/>
                                                <a:stretch>
                                                  <a:fillRect/>
                                                </a:stretch>
                                              </pic:blipFill>
                                              <pic:spPr bwMode="auto">
                                                <a:xfrm>
                                                  <a:off x="0" y="0"/>
                                                  <a:ext cx="104775" cy="104775"/>
                                                </a:xfrm>
                                                <a:prstGeom prst="rect">
                                                  <a:avLst/>
                                                </a:prstGeom>
                                              </pic:spPr>
                                            </pic:pic>
                                          </a:graphicData>
                                        </a:graphic>
                                      </wp:inline>
                                    </w:drawing>
                                  </w:r>
                                  <w:r>
                                    <w:rPr>
                                      <w:color w:val="578255"/>
                                    </w:rPr>
                                    <w:t> </w:t>
                                  </w:r>
                                </w:p>
                              </w:tc>
                              <w:tc>
                                <w:tcPr>
                                  <w:tcW w:w="75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feedback from the annual Board evaluation and related discussions among the Board;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4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oversees the re-nomination process. In considering whether to re-nominate a director for election at our annual meeting, the Nominating &amp; Corporate Governance Committee conducts a detailed review, considering factors such as: </w:t>
                      </w:r>
                    </w:p>
                    <w:tbl>
                      <w:tblPr>
                        <w:tblW w:w="10145" w:type="dxa"/>
                        <w:jc w:val="left"/>
                        <w:tblInd w:w="60" w:type="dxa"/>
                        <w:tblLayout w:type="fixed"/>
                        <w:tblCellMar>
                          <w:top w:w="0" w:type="dxa"/>
                          <w:left w:w="0" w:type="dxa"/>
                          <w:bottom w:w="0" w:type="dxa"/>
                          <w:right w:w="0" w:type="dxa"/>
                        </w:tblCellMar>
                      </w:tblPr>
                      <w:tblGrid>
                        <w:gridCol w:w="413"/>
                        <w:gridCol w:w="9732"/>
                      </w:tblGrid>
                      <w:tr>
                        <w:trPr/>
                        <w:tc>
                          <w:tcPr>
                            <w:tcW w:w="413"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0" descr=""/>
                                          <pic:cNvPicPr>
                                            <a:picLocks noChangeAspect="1" noChangeArrowheads="1"/>
                                          </pic:cNvPicPr>
                                        </pic:nvPicPr>
                                        <pic:blipFill>
                                          <a:blip r:embed="rId113"/>
                                          <a:stretch>
                                            <a:fillRect/>
                                          </a:stretch>
                                        </pic:blipFill>
                                        <pic:spPr bwMode="auto">
                                          <a:xfrm>
                                            <a:off x="0" y="0"/>
                                            <a:ext cx="104775" cy="104775"/>
                                          </a:xfrm>
                                          <a:prstGeom prst="rect">
                                            <a:avLst/>
                                          </a:prstGeom>
                                        </pic:spPr>
                                      </pic:pic>
                                    </a:graphicData>
                                  </a:graphic>
                                </wp:inline>
                              </w:drawing>
                            </w:r>
                            <w:r>
                              <w:rPr>
                                <w:color w:val="578255"/>
                              </w:rPr>
                              <w:t> </w:t>
                            </w:r>
                          </w:p>
                        </w:tc>
                        <w:tc>
                          <w:tcPr>
                            <w:tcW w:w="97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extent to which the director’s judgment, skills, qualifications and experience continue to contribute to the success of the Board and Fabrinet; </w:t>
                            </w:r>
                          </w:p>
                        </w:tc>
                      </w:tr>
                    </w:tbl>
                    <w:tbl>
                      <w:tblPr>
                        <w:tblW w:w="8035" w:type="dxa"/>
                        <w:jc w:val="left"/>
                        <w:tblInd w:w="60" w:type="dxa"/>
                        <w:tblLayout w:type="fixed"/>
                        <w:tblCellMar>
                          <w:top w:w="0" w:type="dxa"/>
                          <w:left w:w="0" w:type="dxa"/>
                          <w:bottom w:w="0" w:type="dxa"/>
                          <w:right w:w="0" w:type="dxa"/>
                        </w:tblCellMar>
                      </w:tblPr>
                      <w:tblGrid>
                        <w:gridCol w:w="455"/>
                        <w:gridCol w:w="758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7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1" descr=""/>
                                          <pic:cNvPicPr>
                                            <a:picLocks noChangeAspect="1" noChangeArrowheads="1"/>
                                          </pic:cNvPicPr>
                                        </pic:nvPicPr>
                                        <pic:blipFill>
                                          <a:blip r:embed="rId114"/>
                                          <a:stretch>
                                            <a:fillRect/>
                                          </a:stretch>
                                        </pic:blipFill>
                                        <pic:spPr bwMode="auto">
                                          <a:xfrm>
                                            <a:off x="0" y="0"/>
                                            <a:ext cx="104775" cy="104775"/>
                                          </a:xfrm>
                                          <a:prstGeom prst="rect">
                                            <a:avLst/>
                                          </a:prstGeom>
                                        </pic:spPr>
                                      </pic:pic>
                                    </a:graphicData>
                                  </a:graphic>
                                </wp:inline>
                              </w:drawing>
                            </w:r>
                            <w:r>
                              <w:rPr>
                                <w:color w:val="578255"/>
                              </w:rPr>
                              <w:t> </w:t>
                            </w:r>
                          </w:p>
                        </w:tc>
                        <w:tc>
                          <w:tcPr>
                            <w:tcW w:w="75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feedback from the annual Board evaluation and related discussions among the Board;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40">
                <wp:simplePos x="0" y="0"/>
                <wp:positionH relativeFrom="column">
                  <wp:align>left</wp:align>
                </wp:positionH>
                <wp:positionV relativeFrom="line">
                  <wp:posOffset>635</wp:posOffset>
                </wp:positionV>
                <wp:extent cx="3124200" cy="1226820"/>
                <wp:effectExtent l="0" t="0" r="0" b="0"/>
                <wp:wrapSquare wrapText="right"/>
                <wp:docPr id="179" name="Frame66"/>
                <a:graphic xmlns:a="http://schemas.openxmlformats.org/drawingml/2006/main">
                  <a:graphicData uri="http://schemas.microsoft.com/office/word/2010/wordprocessingShape">
                    <wps:wsp>
                      <wps:cNvSpPr txBox="1"/>
                      <wps:spPr>
                        <a:xfrm>
                          <a:off x="0" y="0"/>
                          <a:ext cx="3124200" cy="1226820"/>
                        </a:xfrm>
                        <a:prstGeom prst="rect"/>
                        <a:solidFill>
                          <a:srgbClr val="FFFFFF"/>
                        </a:solidFill>
                      </wps:spPr>
                      <wps:txbx>
                        <w:txbxContent>
                          <w:tbl>
                            <w:tblPr>
                              <w:tblW w:w="7900" w:type="dxa"/>
                              <w:jc w:val="left"/>
                              <w:tblInd w:w="60" w:type="dxa"/>
                              <w:tblLayout w:type="fixed"/>
                              <w:tblCellMar>
                                <w:top w:w="0" w:type="dxa"/>
                                <w:left w:w="0" w:type="dxa"/>
                                <w:bottom w:w="0" w:type="dxa"/>
                                <w:right w:w="0" w:type="dxa"/>
                              </w:tblCellMar>
                            </w:tblPr>
                            <w:tblGrid>
                              <w:gridCol w:w="455"/>
                              <w:gridCol w:w="74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2" descr=""/>
                                                <pic:cNvPicPr>
                                                  <a:picLocks noChangeAspect="1" noChangeArrowheads="1"/>
                                                </pic:cNvPicPr>
                                              </pic:nvPicPr>
                                              <pic:blipFill>
                                                <a:blip r:embed="rId115"/>
                                                <a:stretch>
                                                  <a:fillRect/>
                                                </a:stretch>
                                              </pic:blipFill>
                                              <pic:spPr bwMode="auto">
                                                <a:xfrm>
                                                  <a:off x="0" y="0"/>
                                                  <a:ext cx="104775" cy="104775"/>
                                                </a:xfrm>
                                                <a:prstGeom prst="rect">
                                                  <a:avLst/>
                                                </a:prstGeom>
                                              </pic:spPr>
                                            </pic:pic>
                                          </a:graphicData>
                                        </a:graphic>
                                      </wp:inline>
                                    </w:drawing>
                                  </w:r>
                                  <w:r>
                                    <w:rPr>
                                      <w:color w:val="578255"/>
                                    </w:rPr>
                                    <w:t> </w:t>
                                  </w:r>
                                </w:p>
                              </w:tc>
                              <w:tc>
                                <w:tcPr>
                                  <w:tcW w:w="74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preparation for, and attendance and participation at, Board and committee meetings; </w:t>
                                  </w:r>
                                </w:p>
                              </w:tc>
                            </w:tr>
                          </w:tbl>
                          <w:tbl>
                            <w:tblPr>
                              <w:tblW w:w="1855" w:type="dxa"/>
                              <w:jc w:val="left"/>
                              <w:tblInd w:w="60" w:type="dxa"/>
                              <w:tblLayout w:type="fixed"/>
                              <w:tblCellMar>
                                <w:top w:w="0" w:type="dxa"/>
                                <w:left w:w="0" w:type="dxa"/>
                                <w:bottom w:w="0" w:type="dxa"/>
                                <w:right w:w="0" w:type="dxa"/>
                              </w:tblCellMar>
                            </w:tblPr>
                            <w:tblGrid>
                              <w:gridCol w:w="455"/>
                              <w:gridCol w:w="14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3" descr=""/>
                                                <pic:cNvPicPr>
                                                  <a:picLocks noChangeAspect="1" noChangeArrowheads="1"/>
                                                </pic:cNvPicPr>
                                              </pic:nvPicPr>
                                              <pic:blipFill>
                                                <a:blip r:embed="rId116"/>
                                                <a:stretch>
                                                  <a:fillRect/>
                                                </a:stretch>
                                              </pic:blipFill>
                                              <pic:spPr bwMode="auto">
                                                <a:xfrm>
                                                  <a:off x="0" y="0"/>
                                                  <a:ext cx="104775" cy="104775"/>
                                                </a:xfrm>
                                                <a:prstGeom prst="rect">
                                                  <a:avLst/>
                                                </a:prstGeom>
                                              </pic:spPr>
                                            </pic:pic>
                                          </a:graphicData>
                                        </a:graphic>
                                      </wp:inline>
                                    </w:drawing>
                                  </w:r>
                                  <w:r>
                                    <w:rPr>
                                      <w:color w:val="578255"/>
                                    </w:rPr>
                                    <w:t> </w:t>
                                  </w:r>
                                </w:p>
                              </w:tc>
                              <w:tc>
                                <w:tcPr>
                                  <w:tcW w:w="1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independence; </w:t>
                                  </w:r>
                                </w:p>
                              </w:tc>
                            </w:tr>
                          </w:tbl>
                          <w:tbl>
                            <w:tblPr>
                              <w:tblW w:w="9085" w:type="dxa"/>
                              <w:jc w:val="left"/>
                              <w:tblInd w:w="60" w:type="dxa"/>
                              <w:tblLayout w:type="fixed"/>
                              <w:tblCellMar>
                                <w:top w:w="0" w:type="dxa"/>
                                <w:left w:w="0" w:type="dxa"/>
                                <w:bottom w:w="0" w:type="dxa"/>
                                <w:right w:w="0" w:type="dxa"/>
                              </w:tblCellMar>
                            </w:tblPr>
                            <w:tblGrid>
                              <w:gridCol w:w="455"/>
                              <w:gridCol w:w="86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4" descr=""/>
                                                <pic:cNvPicPr>
                                                  <a:picLocks noChangeAspect="1" noChangeArrowheads="1"/>
                                                </pic:cNvPicPr>
                                              </pic:nvPicPr>
                                              <pic:blipFill>
                                                <a:blip r:embed="rId117"/>
                                                <a:stretch>
                                                  <a:fillRect/>
                                                </a:stretch>
                                              </pic:blipFill>
                                              <pic:spPr bwMode="auto">
                                                <a:xfrm>
                                                  <a:off x="0" y="0"/>
                                                  <a:ext cx="104775" cy="104775"/>
                                                </a:xfrm>
                                                <a:prstGeom prst="rect">
                                                  <a:avLst/>
                                                </a:prstGeom>
                                              </pic:spPr>
                                            </pic:pic>
                                          </a:graphicData>
                                        </a:graphic>
                                      </wp:inline>
                                    </w:drawing>
                                  </w:r>
                                  <w:r>
                                    <w:rPr>
                                      <w:color w:val="578255"/>
                                    </w:rPr>
                                    <w:t> </w:t>
                                  </w:r>
                                </w:p>
                              </w:tc>
                              <w:tc>
                                <w:tcPr>
                                  <w:tcW w:w="86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feedback, including the support received when the director last stood for election; and </w:t>
                                  </w:r>
                                </w:p>
                              </w:tc>
                            </w:tr>
                          </w:tbl>
                          <w:tbl>
                            <w:tblPr>
                              <w:tblW w:w="10145" w:type="dxa"/>
                              <w:jc w:val="left"/>
                              <w:tblInd w:w="60" w:type="dxa"/>
                              <w:tblLayout w:type="fixed"/>
                              <w:tblCellMar>
                                <w:top w:w="0" w:type="dxa"/>
                                <w:left w:w="0" w:type="dxa"/>
                                <w:bottom w:w="0" w:type="dxa"/>
                                <w:right w:w="0" w:type="dxa"/>
                              </w:tblCellMar>
                            </w:tblPr>
                            <w:tblGrid>
                              <w:gridCol w:w="416"/>
                              <w:gridCol w:w="9729"/>
                            </w:tblGrid>
                            <w:tr>
                              <w:trPr/>
                              <w:tc>
                                <w:tcPr>
                                  <w:tcW w:w="41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5" descr=""/>
                                                <pic:cNvPicPr>
                                                  <a:picLocks noChangeAspect="1" noChangeArrowheads="1"/>
                                                </pic:cNvPicPr>
                                              </pic:nvPicPr>
                                              <pic:blipFill>
                                                <a:blip r:embed="rId118"/>
                                                <a:stretch>
                                                  <a:fillRect/>
                                                </a:stretch>
                                              </pic:blipFill>
                                              <pic:spPr bwMode="auto">
                                                <a:xfrm>
                                                  <a:off x="0" y="0"/>
                                                  <a:ext cx="104775" cy="104775"/>
                                                </a:xfrm>
                                                <a:prstGeom prst="rect">
                                                  <a:avLst/>
                                                </a:prstGeom>
                                              </pic:spPr>
                                            </pic:pic>
                                          </a:graphicData>
                                        </a:graphic>
                                      </wp:inline>
                                    </w:drawing>
                                  </w:r>
                                  <w:r>
                                    <w:rPr>
                                      <w:color w:val="578255"/>
                                    </w:rPr>
                                    <w:t> </w:t>
                                  </w:r>
                                </w:p>
                              </w:tc>
                              <w:tc>
                                <w:tcPr>
                                  <w:tcW w:w="972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outside board and other affiliations, including overboarding considerations, time commitments, and actual or perceived conflicts of interests.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96.6pt;mso-wrap-distance-left:18pt;mso-wrap-distance-right:0pt;mso-wrap-distance-top:0pt;mso-wrap-distance-bottom:0pt;margin-top:0pt;mso-position-vertical:top;mso-position-vertical-relative:text;margin-left:264pt;mso-position-horizontal:left;mso-position-horizontal-relative:text">
                <v:textbox>
                  <w:txbxContent>
                    <w:tbl>
                      <w:tblPr>
                        <w:tblW w:w="7900" w:type="dxa"/>
                        <w:jc w:val="left"/>
                        <w:tblInd w:w="60" w:type="dxa"/>
                        <w:tblLayout w:type="fixed"/>
                        <w:tblCellMar>
                          <w:top w:w="0" w:type="dxa"/>
                          <w:left w:w="0" w:type="dxa"/>
                          <w:bottom w:w="0" w:type="dxa"/>
                          <w:right w:w="0" w:type="dxa"/>
                        </w:tblCellMar>
                      </w:tblPr>
                      <w:tblGrid>
                        <w:gridCol w:w="455"/>
                        <w:gridCol w:w="744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2" descr=""/>
                                          <pic:cNvPicPr>
                                            <a:picLocks noChangeAspect="1" noChangeArrowheads="1"/>
                                          </pic:cNvPicPr>
                                        </pic:nvPicPr>
                                        <pic:blipFill>
                                          <a:blip r:embed="rId119"/>
                                          <a:stretch>
                                            <a:fillRect/>
                                          </a:stretch>
                                        </pic:blipFill>
                                        <pic:spPr bwMode="auto">
                                          <a:xfrm>
                                            <a:off x="0" y="0"/>
                                            <a:ext cx="104775" cy="104775"/>
                                          </a:xfrm>
                                          <a:prstGeom prst="rect">
                                            <a:avLst/>
                                          </a:prstGeom>
                                        </pic:spPr>
                                      </pic:pic>
                                    </a:graphicData>
                                  </a:graphic>
                                </wp:inline>
                              </w:drawing>
                            </w:r>
                            <w:r>
                              <w:rPr>
                                <w:color w:val="578255"/>
                              </w:rPr>
                              <w:t> </w:t>
                            </w:r>
                          </w:p>
                        </w:tc>
                        <w:tc>
                          <w:tcPr>
                            <w:tcW w:w="74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preparation for, and attendance and participation at, Board and committee meetings; </w:t>
                            </w:r>
                          </w:p>
                        </w:tc>
                      </w:tr>
                    </w:tbl>
                    <w:tbl>
                      <w:tblPr>
                        <w:tblW w:w="1855" w:type="dxa"/>
                        <w:jc w:val="left"/>
                        <w:tblInd w:w="60" w:type="dxa"/>
                        <w:tblLayout w:type="fixed"/>
                        <w:tblCellMar>
                          <w:top w:w="0" w:type="dxa"/>
                          <w:left w:w="0" w:type="dxa"/>
                          <w:bottom w:w="0" w:type="dxa"/>
                          <w:right w:w="0" w:type="dxa"/>
                        </w:tblCellMar>
                      </w:tblPr>
                      <w:tblGrid>
                        <w:gridCol w:w="455"/>
                        <w:gridCol w:w="140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3" descr=""/>
                                          <pic:cNvPicPr>
                                            <a:picLocks noChangeAspect="1" noChangeArrowheads="1"/>
                                          </pic:cNvPicPr>
                                        </pic:nvPicPr>
                                        <pic:blipFill>
                                          <a:blip r:embed="rId120"/>
                                          <a:stretch>
                                            <a:fillRect/>
                                          </a:stretch>
                                        </pic:blipFill>
                                        <pic:spPr bwMode="auto">
                                          <a:xfrm>
                                            <a:off x="0" y="0"/>
                                            <a:ext cx="104775" cy="104775"/>
                                          </a:xfrm>
                                          <a:prstGeom prst="rect">
                                            <a:avLst/>
                                          </a:prstGeom>
                                        </pic:spPr>
                                      </pic:pic>
                                    </a:graphicData>
                                  </a:graphic>
                                </wp:inline>
                              </w:drawing>
                            </w:r>
                            <w:r>
                              <w:rPr>
                                <w:color w:val="578255"/>
                              </w:rPr>
                              <w:t> </w:t>
                            </w:r>
                          </w:p>
                        </w:tc>
                        <w:tc>
                          <w:tcPr>
                            <w:tcW w:w="1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independence; </w:t>
                            </w:r>
                          </w:p>
                        </w:tc>
                      </w:tr>
                    </w:tbl>
                    <w:tbl>
                      <w:tblPr>
                        <w:tblW w:w="9085" w:type="dxa"/>
                        <w:jc w:val="left"/>
                        <w:tblInd w:w="60" w:type="dxa"/>
                        <w:tblLayout w:type="fixed"/>
                        <w:tblCellMar>
                          <w:top w:w="0" w:type="dxa"/>
                          <w:left w:w="0" w:type="dxa"/>
                          <w:bottom w:w="0" w:type="dxa"/>
                          <w:right w:w="0" w:type="dxa"/>
                        </w:tblCellMar>
                      </w:tblPr>
                      <w:tblGrid>
                        <w:gridCol w:w="455"/>
                        <w:gridCol w:w="863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4" descr=""/>
                                          <pic:cNvPicPr>
                                            <a:picLocks noChangeAspect="1" noChangeArrowheads="1"/>
                                          </pic:cNvPicPr>
                                        </pic:nvPicPr>
                                        <pic:blipFill>
                                          <a:blip r:embed="rId121"/>
                                          <a:stretch>
                                            <a:fillRect/>
                                          </a:stretch>
                                        </pic:blipFill>
                                        <pic:spPr bwMode="auto">
                                          <a:xfrm>
                                            <a:off x="0" y="0"/>
                                            <a:ext cx="104775" cy="104775"/>
                                          </a:xfrm>
                                          <a:prstGeom prst="rect">
                                            <a:avLst/>
                                          </a:prstGeom>
                                        </pic:spPr>
                                      </pic:pic>
                                    </a:graphicData>
                                  </a:graphic>
                                </wp:inline>
                              </w:drawing>
                            </w:r>
                            <w:r>
                              <w:rPr>
                                <w:color w:val="578255"/>
                              </w:rPr>
                              <w:t> </w:t>
                            </w:r>
                          </w:p>
                        </w:tc>
                        <w:tc>
                          <w:tcPr>
                            <w:tcW w:w="86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feedback, including the support received when the director last stood for election; and </w:t>
                            </w:r>
                          </w:p>
                        </w:tc>
                      </w:tr>
                    </w:tbl>
                    <w:tbl>
                      <w:tblPr>
                        <w:tblW w:w="10145" w:type="dxa"/>
                        <w:jc w:val="left"/>
                        <w:tblInd w:w="60" w:type="dxa"/>
                        <w:tblLayout w:type="fixed"/>
                        <w:tblCellMar>
                          <w:top w:w="0" w:type="dxa"/>
                          <w:left w:w="0" w:type="dxa"/>
                          <w:bottom w:w="0" w:type="dxa"/>
                          <w:right w:w="0" w:type="dxa"/>
                        </w:tblCellMar>
                      </w:tblPr>
                      <w:tblGrid>
                        <w:gridCol w:w="416"/>
                        <w:gridCol w:w="9729"/>
                      </w:tblGrid>
                      <w:tr>
                        <w:trPr/>
                        <w:tc>
                          <w:tcPr>
                            <w:tcW w:w="41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1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5" descr=""/>
                                          <pic:cNvPicPr>
                                            <a:picLocks noChangeAspect="1" noChangeArrowheads="1"/>
                                          </pic:cNvPicPr>
                                        </pic:nvPicPr>
                                        <pic:blipFill>
                                          <a:blip r:embed="rId122"/>
                                          <a:stretch>
                                            <a:fillRect/>
                                          </a:stretch>
                                        </pic:blipFill>
                                        <pic:spPr bwMode="auto">
                                          <a:xfrm>
                                            <a:off x="0" y="0"/>
                                            <a:ext cx="104775" cy="104775"/>
                                          </a:xfrm>
                                          <a:prstGeom prst="rect">
                                            <a:avLst/>
                                          </a:prstGeom>
                                        </pic:spPr>
                                      </pic:pic>
                                    </a:graphicData>
                                  </a:graphic>
                                </wp:inline>
                              </w:drawing>
                            </w:r>
                            <w:r>
                              <w:rPr>
                                <w:color w:val="578255"/>
                              </w:rPr>
                              <w:t> </w:t>
                            </w:r>
                          </w:p>
                        </w:tc>
                        <w:tc>
                          <w:tcPr>
                            <w:tcW w:w="972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outside board and other affiliations, including overboarding considerations, time commitments, and actual or perceived conflicts of interests. </w:t>
                            </w:r>
                          </w:p>
                        </w:tc>
                      </w:tr>
                    </w:tbl>
                    <w:p>
                      <w:pPr>
                        <w:pStyle w:val="TextBody"/>
                        <w:bidi w:val="0"/>
                        <w:spacing w:before="0" w:after="283"/>
                        <w:ind w:left="60" w:right="0" w:hanging="0"/>
                        <w:jc w:val="left"/>
                        <w:rPr/>
                      </w:pPr>
                      <w:r>
                        <w:rPr/>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6" descr=""/>
                          <pic:cNvPicPr>
                            <a:picLocks noChangeAspect="1" noChangeArrowheads="1"/>
                          </pic:cNvPicPr>
                        </pic:nvPicPr>
                        <pic:blipFill>
                          <a:blip r:embed="rId12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8" w:name="ny20081940x1_def14a_107-corporate_pg7"/>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GOVERNANCE MATTERS </w:t>
      </w:r>
    </w:p>
    <w:p>
      <w:pPr>
        <w:pStyle w:val="TextBody"/>
        <w:bidi w:val="0"/>
        <w:spacing w:before="190" w:after="283"/>
        <w:ind w:left="60" w:right="0" w:hanging="0"/>
        <w:jc w:val="both"/>
        <w:rPr>
          <w:rFonts w:ascii="Arial;Helvetica;sans-serif" w:hAnsi="Arial;Helvetica;sans-serif"/>
          <w:b/>
          <w:color w:val="000000"/>
          <w:sz w:val="28"/>
        </w:rPr>
      </w:pPr>
      <w:bookmarkStart w:id="159" w:name="tCGM14"/>
      <w:bookmarkEnd w:id="159"/>
      <w:r>
        <w:rPr>
          <w:rFonts w:ascii="Arial;Helvetica;sans-serif" w:hAnsi="Arial;Helvetica;sans-serif"/>
          <w:b/>
          <w:color w:val="000000"/>
          <w:sz w:val="28"/>
        </w:rPr>
        <w:t xml:space="preserve">Process for Recommending Candidates for Election to the Board of Directors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124200" cy="8034655"/>
                <wp:effectExtent l="0" t="0" r="0" b="0"/>
                <wp:wrapSquare wrapText="right"/>
                <wp:docPr id="189" name="Frame67"/>
                <a:graphic xmlns:a="http://schemas.openxmlformats.org/drawingml/2006/main">
                  <a:graphicData uri="http://schemas.microsoft.com/office/word/2010/wordprocessingShape">
                    <wps:wsp>
                      <wps:cNvSpPr txBox="1"/>
                      <wps:spPr>
                        <a:xfrm>
                          <a:off x="0" y="0"/>
                          <a:ext cx="3124200" cy="803465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is responsible for, among other things, determining the criteria for membership to the Board, and recommending candidates for election to the Board. The Nominating &amp; Corporate Governance Committee will consider recommendations from shareholders for candidates to serve on the Board. There are no differences in the manner by which the Nominating &amp; Corporate Governance Committee evaluates nominees for director based on whether the nominee is recommended by a shareholder or a member of the Board.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Recommendations for Board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be directed in writing to our Corporate Secretary, c/o Fabrinet USA, Inc., 4900 Patrick Henry Drive, Santa Clara, CA 95054,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 </w:t>
                            </w:r>
                          </w:p>
                        </w:txbxContent>
                      </wps:txbx>
                      <wps:bodyPr anchor="t" lIns="0" tIns="0" rIns="0" bIns="0">
                        <a:noAutofit/>
                      </wps:bodyPr>
                    </wps:wsp>
                  </a:graphicData>
                </a:graphic>
              </wp:anchor>
            </w:drawing>
          </mc:Choice>
          <mc:Fallback>
            <w:pict>
              <v:rect style="position:absolute;rotation:-0;width:246pt;height:63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is responsible for, among other things, determining the criteria for membership to the Board, and recommending candidates for election to the Board. The Nominating &amp; Corporate Governance Committee will consider recommendations from shareholders for candidates to serve on the Board. There are no differences in the manner by which the Nominating &amp; Corporate Governance Committee evaluates nominees for director based on whether the nominee is recommended by a shareholder or a member of the Board. </w:t>
                      </w:r>
                    </w:p>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Recommendations for Board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 recommendations for candidates to the Board must be directed in writing to our Corporate Secretary, c/o Fabrinet USA, Inc., 4900 Patrick Henry Drive, Santa Clara, CA 95054,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 </w:t>
                      </w:r>
                    </w:p>
                  </w:txbxContent>
                </v:textbox>
                <w10:wrap type="square" side="right"/>
              </v:rect>
            </w:pict>
          </mc:Fallback>
        </mc:AlternateContent>
      </w:r>
      <w:r>
        <mc:AlternateContent>
          <mc:Choice Requires="wps">
            <w:drawing>
              <wp:anchor behindDoc="0" distT="0" distB="0" distL="228600" distR="0" simplePos="0" locked="0" layoutInCell="1" allowOverlap="1" relativeHeight="272">
                <wp:simplePos x="0" y="0"/>
                <wp:positionH relativeFrom="column">
                  <wp:align>left</wp:align>
                </wp:positionH>
                <wp:positionV relativeFrom="line">
                  <wp:posOffset>635</wp:posOffset>
                </wp:positionV>
                <wp:extent cx="3124200" cy="8933180"/>
                <wp:effectExtent l="0" t="0" r="0" b="0"/>
                <wp:wrapSquare wrapText="right"/>
                <wp:docPr id="190" name="Frame68"/>
                <a:graphic xmlns:a="http://schemas.openxmlformats.org/drawingml/2006/main">
                  <a:graphicData uri="http://schemas.microsoft.com/office/word/2010/wordprocessingShape">
                    <wps:wsp>
                      <wps:cNvSpPr txBox="1"/>
                      <wps:spPr>
                        <a:xfrm>
                          <a:off x="0" y="0"/>
                          <a:ext cx="3124200" cy="8933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Shareholder recommendations for candidates to the Board must also contain specified information about the shareholder proposing such nomination. For more information, please refer to our memorandum and articles of association, which may be obtained by writing to our Corporate Secretary, c/o Fabrinet USA, Inc., 4900 Patrick Henry Drive, Santa Clara, CA 95054, or by accessing Fabrinet’s filings on the SEC’s website at www.sec.gov.</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Director Qualifications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will evaluate and recommend candidates for membership on the Board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the Board at that time. While the Nominating &amp; Corporate Governance Committee has not established specific minimum qualifications or a formal diversity policy for director candidates, the committee 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 </w:t>
                            </w:r>
                          </w:p>
                          <w:p>
                            <w:pPr>
                              <w:pStyle w:val="TextBody"/>
                              <w:bidi w:val="0"/>
                              <w:spacing w:before="24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Identification and Evaluation of Director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uses a variety of methods for identifying and evaluating director nominees. The committee assesses the appropriate size and composition of the Board, the needs of the Board and its committees and the qualifications of candidates in light of these needs.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Candidates may come to the attention of the Nominating &amp; Corporate Governance Committee through shareholders, management, current members of the Board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 </w:t>
                            </w:r>
                          </w:p>
                        </w:txbxContent>
                      </wps:txbx>
                      <wps:bodyPr anchor="t" lIns="0" tIns="0" rIns="0" bIns="0">
                        <a:noAutofit/>
                      </wps:bodyPr>
                    </wps:wsp>
                  </a:graphicData>
                </a:graphic>
              </wp:anchor>
            </w:drawing>
          </mc:Choice>
          <mc:Fallback>
            <w:pict>
              <v:rect style="position:absolute;rotation:-0;width:246pt;height:703.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Shareholder recommendations for candidates to the Board must also contain specified information about the shareholder proposing such nomination. For more information, please refer to our memorandum and articles of association, which may be obtained by writing to our Corporate Secretary, c/o Fabrinet USA, Inc., 4900 Patrick Henry Drive, Santa Clara, CA 95054, or by accessing Fabrinet’s filings on the SEC’s website at www.sec.gov.</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Director Qualifications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will evaluate and recommend candidates for membership on the Board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the Board at that time. While the Nominating &amp; Corporate Governance Committee has not established specific minimum qualifications or a formal diversity policy for director candidates, the committee 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 </w:t>
                      </w:r>
                    </w:p>
                    <w:p>
                      <w:pPr>
                        <w:pStyle w:val="TextBody"/>
                        <w:bidi w:val="0"/>
                        <w:spacing w:before="24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Identification and Evaluation of Director Nominees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&amp; Corporate Governance Committee uses a variety of methods for identifying and evaluating director nominees. The committee assesses the appropriate size and composition of the Board, the needs of the Board and its committees and the qualifications of candidates in light of these needs.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Candidates may come to the attention of the Nominating &amp; Corporate Governance Committee through shareholders, management, current members of the Board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1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7" descr=""/>
                          <pic:cNvPicPr>
                            <a:picLocks noChangeAspect="1" noChangeArrowheads="1"/>
                          </pic:cNvPicPr>
                        </pic:nvPicPr>
                        <pic:blipFill>
                          <a:blip r:embed="rId12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0" w:name="ny20081940x1_def14a_107-corporate_pg8"/>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61" w:name="tESA"/>
      <w:bookmarkEnd w:id="161"/>
      <w:r>
        <w:rPr>
          <w:rFonts w:ascii="Arial;Helvetica;sans-serif" w:hAnsi="Arial;Helvetica;sans-serif"/>
          <w:b/>
          <w:color w:val="578255"/>
          <w:sz w:val="44"/>
        </w:rPr>
        <w:t xml:space="preserve">ENVIRONMENTAL, SOCIAL AND GOVERNANCE (ESG) PRACTICES AND POLICIES </w:t>
      </w:r>
    </w:p>
    <w:p>
      <w:pPr>
        <w:pStyle w:val="TextBody"/>
        <w:bidi w:val="0"/>
        <w:spacing w:before="380" w:after="283"/>
        <w:ind w:left="0" w:right="0" w:hanging="0"/>
        <w:jc w:val="left"/>
        <w:rPr>
          <w:rFonts w:ascii="Arial;Helvetica;sans-serif" w:hAnsi="Arial;Helvetica;sans-serif"/>
          <w:b/>
          <w:color w:val="000000"/>
          <w:sz w:val="28"/>
        </w:rPr>
      </w:pPr>
      <w:bookmarkStart w:id="162" w:name="tOVER"/>
      <w:bookmarkEnd w:id="162"/>
      <w:r>
        <w:rPr>
          <w:rFonts w:ascii="Arial;Helvetica;sans-serif" w:hAnsi="Arial;Helvetica;sans-serif"/>
          <w:b/>
          <w:color w:val="000000"/>
          <w:sz w:val="28"/>
        </w:rPr>
        <w:t xml:space="preserve">Overview </w:t>
      </w:r>
    </w:p>
    <w:p>
      <w:pPr>
        <w:pStyle w:val="TextBody"/>
        <w:bidi w:val="0"/>
        <w:spacing w:before="430" w:after="283"/>
        <w:ind w:left="0" w:right="0" w:hanging="0"/>
        <w:jc w:val="left"/>
        <w:rPr>
          <w:rFonts w:ascii="Arial;Helvetica;sans-serif" w:hAnsi="Arial;Helvetica;sans-serif"/>
          <w:b/>
          <w:color w:val="000000"/>
          <w:sz w:val="28"/>
        </w:rPr>
      </w:pPr>
      <w:bookmarkStart w:id="163" w:name="tENV"/>
      <w:bookmarkEnd w:id="163"/>
      <w:r>
        <w:rPr>
          <w:rFonts w:ascii="Arial;Helvetica;sans-serif" w:hAnsi="Arial;Helvetica;sans-serif"/>
          <w:b/>
          <w:color w:val="000000"/>
          <w:sz w:val="28"/>
        </w:rPr>
        <w:t xml:space="preserve">Environmental </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3124200" cy="2094230"/>
                <wp:effectExtent l="0" t="0" r="0" b="0"/>
                <wp:wrapSquare wrapText="right"/>
                <wp:docPr id="192" name="Frame69"/>
                <a:graphic xmlns:a="http://schemas.openxmlformats.org/drawingml/2006/main">
                  <a:graphicData uri="http://schemas.microsoft.com/office/word/2010/wordprocessingShape">
                    <wps:wsp>
                      <wps:cNvSpPr txBox="1"/>
                      <wps:spPr>
                        <a:xfrm>
                          <a:off x="0" y="0"/>
                          <a:ext cx="3124200" cy="20942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recognizes that operating responsibly and sustainably are critical to long-term value creation and business resilience. Our approach to environmental, social, and governance (ESG) matters prioritizes the needs of employees, supply chain workers, business partners, customers, local communities, investors, and the planet. We integrate ESG considerations into our business strategy to manage risks, capitalize on opportunities, and meet stakeholder expectations.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including through its committees, oversees our ESG efforts, while senior management and an internal </w:t>
                            </w:r>
                          </w:p>
                        </w:txbxContent>
                      </wps:txbx>
                      <wps:bodyPr anchor="t" lIns="0" tIns="0" rIns="0" bIns="0">
                        <a:noAutofit/>
                      </wps:bodyPr>
                    </wps:wsp>
                  </a:graphicData>
                </a:graphic>
              </wp:anchor>
            </w:drawing>
          </mc:Choice>
          <mc:Fallback>
            <w:pict>
              <v:rect style="position:absolute;rotation:-0;width:246pt;height:16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recognizes that operating responsibly and sustainably are critical to long-term value creation and business resilience. Our approach to environmental, social, and governance (ESG) matters prioritizes the needs of employees, supply chain workers, business partners, customers, local communities, investors, and the planet. We integrate ESG considerations into our business strategy to manage risks, capitalize on opportunities, and meet stakeholder expectations.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including through its committees, oversees our ESG efforts, while senior management and an internal </w:t>
                      </w:r>
                    </w:p>
                  </w:txbxContent>
                </v:textbox>
                <w10:wrap type="square" side="right"/>
              </v:rect>
            </w:pict>
          </mc:Fallback>
        </mc:AlternateContent>
      </w:r>
      <w:r>
        <mc:AlternateContent>
          <mc:Choice Requires="wps">
            <w:drawing>
              <wp:anchor behindDoc="0" distT="0" distB="0" distL="228600" distR="0" simplePos="0" locked="0" layoutInCell="1" allowOverlap="1" relativeHeight="274">
                <wp:simplePos x="0" y="0"/>
                <wp:positionH relativeFrom="column">
                  <wp:align>left</wp:align>
                </wp:positionH>
                <wp:positionV relativeFrom="line">
                  <wp:posOffset>635</wp:posOffset>
                </wp:positionV>
                <wp:extent cx="3124200" cy="1802130"/>
                <wp:effectExtent l="0" t="0" r="0" b="0"/>
                <wp:wrapSquare wrapText="right"/>
                <wp:docPr id="193" name="Frame70"/>
                <a:graphic xmlns:a="http://schemas.openxmlformats.org/drawingml/2006/main">
                  <a:graphicData uri="http://schemas.microsoft.com/office/word/2010/wordprocessingShape">
                    <wps:wsp>
                      <wps:cNvSpPr txBox="1"/>
                      <wps:spPr>
                        <a:xfrm>
                          <a:off x="0" y="0"/>
                          <a:ext cx="3124200" cy="18021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ESG working group, supported by employee-led committees, implement our ESG activities. These efforts reflect an integrated approach to strategy, governance, and corporate citizenship aimed at creating long-term value.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Please refer to our 2025 Corporate Responsibility Report for more details regarding our ESG practices and policies. The contents of the report are referenced for general information only and are not incorporated by reference in this proxy statement. </w:t>
                            </w:r>
                          </w:p>
                        </w:txbxContent>
                      </wps:txbx>
                      <wps:bodyPr anchor="t" lIns="0" tIns="0" rIns="0" bIns="0">
                        <a:noAutofit/>
                      </wps:bodyPr>
                    </wps:wsp>
                  </a:graphicData>
                </a:graphic>
              </wp:anchor>
            </w:drawing>
          </mc:Choice>
          <mc:Fallback>
            <w:pict>
              <v:rect style="position:absolute;rotation:-0;width:246pt;height:141.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ESG working group, supported by employee-led committees, implement our ESG activities. These efforts reflect an integrated approach to strategy, governance, and corporate citizenship aimed at creating long-term value.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Please refer to our 2025 Corporate Responsibility Report for more details regarding our ESG practices and policies. The contents of the report are referenced for general information only and are not incorporated by reference in this proxy statement. </w:t>
                      </w:r>
                    </w:p>
                  </w:txbxContent>
                </v:textbox>
                <w10:wrap type="square" side="right"/>
              </v:rect>
            </w:pict>
          </mc:Fallback>
        </mc:AlternateContent>
      </w:r>
    </w:p>
    <w:p>
      <w:pPr>
        <w:pStyle w:val="TextBody"/>
        <w:bidi w:val="0"/>
        <w:spacing w:before="430" w:after="283"/>
        <w:ind w:left="0" w:right="0" w:hanging="0"/>
        <w:jc w:val="left"/>
        <w:rPr>
          <w:rFonts w:ascii="Arial;Helvetica;sans-serif" w:hAnsi="Arial;Helvetica;sans-serif"/>
          <w:b/>
          <w:color w:val="000000"/>
          <w:sz w:val="28"/>
        </w:rPr>
      </w:pPr>
      <w:bookmarkStart w:id="164" w:name="tSOC"/>
      <w:bookmarkEnd w:id="164"/>
      <w:r>
        <w:rPr>
          <w:rFonts w:ascii="Arial;Helvetica;sans-serif" w:hAnsi="Arial;Helvetica;sans-serif"/>
          <w:b/>
          <w:color w:val="000000"/>
          <w:sz w:val="28"/>
        </w:rPr>
        <w:t xml:space="preserve">Social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124200" cy="3080385"/>
                <wp:effectExtent l="0" t="0" r="0" b="0"/>
                <wp:wrapSquare wrapText="right"/>
                <wp:docPr id="194" name="Frame71"/>
                <a:graphic xmlns:a="http://schemas.openxmlformats.org/drawingml/2006/main">
                  <a:graphicData uri="http://schemas.microsoft.com/office/word/2010/wordprocessingShape">
                    <wps:wsp>
                      <wps:cNvSpPr txBox="1"/>
                      <wps:spPr>
                        <a:xfrm>
                          <a:off x="0" y="0"/>
                          <a:ext cx="3124200" cy="308038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sustainable manufacturing and the continuous improvement of our environmental performance. We operate in a manner that protects the environment and complies with or exceeds all applicable environmental laws, legislation and regulations.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Environment, Occupational Health and Safety (EHS) management system is certified to ISO 14001 for environmental management and ISO 45001 for occupational health and safety, providing a framework to identify, evaluate, and mitigate environmental risks and opportunities.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Sustainability is embedded in our culture through employee training, workshops, awareness campaigns, and annual sustainability events. New employees receive training on our EHS management system and the importance of conserving natural resources. </w:t>
                            </w:r>
                          </w:p>
                        </w:txbxContent>
                      </wps:txbx>
                      <wps:bodyPr anchor="t" lIns="0" tIns="0" rIns="0" bIns="0">
                        <a:noAutofit/>
                      </wps:bodyPr>
                    </wps:wsp>
                  </a:graphicData>
                </a:graphic>
              </wp:anchor>
            </w:drawing>
          </mc:Choice>
          <mc:Fallback>
            <w:pict>
              <v:rect style="position:absolute;rotation:-0;width:246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sustainable manufacturing and the continuous improvement of our environmental performance. We operate in a manner that protects the environment and complies with or exceeds all applicable environmental laws, legislation and regulations.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Environment, Occupational Health and Safety (EHS) management system is certified to ISO 14001 for environmental management and ISO 45001 for occupational health and safety, providing a framework to identify, evaluate, and mitigate environmental risks and opportunities.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Sustainability is embedded in our culture through employee training, workshops, awareness campaigns, and annual sustainability events. New employees receive training on our EHS management system and the importance of conserving natural resources. </w:t>
                      </w:r>
                    </w:p>
                  </w:txbxContent>
                </v:textbox>
                <w10:wrap type="square" side="right"/>
              </v:rect>
            </w:pict>
          </mc:Fallback>
        </mc:AlternateContent>
      </w:r>
      <w:r>
        <mc:AlternateContent>
          <mc:Choice Requires="wps">
            <w:drawing>
              <wp:anchor behindDoc="0" distT="0" distB="0" distL="228600" distR="0" simplePos="0" locked="0" layoutInCell="1" allowOverlap="1" relativeHeight="276">
                <wp:simplePos x="0" y="0"/>
                <wp:positionH relativeFrom="column">
                  <wp:align>left</wp:align>
                </wp:positionH>
                <wp:positionV relativeFrom="line">
                  <wp:posOffset>635</wp:posOffset>
                </wp:positionV>
                <wp:extent cx="3124200" cy="2157095"/>
                <wp:effectExtent l="0" t="0" r="0" b="0"/>
                <wp:wrapSquare wrapText="right"/>
                <wp:docPr id="195" name="Frame72"/>
                <a:graphic xmlns:a="http://schemas.openxmlformats.org/drawingml/2006/main">
                  <a:graphicData uri="http://schemas.microsoft.com/office/word/2010/wordprocessingShape">
                    <wps:wsp>
                      <wps:cNvSpPr txBox="1"/>
                      <wps:spPr>
                        <a:xfrm>
                          <a:off x="0" y="0"/>
                          <a:ext cx="3124200" cy="21570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leverage lean manufacturing methodologies to optimize production efficiency and identify sustainability opportunities. </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environmental programs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Energy &amp; Emissions: Site-level energy intensity targets guide investments in high-efficiency equipment, process automation, and employee conservation campaigns.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Waste: Through our 3R (reduce, reuse, and recycle) Program, comprehensive waste separation facilitates assessment to continuously improve landfill diversion across manufacturing, office, and canteen facilities.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Water: Use of closed-loop cooling, reuse of reverse-osmosis reject streams, and rain-harvesting to reduce freshwater withdrawals and increase recycled water use, reduces our natural resource use.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69.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leverage lean manufacturing methodologies to optimize production efficiency and identify sustainability opportunities. </w:t>
                      </w:r>
                    </w:p>
                    <w:p>
                      <w:pPr>
                        <w:pStyle w:val="TextBody"/>
                        <w:bidi w:val="0"/>
                        <w:spacing w:before="1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environmental programs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Energy &amp; Emissions: Site-level energy intensity targets guide investments in high-efficiency equipment, process automation, and employee conservation campaigns.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Waste: Through our 3R (reduce, reuse, and recycle) Program, comprehensive waste separation facilitates assessment to continuously improve landfill diversion across manufacturing, office, and canteen facilities.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Water: Use of closed-loop cooling, reuse of reverse-osmosis reject streams, and rain-harvesting to reduce freshwater withdrawals and increase recycled water use, reduces our natural resource use. </w:t>
                            </w:r>
                          </w:p>
                        </w:tc>
                      </w:tr>
                    </w:tbl>
                    <w:p>
                      <w:pPr>
                        <w:pStyle w:val="TextBody"/>
                        <w:bidi w:val="0"/>
                        <w:spacing w:before="0" w:after="283"/>
                        <w:jc w:val="left"/>
                        <w:rPr/>
                      </w:pPr>
                      <w:r>
                        <w:rPr/>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3124200" cy="2309495"/>
                <wp:effectExtent l="0" t="0" r="0" b="0"/>
                <wp:wrapSquare wrapText="right"/>
                <wp:docPr id="196" name="Frame73"/>
                <a:graphic xmlns:a="http://schemas.openxmlformats.org/drawingml/2006/main">
                  <a:graphicData uri="http://schemas.microsoft.com/office/word/2010/wordprocessingShape">
                    <wps:wsp>
                      <wps:cNvSpPr txBox="1"/>
                      <wps:spPr>
                        <a:xfrm>
                          <a:off x="0" y="0"/>
                          <a:ext cx="3124200" cy="23094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social responsibility centers on fostering a supportive, inclusive workplace that prioritizes employee well-being, safety, and development. We also uphold strong labor rights throughout our supply chain and actively engage in community initiatives that reinforce our role as a responsible corporate citizen. </w:t>
                            </w:r>
                          </w:p>
                          <w:p>
                            <w:pPr>
                              <w:pStyle w:val="TextBody"/>
                              <w:bidi w:val="0"/>
                              <w:spacing w:before="24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Human Capital Management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fostering an inclusive and supportive workplace that emphasizes employee growth, </w:t>
                            </w:r>
                          </w:p>
                        </w:txbxContent>
                      </wps:txbx>
                      <wps:bodyPr anchor="t" lIns="0" tIns="0" rIns="0" bIns="0">
                        <a:noAutofit/>
                      </wps:bodyPr>
                    </wps:wsp>
                  </a:graphicData>
                </a:graphic>
              </wp:anchor>
            </w:drawing>
          </mc:Choice>
          <mc:Fallback>
            <w:pict>
              <v:rect style="position:absolute;rotation:-0;width:246pt;height:181.85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social responsibility centers on fostering a supportive, inclusive workplace that prioritizes employee well-being, safety, and development. We also uphold strong labor rights throughout our supply chain and actively engage in community initiatives that reinforce our role as a responsible corporate citizen. </w:t>
                      </w:r>
                    </w:p>
                    <w:p>
                      <w:pPr>
                        <w:pStyle w:val="TextBody"/>
                        <w:bidi w:val="0"/>
                        <w:spacing w:before="24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Human Capital Management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fostering an inclusive and supportive workplace that emphasizes employee growth, </w:t>
                      </w:r>
                    </w:p>
                  </w:txbxContent>
                </v:textbox>
                <w10:wrap type="square" side="right"/>
              </v:rect>
            </w:pict>
          </mc:Fallback>
        </mc:AlternateContent>
      </w:r>
      <w:r>
        <mc:AlternateContent>
          <mc:Choice Requires="wps">
            <w:drawing>
              <wp:anchor behindDoc="0" distT="0" distB="0" distL="228600" distR="0" simplePos="0" locked="0" layoutInCell="1" allowOverlap="1" relativeHeight="278">
                <wp:simplePos x="0" y="0"/>
                <wp:positionH relativeFrom="column">
                  <wp:align>left</wp:align>
                </wp:positionH>
                <wp:positionV relativeFrom="line">
                  <wp:posOffset>635</wp:posOffset>
                </wp:positionV>
                <wp:extent cx="3124200" cy="1609090"/>
                <wp:effectExtent l="0" t="0" r="0" b="0"/>
                <wp:wrapSquare wrapText="right"/>
                <wp:docPr id="197" name="Frame74"/>
                <a:graphic xmlns:a="http://schemas.openxmlformats.org/drawingml/2006/main">
                  <a:graphicData uri="http://schemas.microsoft.com/office/word/2010/wordprocessingShape">
                    <wps:wsp>
                      <wps:cNvSpPr txBox="1"/>
                      <wps:spPr>
                        <a:xfrm>
                          <a:off x="0" y="0"/>
                          <a:ext cx="3124200" cy="160909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engagement, and well-being and is centered on our core values. We fulfill our commitment through a range of programs, encompassing the following,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Competitive compensation with profit-sharing, attendance bonuses, and a provident fund retirement program, along with comprehensive benefits and leave options. </w:t>
                                  </w:r>
                                </w:p>
                              </w:tc>
                            </w:tr>
                          </w:tbl>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578255"/>
                                    </w:rPr>
                                  </w:pPr>
                                  <w:r>
                                    <w:rPr>
                                      <w:color w:val="578255"/>
                                    </w:rPr>
                                    <w:t>•</w:t>
                                  </w:r>
                                </w:p>
                              </w:tc>
                              <w:tc>
                                <w:tcPr>
                                  <w:tcW w:w="9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development through Fabrinet Academy, an in-house education program offering training courses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26.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engagement, and well-being and is centered on our core values. We fulfill our commitment through a range of programs, encompassing the following,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Competitive compensation with profit-sharing, attendance bonuses, and a provident fund retirement program, along with comprehensive benefits and leave options. </w:t>
                            </w:r>
                          </w:p>
                        </w:tc>
                      </w:tr>
                    </w:tbl>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578255"/>
                              </w:rPr>
                            </w:pPr>
                            <w:r>
                              <w:rPr>
                                <w:color w:val="578255"/>
                              </w:rPr>
                              <w:t>•</w:t>
                            </w:r>
                          </w:p>
                        </w:tc>
                        <w:tc>
                          <w:tcPr>
                            <w:tcW w:w="9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development through Fabrinet Academy, an in-house education program offering training courses </w:t>
                            </w:r>
                          </w:p>
                        </w:tc>
                      </w:tr>
                    </w:tbl>
                    <w:p>
                      <w:pPr>
                        <w:pStyle w:val="TextBody"/>
                        <w:bidi w:val="0"/>
                        <w:spacing w:before="0" w:after="283"/>
                        <w:jc w:val="left"/>
                        <w:rPr/>
                      </w:pPr>
                      <w:r>
                        <w:rPr/>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19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8" descr=""/>
                          <pic:cNvPicPr>
                            <a:picLocks noChangeAspect="1" noChangeArrowheads="1"/>
                          </pic:cNvPicPr>
                        </pic:nvPicPr>
                        <pic:blipFill>
                          <a:blip r:embed="rId12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5" w:name="ny20081940x1_def14a_107-corporate_pg9"/>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ENVIRONMENTAL, SOCIAL AND GOVERNANCE (ESG) PRACTICES AND POLICIES </w:t>
      </w:r>
    </w:p>
    <w:p>
      <w:pPr>
        <w:pStyle w:val="TextBody"/>
        <w:bidi w:val="0"/>
        <w:spacing w:before="370" w:after="283"/>
        <w:ind w:left="60" w:right="0" w:hanging="0"/>
        <w:jc w:val="left"/>
        <w:rPr>
          <w:rFonts w:ascii="Arial;Helvetica;sans-serif" w:hAnsi="Arial;Helvetica;sans-serif"/>
          <w:b/>
          <w:color w:val="000000"/>
          <w:sz w:val="28"/>
        </w:rPr>
      </w:pPr>
      <w:bookmarkStart w:id="166" w:name="tGOV"/>
      <w:bookmarkEnd w:id="166"/>
      <w:r>
        <w:rPr>
          <w:rFonts w:ascii="Arial;Helvetica;sans-serif" w:hAnsi="Arial;Helvetica;sans-serif"/>
          <w:b/>
          <w:color w:val="000000"/>
          <w:sz w:val="28"/>
        </w:rPr>
        <w:t xml:space="preserve">Governance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24200" cy="3331845"/>
                <wp:effectExtent l="0" t="0" r="0" b="0"/>
                <wp:wrapSquare wrapText="right"/>
                <wp:docPr id="199" name="Frame75"/>
                <a:graphic xmlns:a="http://schemas.openxmlformats.org/drawingml/2006/main">
                  <a:graphicData uri="http://schemas.microsoft.com/office/word/2010/wordprocessingShape">
                    <wps:wsp>
                      <wps:cNvSpPr txBox="1"/>
                      <wps:spPr>
                        <a:xfrm>
                          <a:off x="0" y="0"/>
                          <a:ext cx="3124200" cy="3331845"/>
                        </a:xfrm>
                        <a:prstGeom prst="rect"/>
                        <a:solidFill>
                          <a:srgbClr val="FFFFFF"/>
                        </a:solidFill>
                      </wps:spPr>
                      <wps:txb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 managerial, professional, and technical skills; and annual performance evaluations with self-assessments, manager feedback, and the creation of personalized development plans.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engagement enhanced through our Happy Workplace Program, quarterly all-hands meetings, milestone tenure awards, and numerous extracurricular activities.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commitment to an inclusive workplace that respects and values each employee, embracing and encouraging differences that make our employees unique, reinforced through a zero-tolerance approach to harassment, violence, or discrimination of any kind. </w:t>
                                  </w:r>
                                </w:p>
                              </w:tc>
                            </w:tr>
                          </w:tbl>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Employee Health and Safety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EHS Management System, our risk management programs include daily safety walks, weekly patrols, annual risk assessments, and both internal and external audits. Incidents prompt thorough investigations and preventive actions. Training covers hazard identification, safe work practices, emergency response, and regulatory compliance, and other topics that keep our employees safe and healthy. </w:t>
                            </w:r>
                          </w:p>
                        </w:txbxContent>
                      </wps:txbx>
                      <wps:bodyPr anchor="t" lIns="0" tIns="0" rIns="0" bIns="0">
                        <a:noAutofit/>
                      </wps:bodyPr>
                    </wps:wsp>
                  </a:graphicData>
                </a:graphic>
              </wp:anchor>
            </w:drawing>
          </mc:Choice>
          <mc:Fallback>
            <w:pict>
              <v:rect style="position:absolute;rotation:-0;width:246pt;height:26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 managerial, professional, and technical skills; and annual performance evaluations with self-assessments, manager feedback, and the creation of personalized development plans.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Employee engagement enhanced through our Happy Workplace Program, quarterly all-hands meetings, milestone tenure awards, and numerous extracurricular activities.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commitment to an inclusive workplace that respects and values each employee, embracing and encouraging differences that make our employees unique, reinforced through a zero-tolerance approach to harassment, violence, or discrimination of any kind. </w:t>
                            </w:r>
                          </w:p>
                        </w:tc>
                      </w:tr>
                    </w:tbl>
                    <w:p>
                      <w:pPr>
                        <w:pStyle w:val="TextBody"/>
                        <w:bidi w:val="0"/>
                        <w:spacing w:before="24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Employee Health and Safety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our EHS Management System, our risk management programs include daily safety walks, weekly patrols, annual risk assessments, and both internal and external audits. Incidents prompt thorough investigations and preventive actions. Training covers hazard identification, safe work practices, emergency response, and regulatory compliance, and other topics that keep our employees safe and healthy. </w:t>
                      </w:r>
                    </w:p>
                  </w:txbxContent>
                </v:textbox>
                <w10:wrap type="square" side="right"/>
              </v:rect>
            </w:pict>
          </mc:Fallback>
        </mc:AlternateContent>
      </w:r>
      <w:r>
        <mc:AlternateContent>
          <mc:Choice Requires="wps">
            <w:drawing>
              <wp:anchor behindDoc="0" distT="0" distB="0" distL="228600" distR="0" simplePos="0" locked="0" layoutInCell="1" allowOverlap="1" relativeHeight="280">
                <wp:simplePos x="0" y="0"/>
                <wp:positionH relativeFrom="column">
                  <wp:align>left</wp:align>
                </wp:positionH>
                <wp:positionV relativeFrom="line">
                  <wp:posOffset>635</wp:posOffset>
                </wp:positionV>
                <wp:extent cx="3124200" cy="4178935"/>
                <wp:effectExtent l="0" t="0" r="0" b="0"/>
                <wp:wrapSquare wrapText="right"/>
                <wp:docPr id="200" name="Frame76"/>
                <a:graphic xmlns:a="http://schemas.openxmlformats.org/drawingml/2006/main">
                  <a:graphicData uri="http://schemas.microsoft.com/office/word/2010/wordprocessingShape">
                    <wps:wsp>
                      <wps:cNvSpPr txBox="1"/>
                      <wps:spPr>
                        <a:xfrm>
                          <a:off x="0" y="0"/>
                          <a:ext cx="3124200" cy="4178935"/>
                        </a:xfrm>
                        <a:prstGeom prst="rect"/>
                        <a:solidFill>
                          <a:srgbClr val="FFFFFF"/>
                        </a:solidFill>
                      </wps:spPr>
                      <wps:txb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Supply Chain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supply chain management ensures labor rights protection and responsible sourcing. As a member of the Responsible Business Alliance (RBA), we require all suppliers to adhere to our Supplier Code of Conduct, which is aligned with the RBA Code of Conduct, covering labor practices, health and safety, environmental responsibility, ethics, and management systems. Our facilities undergo periodic RBA Validated Assessment Program audits; in 2024, our Chonburi and Pinehurst sites achieved Platinum status, the highest rating.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Community Engagement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also support local communities through financial donations, in-kind contributions, and employee volunteer programs. Local CSR committees at each of our Thailand sites tailor initiatives according to community needs focusing on youth development, education, healthcare, cultural events, and economic inclusion, sustaining long-term partnerships and promoting community well-being. </w:t>
                            </w:r>
                          </w:p>
                        </w:txbxContent>
                      </wps:txbx>
                      <wps:bodyPr anchor="t" lIns="0" tIns="0" rIns="0" bIns="0">
                        <a:noAutofit/>
                      </wps:bodyPr>
                    </wps:wsp>
                  </a:graphicData>
                </a:graphic>
              </wp:anchor>
            </w:drawing>
          </mc:Choice>
          <mc:Fallback>
            <w:pict>
              <v:rect style="position:absolute;rotation:-0;width:246pt;height:329.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Supply Chain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supply chain management ensures labor rights protection and responsible sourcing. As a member of the Responsible Business Alliance (RBA), we require all suppliers to adhere to our Supplier Code of Conduct, which is aligned with the RBA Code of Conduct, covering labor practices, health and safety, environmental responsibility, ethics, and management systems. Our facilities undergo periodic RBA Validated Assessment Program audits; in 2024, our Chonburi and Pinehurst sites achieved Platinum status, the highest rating.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Community Engagement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also support local communities through financial donations, in-kind contributions, and employee volunteer programs. Local CSR committees at each of our Thailand sites tailor initiatives according to community needs focusing on youth development, education, healthcare, cultural events, and economic inclusion, sustaining long-term partnerships and promoting community well-being.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24200" cy="5151120"/>
                <wp:effectExtent l="0" t="0" r="0" b="0"/>
                <wp:wrapSquare wrapText="right"/>
                <wp:docPr id="201" name="Frame77"/>
                <a:graphic xmlns:a="http://schemas.openxmlformats.org/drawingml/2006/main">
                  <a:graphicData uri="http://schemas.microsoft.com/office/word/2010/wordprocessingShape">
                    <wps:wsp>
                      <wps:cNvSpPr txBox="1"/>
                      <wps:spPr>
                        <a:xfrm>
                          <a:off x="0" y="0"/>
                          <a:ext cx="3124200" cy="51511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governance framework promotes ethical conduct, effective risk oversight, and accountability to shareholders and other stakeholders.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Business Ethics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uphold integrity through a comprehensive Code of Conduct that guides ethical behavior for all directors, officers, and employees. Mandatory training is required for managers, finance, procurement, import-export staff, and individuals interacting with customers, suppliers, or government representatives.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 confidential whistleblower hotline, operated independently, allows anonymous reporting of concerns with strict anti-retaliation policies. Investigations are overseen by senior legal and audit leaders, with the Board regularly updated on outcomes.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Enterprise Risk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its committees oversee risk management, addressing enterprise, financial, operational, cybersecurity, reputational, social responsibility, and environmental risks. Management manages daily risk identification, evaluation, and mitigation, reporting periodically to the Board. </w:t>
                            </w:r>
                          </w:p>
                        </w:txbxContent>
                      </wps:txbx>
                      <wps:bodyPr anchor="t" lIns="0" tIns="0" rIns="0" bIns="0">
                        <a:noAutofit/>
                      </wps:bodyPr>
                    </wps:wsp>
                  </a:graphicData>
                </a:graphic>
              </wp:anchor>
            </w:drawing>
          </mc:Choice>
          <mc:Fallback>
            <w:pict>
              <v:rect style="position:absolute;rotation:-0;width:246pt;height:40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governance framework promotes ethical conduct, effective risk oversight, and accountability to shareholders and other stakeholders.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Business Ethics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uphold integrity through a comprehensive Code of Conduct that guides ethical behavior for all directors, officers, and employees. Mandatory training is required for managers, finance, procurement, import-export staff, and individuals interacting with customers, suppliers, or government representatives.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 confidential whistleblower hotline, operated independently, allows anonymous reporting of concerns with strict anti-retaliation policies. Investigations are overseen by senior legal and audit leaders, with the Board regularly updated on outcomes.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Enterprise Risk Management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its committees oversee risk management, addressing enterprise, financial, operational, cybersecurity, reputational, social responsibility, and environmental risks. Management manages daily risk identification, evaluation, and mitigation, reporting periodically to the Board. </w:t>
                      </w:r>
                    </w:p>
                  </w:txbxContent>
                </v:textbox>
                <w10:wrap type="square" side="right"/>
              </v:rect>
            </w:pict>
          </mc:Fallback>
        </mc:AlternateContent>
      </w:r>
      <w:r>
        <mc:AlternateContent>
          <mc:Choice Requires="wps">
            <w:drawing>
              <wp:anchor behindDoc="0" distT="0" distB="0" distL="228600" distR="0" simplePos="0" locked="0" layoutInCell="1" allowOverlap="1" relativeHeight="282">
                <wp:simplePos x="0" y="0"/>
                <wp:positionH relativeFrom="column">
                  <wp:align>left</wp:align>
                </wp:positionH>
                <wp:positionV relativeFrom="line">
                  <wp:posOffset>635</wp:posOffset>
                </wp:positionV>
                <wp:extent cx="3124200" cy="4462145"/>
                <wp:effectExtent l="0" t="0" r="0" b="0"/>
                <wp:wrapSquare wrapText="right"/>
                <wp:docPr id="202" name="Frame78"/>
                <a:graphic xmlns:a="http://schemas.openxmlformats.org/drawingml/2006/main">
                  <a:graphicData uri="http://schemas.microsoft.com/office/word/2010/wordprocessingShape">
                    <wps:wsp>
                      <wps:cNvSpPr txBox="1"/>
                      <wps:spPr>
                        <a:xfrm>
                          <a:off x="0" y="0"/>
                          <a:ext cx="3124200" cy="446214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Thailand operates under an ISO 22301-certified business continuity management system to reduce disruption impacts and support rapid recovery from incidents.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Data Privacy and Information Security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prioritize data privacy and information security to maintain stakeholder trust and safeguard our business. In fiscal 2024, we earned ISO 27001 certification for our infrastructure, software development, and data centers. In fiscal 2026, we received a Trusted Information Security Assessment Exchange (TISAX) assessment, a standardized information security evaluation designed specifically for the automotive industry, for our Chonburi site. The TISAX assessment is valid until September 2028. Our information security program aligns with the NIST Cybersecurity Framework, employing multi-factor authentication, advanced firewalls, Security Information and Event Management, and regular vulnerability assessments. The Audit Committee oversees these efforts, with direct reporting from the Vice President of IT Security to the CEO and quarterly briefings. All employees receive mandatory security training at onboarding, with annual refreshers and phishing drills to maintain cybersecurity awareness. </w:t>
                            </w:r>
                          </w:p>
                        </w:txbxContent>
                      </wps:txbx>
                      <wps:bodyPr anchor="t" lIns="0" tIns="0" rIns="0" bIns="0">
                        <a:noAutofit/>
                      </wps:bodyPr>
                    </wps:wsp>
                  </a:graphicData>
                </a:graphic>
              </wp:anchor>
            </w:drawing>
          </mc:Choice>
          <mc:Fallback>
            <w:pict>
              <v:rect style="position:absolute;rotation:-0;width:246pt;height:351.3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Fabrinet Thailand operates under an ISO 22301-certified business continuity management system to reduce disruption impacts and support rapid recovery from incidents. </w:t>
                      </w:r>
                    </w:p>
                    <w:p>
                      <w:pPr>
                        <w:pStyle w:val="TextBody"/>
                        <w:bidi w:val="0"/>
                        <w:spacing w:before="41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Data Privacy and Information Security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prioritize data privacy and information security to maintain stakeholder trust and safeguard our business. In fiscal 2024, we earned ISO 27001 certification for our infrastructure, software development, and data centers. In fiscal 2026, we received a Trusted Information Security Assessment Exchange (TISAX) assessment, a standardized information security evaluation designed specifically for the automotive industry, for our Chonburi site. The TISAX assessment is valid until September 2028. Our information security program aligns with the NIST Cybersecurity Framework, employing multi-factor authentication, advanced firewalls, Security Information and Event Management, and regular vulnerability assessments. The Audit Committee oversees these efforts, with direct reporting from the Vice President of IT Security to the CEO and quarterly briefings. All employees receive mandatory security training at onboarding, with annual refreshers and phishing drills to maintain cybersecurity awareness.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9" descr=""/>
                          <pic:cNvPicPr>
                            <a:picLocks noChangeAspect="1" noChangeArrowheads="1"/>
                          </pic:cNvPicPr>
                        </pic:nvPicPr>
                        <pic:blipFill>
                          <a:blip r:embed="rId12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7" w:name="ny20081940x1_def14a_107-corporate_pg10"/>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ENVIRONMENTAL, SOCIAL AND GOVERNANCE (ESG) PRACTICES AND POLICIES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3124200" cy="1391285"/>
                <wp:effectExtent l="0" t="0" r="0" b="0"/>
                <wp:wrapSquare wrapText="right"/>
                <wp:docPr id="204" name="Frame79"/>
                <a:graphic xmlns:a="http://schemas.openxmlformats.org/drawingml/2006/main">
                  <a:graphicData uri="http://schemas.microsoft.com/office/word/2010/wordprocessingShape">
                    <wps:wsp>
                      <wps:cNvSpPr txBox="1"/>
                      <wps:spPr>
                        <a:xfrm>
                          <a:off x="0" y="0"/>
                          <a:ext cx="3124200" cy="1391285"/>
                        </a:xfrm>
                        <a:prstGeom prst="rect"/>
                        <a:solidFill>
                          <a:srgbClr val="FFFFFF"/>
                        </a:solidFill>
                      </wps:spPr>
                      <wps:txb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Initiatives </w:t>
                            </w:r>
                          </w:p>
                          <w:tbl>
                            <w:tblPr>
                              <w:tblW w:w="7030" w:type="dxa"/>
                              <w:jc w:val="left"/>
                              <w:tblInd w:w="6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578255"/>
                                    </w:rPr>
                                  </w:pPr>
                                  <w:r>
                                    <w:rPr>
                                      <w:color w:val="578255"/>
                                    </w:rPr>
                                    <w:t>•</w:t>
                                  </w:r>
                                </w:p>
                              </w:tc>
                              <w:tc>
                                <w:tcPr>
                                  <w:tcW w:w="68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consult with experts on the best compensation and governance practices. </w:t>
                                  </w:r>
                                </w:p>
                              </w:tc>
                            </w:tr>
                          </w:tbl>
                          <w:tbl>
                            <w:tblPr>
                              <w:tblW w:w="6805" w:type="dxa"/>
                              <w:jc w:val="left"/>
                              <w:tblInd w:w="6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578255"/>
                                    </w:rPr>
                                  </w:pPr>
                                  <w:r>
                                    <w:rPr>
                                      <w:color w:val="578255"/>
                                    </w:rPr>
                                    <w:t>•</w:t>
                                  </w:r>
                                </w:p>
                              </w:tc>
                              <w:tc>
                                <w:tcPr>
                                  <w:tcW w:w="6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regularly attend and participate in investor roadshows and conferences. </w:t>
                                  </w:r>
                                </w:p>
                              </w:tc>
                            </w:tr>
                          </w:tbl>
                          <w:tbl>
                            <w:tblPr>
                              <w:tblW w:w="9505" w:type="dxa"/>
                              <w:jc w:val="left"/>
                              <w:tblInd w:w="6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0"/>
                                    <w:jc w:val="left"/>
                                    <w:rPr>
                                      <w:color w:val="578255"/>
                                    </w:rPr>
                                  </w:pPr>
                                  <w:r>
                                    <w:rPr>
                                      <w:color w:val="578255"/>
                                    </w:rPr>
                                    <w:t>•</w:t>
                                  </w:r>
                                </w:p>
                              </w:tc>
                              <w:tc>
                                <w:tcPr>
                                  <w:tcW w:w="93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reach out annually to our 25 largest shareholders, in advance of our annual shareholders’ meeting, and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0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Initiatives </w:t>
                      </w:r>
                    </w:p>
                    <w:tbl>
                      <w:tblPr>
                        <w:tblW w:w="7030" w:type="dxa"/>
                        <w:jc w:val="left"/>
                        <w:tblInd w:w="6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578255"/>
                              </w:rPr>
                            </w:pPr>
                            <w:r>
                              <w:rPr>
                                <w:color w:val="578255"/>
                              </w:rPr>
                              <w:t>•</w:t>
                            </w:r>
                          </w:p>
                        </w:tc>
                        <w:tc>
                          <w:tcPr>
                            <w:tcW w:w="68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consult with experts on the best compensation and governance practices. </w:t>
                            </w:r>
                          </w:p>
                        </w:tc>
                      </w:tr>
                    </w:tbl>
                    <w:tbl>
                      <w:tblPr>
                        <w:tblW w:w="6805" w:type="dxa"/>
                        <w:jc w:val="left"/>
                        <w:tblInd w:w="6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578255"/>
                              </w:rPr>
                            </w:pPr>
                            <w:r>
                              <w:rPr>
                                <w:color w:val="578255"/>
                              </w:rPr>
                              <w:t>•</w:t>
                            </w:r>
                          </w:p>
                        </w:tc>
                        <w:tc>
                          <w:tcPr>
                            <w:tcW w:w="66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regularly attend and participate in investor roadshows and conferences. </w:t>
                            </w:r>
                          </w:p>
                        </w:tc>
                      </w:tr>
                    </w:tbl>
                    <w:tbl>
                      <w:tblPr>
                        <w:tblW w:w="9505" w:type="dxa"/>
                        <w:jc w:val="left"/>
                        <w:tblInd w:w="6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0"/>
                              <w:jc w:val="left"/>
                              <w:rPr>
                                <w:color w:val="578255"/>
                              </w:rPr>
                            </w:pPr>
                            <w:r>
                              <w:rPr>
                                <w:color w:val="578255"/>
                              </w:rPr>
                              <w:t>•</w:t>
                            </w:r>
                          </w:p>
                        </w:tc>
                        <w:tc>
                          <w:tcPr>
                            <w:tcW w:w="93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reach out annually to our 25 largest shareholders, in advance of our annual shareholders’ meeting, and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84">
                <wp:simplePos x="0" y="0"/>
                <wp:positionH relativeFrom="column">
                  <wp:align>left</wp:align>
                </wp:positionH>
                <wp:positionV relativeFrom="line">
                  <wp:posOffset>635</wp:posOffset>
                </wp:positionV>
                <wp:extent cx="3124200" cy="995680"/>
                <wp:effectExtent l="0" t="0" r="0" b="0"/>
                <wp:wrapSquare wrapText="right"/>
                <wp:docPr id="205" name="Frame80"/>
                <a:graphic xmlns:a="http://schemas.openxmlformats.org/drawingml/2006/main">
                  <a:graphicData uri="http://schemas.microsoft.com/office/word/2010/wordprocessingShape">
                    <wps:wsp>
                      <wps:cNvSpPr txBox="1"/>
                      <wps:spPr>
                        <a:xfrm>
                          <a:off x="0" y="0"/>
                          <a:ext cx="3124200" cy="995680"/>
                        </a:xfrm>
                        <a:prstGeom prst="rect"/>
                        <a:solidFill>
                          <a:srgbClr val="FFFFFF"/>
                        </a:solidFill>
                      </wps:spPr>
                      <wps:txb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invite them to provide feedback on our executive compensation and corporate governance practices by participating in conference calls with Chairs of the Compensation, Audit, and Nominating &amp; Corporate </w:t>
                            </w:r>
                          </w:p>
                          <w:p>
                            <w:pPr>
                              <w:pStyle w:val="TextBody"/>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 xml:space="preserve">Governance Committees. </w:t>
                            </w:r>
                          </w:p>
                        </w:txbxContent>
                      </wps:txbx>
                      <wps:bodyPr anchor="t" lIns="0" tIns="0" rIns="0" bIns="0">
                        <a:noAutofit/>
                      </wps:bodyPr>
                    </wps:wsp>
                  </a:graphicData>
                </a:graphic>
              </wp:anchor>
            </w:drawing>
          </mc:Choice>
          <mc:Fallback>
            <w:pict>
              <v:rect style="position:absolute;rotation:-0;width:246pt;height:78.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260" w:right="0" w:hanging="0"/>
                        <w:jc w:val="both"/>
                        <w:rPr>
                          <w:rFonts w:ascii="Arial;Helvetica;sans-serif" w:hAnsi="Arial;Helvetica;sans-serif"/>
                          <w:color w:val="000000"/>
                          <w:sz w:val="20"/>
                        </w:rPr>
                      </w:pPr>
                      <w:r>
                        <w:rPr>
                          <w:rFonts w:ascii="Arial;Helvetica;sans-serif" w:hAnsi="Arial;Helvetica;sans-serif"/>
                          <w:color w:val="000000"/>
                          <w:sz w:val="20"/>
                        </w:rPr>
                        <w:t xml:space="preserve">invite them to provide feedback on our executive compensation and corporate governance practices by participating in conference calls with Chairs of the Compensation, Audit, and Nominating &amp; Corporate </w:t>
                      </w:r>
                    </w:p>
                    <w:p>
                      <w:pPr>
                        <w:pStyle w:val="TextBody"/>
                        <w:bidi w:val="0"/>
                        <w:spacing w:before="0" w:after="283"/>
                        <w:ind w:left="260" w:right="0" w:hanging="0"/>
                        <w:jc w:val="left"/>
                        <w:rPr>
                          <w:rFonts w:ascii="Arial;Helvetica;sans-serif" w:hAnsi="Arial;Helvetica;sans-serif"/>
                          <w:color w:val="000000"/>
                          <w:sz w:val="20"/>
                        </w:rPr>
                      </w:pPr>
                      <w:r>
                        <w:rPr>
                          <w:rFonts w:ascii="Arial;Helvetica;sans-serif" w:hAnsi="Arial;Helvetica;sans-serif"/>
                          <w:color w:val="000000"/>
                          <w:sz w:val="20"/>
                        </w:rPr>
                        <w:t xml:space="preserve">Governance Committees.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0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0" descr=""/>
                          <pic:cNvPicPr>
                            <a:picLocks noChangeAspect="1" noChangeArrowheads="1"/>
                          </pic:cNvPicPr>
                        </pic:nvPicPr>
                        <pic:blipFill>
                          <a:blip r:embed="rId12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8" w:name="ny20081940x1_def14a_108-prop2_pg1"/>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69" w:name="tPROP2"/>
      <w:bookmarkEnd w:id="169"/>
      <w:r>
        <w:rPr>
          <w:rFonts w:ascii="Arial;Helvetica;sans-serif" w:hAnsi="Arial;Helvetica;sans-serif"/>
          <w:b/>
          <w:color w:val="578255"/>
          <w:sz w:val="44"/>
        </w:rPr>
        <w:t xml:space="preserve">PROPOSAL TWO: RATIFICATION OF APPOINTMENT OF INDEPENDENT REGISTERED PUBLIC ACCOUNTING FIRM </w:t>
      </w:r>
    </w:p>
    <w:p>
      <w:pPr>
        <w:pStyle w:val="TextBody"/>
        <w:bidi w:val="0"/>
        <w:spacing w:before="400" w:after="283"/>
        <w:ind w:left="0" w:right="0" w:hanging="0"/>
        <w:jc w:val="left"/>
        <w:rPr>
          <w:rFonts w:ascii="Arial;Helvetica;sans-serif" w:hAnsi="Arial;Helvetica;sans-serif"/>
          <w:b/>
          <w:color w:val="000000"/>
          <w:sz w:val="28"/>
        </w:rPr>
      </w:pPr>
      <w:bookmarkStart w:id="170" w:name="tPROP21"/>
      <w:bookmarkEnd w:id="170"/>
      <w:r>
        <w:rPr>
          <w:rFonts w:ascii="Arial;Helvetica;sans-serif" w:hAnsi="Arial;Helvetica;sans-serif"/>
          <w:b/>
          <w:color w:val="000000"/>
          <w:sz w:val="28"/>
        </w:rPr>
        <w:t xml:space="preserve">General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Audit Committee has appointed PricewaterhouseCoopers ABAS Ltd. and its network firm (“</w:t>
      </w:r>
      <w:r>
        <w:rPr>
          <w:rFonts w:ascii="Arial;Helvetica;sans-serif" w:hAnsi="Arial;Helvetica;sans-serif"/>
          <w:b/>
          <w:color w:val="000000"/>
          <w:sz w:val="19"/>
        </w:rPr>
        <w:t>PwC</w:t>
      </w:r>
      <w:r>
        <w:rPr>
          <w:rFonts w:ascii="Arial;Helvetica;sans-serif" w:hAnsi="Arial;Helvetica;sans-serif"/>
          <w:color w:val="000000"/>
          <w:sz w:val="19"/>
        </w:rPr>
        <w:t xml:space="preserve">”) as our independent registered public accounting firm for our fiscal year ending June 25, 2027. Although ratification by shareholders is not required by any applicable legal requirements, the Board has determined it is desirable to request ratification of this appointment by our shareholders. Notwithstanding its selection, the Audit Committee, in its discretion, may appoint a new independent registered public accounting firm at any time during the fiscal year if the Audit Committee believes that such a change would be in the best interests of Fabrinet and its shareholders. If our shareholders do not ratify the appointment of PwC, the Audit Committee may reconsider the appointment.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A representative of PwC is expected to be present at the meeting, will have the opportunity to make a statement if he or she desires to do so, and is expected to be available to respond to appropriate questions. </w:t>
      </w:r>
    </w:p>
    <w:p>
      <w:pPr>
        <w:pStyle w:val="TextBody"/>
        <w:bidi w:val="0"/>
        <w:spacing w:before="342" w:after="283"/>
        <w:ind w:left="0" w:right="0" w:hanging="0"/>
        <w:jc w:val="left"/>
        <w:rPr>
          <w:rFonts w:ascii="Arial;Helvetica;sans-serif" w:hAnsi="Arial;Helvetica;sans-serif"/>
          <w:b/>
          <w:color w:val="000000"/>
          <w:sz w:val="28"/>
        </w:rPr>
      </w:pPr>
      <w:bookmarkStart w:id="171" w:name="tPROP22"/>
      <w:bookmarkEnd w:id="171"/>
      <w:r>
        <w:rPr>
          <w:rFonts w:ascii="Arial;Helvetica;sans-serif" w:hAnsi="Arial;Helvetica;sans-serif"/>
          <w:b/>
          <w:color w:val="000000"/>
          <w:sz w:val="28"/>
        </w:rPr>
        <w:t xml:space="preserve">Recommendation of the Board of Directors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The Board recommends a vote “</w:t>
      </w:r>
      <w:r>
        <w:rPr>
          <w:rFonts w:ascii="Arial;Helvetica;sans-serif" w:hAnsi="Arial;Helvetica;sans-serif"/>
          <w:b/>
          <w:color w:val="000000"/>
          <w:sz w:val="19"/>
        </w:rPr>
        <w:t>FOR</w:t>
      </w:r>
      <w:r>
        <w:rPr>
          <w:rFonts w:ascii="Arial;Helvetica;sans-serif" w:hAnsi="Arial;Helvetica;sans-serif"/>
          <w:color w:val="000000"/>
          <w:sz w:val="19"/>
        </w:rPr>
        <w:t xml:space="preserve">” the ratification of the appointment of PwC as Fabrinet’s independent registered public accounting firm for Fabrinet’s fiscal year ending June 25, 2027. </w:t>
      </w:r>
    </w:p>
    <w:p>
      <w:pPr>
        <w:pStyle w:val="TextBody"/>
        <w:bidi w:val="0"/>
        <w:spacing w:before="342" w:after="283"/>
        <w:ind w:left="0" w:right="0" w:hanging="0"/>
        <w:jc w:val="left"/>
        <w:rPr>
          <w:rFonts w:ascii="Arial;Helvetica;sans-serif" w:hAnsi="Arial;Helvetica;sans-serif"/>
          <w:b/>
          <w:color w:val="000000"/>
          <w:sz w:val="28"/>
        </w:rPr>
      </w:pPr>
      <w:bookmarkStart w:id="172" w:name="tPROP23"/>
      <w:bookmarkEnd w:id="172"/>
      <w:r>
        <w:rPr>
          <w:rFonts w:ascii="Arial;Helvetica;sans-serif" w:hAnsi="Arial;Helvetica;sans-serif"/>
          <w:b/>
          <w:color w:val="000000"/>
          <w:sz w:val="28"/>
        </w:rPr>
        <w:t xml:space="preserve">Accounting Fees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The following table presents fees paid or accrued by Fabrinet for audit and other services rendered by PwC for fiscal 2026 and fiscal 2025. </w:t>
      </w:r>
    </w:p>
    <w:tbl>
      <w:tblPr>
        <w:tblW w:w="4710" w:type="dxa"/>
        <w:jc w:val="left"/>
        <w:tblInd w:w="0" w:type="dxa"/>
        <w:tblLayout w:type="fixed"/>
        <w:tblCellMar>
          <w:top w:w="0" w:type="dxa"/>
          <w:left w:w="0" w:type="dxa"/>
          <w:bottom w:w="0" w:type="dxa"/>
          <w:right w:w="0" w:type="dxa"/>
        </w:tblCellMar>
      </w:tblPr>
      <w:tblGrid>
        <w:gridCol w:w="185"/>
        <w:gridCol w:w="1625"/>
        <w:gridCol w:w="170"/>
        <w:gridCol w:w="170"/>
        <w:gridCol w:w="980"/>
        <w:gridCol w:w="170"/>
        <w:gridCol w:w="170"/>
        <w:gridCol w:w="1025"/>
        <w:gridCol w:w="215"/>
      </w:tblGrid>
      <w:tr>
        <w:trPr/>
        <w:tc>
          <w:tcPr>
            <w:tcW w:w="185" w:type="dxa"/>
            <w:tcBorders/>
            <w:shd w:fill="819F7C" w:val="clear"/>
            <w:vAlign w:val="center"/>
          </w:tcPr>
          <w:p>
            <w:pPr>
              <w:pStyle w:val="TableContents"/>
              <w:bidi w:val="0"/>
              <w:spacing w:before="0" w:after="0"/>
              <w:jc w:val="left"/>
              <w:rPr/>
            </w:pPr>
            <w:r>
              <w:rPr/>
              <w:t> </w:t>
            </w:r>
          </w:p>
        </w:tc>
        <w:tc>
          <w:tcPr>
            <w:tcW w:w="16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6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8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Audit Fees</w:t>
            </w:r>
            <w:r>
              <w:rPr>
                <w:rFonts w:ascii="Arial;Helvetica;sans-serif" w:hAnsi="Arial;Helvetica;sans-serif"/>
                <w:color w:val="000000"/>
                <w:position w:val="6"/>
                <w:sz w:val="15"/>
                <w:sz w:val="19"/>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$1,709,768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$1,663,562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Tax Fees</w:t>
            </w:r>
            <w:r>
              <w:rPr>
                <w:rFonts w:ascii="Arial;Helvetica;sans-serif" w:hAnsi="Arial;Helvetica;sans-serif"/>
                <w:color w:val="000000"/>
                <w:position w:val="6"/>
                <w:sz w:val="15"/>
                <w:sz w:val="19"/>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57,140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53,750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All Other Fees</w:t>
            </w:r>
            <w:r>
              <w:rPr>
                <w:rFonts w:ascii="Arial;Helvetica;sans-serif" w:hAnsi="Arial;Helvetica;sans-serif"/>
                <w:color w:val="000000"/>
                <w:position w:val="6"/>
                <w:sz w:val="15"/>
                <w:sz w:val="19"/>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9"/>
                <w:bdr w:val="single" w:sz="8" w:space="5" w:color="000000"/>
              </w:rPr>
            </w:pPr>
            <w:r>
              <w:rPr>
                <w:rFonts w:ascii="Arial;Helvetica;sans-serif" w:hAnsi="Arial;Helvetica;sans-serif"/>
                <w:color w:val="000000"/>
                <w:sz w:val="19"/>
                <w:bdr w:val="single" w:sz="8" w:space="5" w:color="000000"/>
              </w:rPr>
              <w:t>8,417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Arial;Helvetica;sans-serif" w:hAnsi="Arial;Helvetica;sans-serif"/>
                <w:color w:val="000000"/>
                <w:sz w:val="19"/>
                <w:bdr w:val="single" w:sz="8" w:space="5" w:color="000000"/>
              </w:rPr>
            </w:pPr>
            <w:r>
              <w:rPr>
                <w:rFonts w:ascii="Arial;Helvetica;sans-serif" w:hAnsi="Arial;Helvetica;sans-serif"/>
                <w:color w:val="000000"/>
                <w:sz w:val="19"/>
                <w:bdr w:val="single" w:sz="8" w:space="5" w:color="000000"/>
              </w:rPr>
              <w:t xml:space="preserve">17,200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9"/>
              </w:rPr>
            </w:pPr>
            <w:r>
              <w:rPr>
                <w:rFonts w:ascii="Arial;Helvetica;sans-serif" w:hAnsi="Arial;Helvetica;sans-serif"/>
                <w:color w:val="000000"/>
                <w:sz w:val="19"/>
              </w:rPr>
              <w:t>Total</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8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$1,775,325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$1,734,512</w:t>
            </w:r>
          </w:p>
        </w:tc>
        <w:tc>
          <w:tcPr>
            <w:tcW w:w="215" w:type="dxa"/>
            <w:tcBorders/>
            <w:shd w:fill="E5E9E3"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0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Audit Fees consist of fees for professional services provided in connection with the audit of our annual consolidated financial statements, the review of our quarterly consolidated financial statements, and audit services that are normally provided by the independent registered public accounting firm in connection with statutory and regulatory filings or engagements for the applicable fiscal year, such as statutory audits, as well as out of pocket expenses. </w:t>
            </w:r>
          </w:p>
        </w:tc>
      </w:tr>
    </w:tbl>
    <w:tbl>
      <w:tblPr>
        <w:tblW w:w="3955" w:type="dxa"/>
        <w:jc w:val="left"/>
        <w:tblInd w:w="0" w:type="dxa"/>
        <w:tblLayout w:type="fixed"/>
        <w:tblCellMar>
          <w:top w:w="0" w:type="dxa"/>
          <w:left w:w="0" w:type="dxa"/>
          <w:bottom w:w="0" w:type="dxa"/>
          <w:right w:w="0" w:type="dxa"/>
        </w:tblCellMar>
      </w:tblPr>
      <w:tblGrid>
        <w:gridCol w:w="230"/>
        <w:gridCol w:w="372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372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Tax fees consist of fees for tax compliance services. </w:t>
            </w:r>
          </w:p>
        </w:tc>
      </w:tr>
    </w:tbl>
    <w:tbl>
      <w:tblPr>
        <w:tblW w:w="9250" w:type="dxa"/>
        <w:jc w:val="left"/>
        <w:tblInd w:w="0" w:type="dxa"/>
        <w:tblLayout w:type="fixed"/>
        <w:tblCellMar>
          <w:top w:w="0" w:type="dxa"/>
          <w:left w:w="0" w:type="dxa"/>
          <w:bottom w:w="0" w:type="dxa"/>
          <w:right w:w="0" w:type="dxa"/>
        </w:tblCellMar>
      </w:tblPr>
      <w:tblGrid>
        <w:gridCol w:w="230"/>
        <w:gridCol w:w="902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0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All other fees consist of fees for accounting research software and accounting advisory services during the applicable fiscal year. </w:t>
            </w:r>
          </w:p>
        </w:tc>
      </w:tr>
    </w:tbl>
    <w:p>
      <w:pPr>
        <w:pStyle w:val="TextBody"/>
        <w:bidi w:val="0"/>
        <w:spacing w:before="330" w:after="283"/>
        <w:ind w:left="0" w:right="0" w:hanging="0"/>
        <w:jc w:val="left"/>
        <w:rPr>
          <w:rFonts w:ascii="Arial;Helvetica;sans-serif" w:hAnsi="Arial;Helvetica;sans-serif"/>
          <w:b/>
          <w:color w:val="000000"/>
          <w:sz w:val="28"/>
        </w:rPr>
      </w:pPr>
      <w:bookmarkStart w:id="173" w:name="tPROP23a"/>
      <w:bookmarkEnd w:id="173"/>
      <w:r>
        <w:rPr>
          <w:rFonts w:ascii="Arial;Helvetica;sans-serif" w:hAnsi="Arial;Helvetica;sans-serif"/>
          <w:b/>
          <w:color w:val="000000"/>
          <w:sz w:val="28"/>
        </w:rPr>
        <w:t xml:space="preserve">Auditor Independence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In fiscal 2026, there were no other professional services provided by PwC, other than those listed above, that would have required the Audit Committee to consider their compatibility with maintaining the independence of PwC. </w:t>
      </w:r>
    </w:p>
    <w:p>
      <w:pPr>
        <w:pStyle w:val="TextBody"/>
        <w:bidi w:val="0"/>
        <w:spacing w:before="342" w:after="283"/>
        <w:ind w:left="0" w:right="0" w:hanging="0"/>
        <w:jc w:val="left"/>
        <w:rPr>
          <w:rFonts w:ascii="Arial;Helvetica;sans-serif" w:hAnsi="Arial;Helvetica;sans-serif"/>
          <w:b/>
          <w:color w:val="000000"/>
          <w:sz w:val="28"/>
        </w:rPr>
      </w:pPr>
      <w:bookmarkStart w:id="174" w:name="tPROP24"/>
      <w:bookmarkEnd w:id="174"/>
      <w:r>
        <w:rPr>
          <w:rFonts w:ascii="Arial;Helvetica;sans-serif" w:hAnsi="Arial;Helvetica;sans-serif"/>
          <w:b/>
          <w:color w:val="000000"/>
          <w:sz w:val="28"/>
        </w:rPr>
        <w:t xml:space="preserve">Pre-Approval of Audit and Non-Audit Services </w:t>
      </w:r>
    </w:p>
    <w:p>
      <w:pPr>
        <w:pStyle w:val="TextBody"/>
        <w:bidi w:val="0"/>
        <w:spacing w:before="120" w:after="283"/>
        <w:ind w:left="0" w:right="0" w:hanging="0"/>
        <w:jc w:val="both"/>
        <w:rPr>
          <w:rFonts w:ascii="Arial;Helvetica;sans-serif" w:hAnsi="Arial;Helvetica;sans-serif"/>
          <w:color w:val="000000"/>
          <w:sz w:val="19"/>
        </w:rPr>
      </w:pPr>
      <w:r>
        <w:rPr>
          <w:rFonts w:ascii="Arial;Helvetica;sans-serif" w:hAnsi="Arial;Helvetica;sans-serif"/>
          <w:color w:val="000000"/>
          <w:sz w:val="19"/>
        </w:rPr>
        <w:t xml:space="preserve">Pursuant to its charter, the Audit Committee is required to (1) review and approve, in advance, the scope and plans for all audits and audit fees and (2) approve, in advance, all non-audit services to be performed by our independent auditors. All services and fees of PwC for the periods set forth in the table above were pre-approved by the Audit Committee.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0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1" descr=""/>
                          <pic:cNvPicPr>
                            <a:picLocks noChangeAspect="1" noChangeArrowheads="1"/>
                          </pic:cNvPicPr>
                        </pic:nvPicPr>
                        <pic:blipFill>
                          <a:blip r:embed="rId12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5" w:name="ny20081940x1_def14a_109-prop3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76" w:name="tPROP3"/>
      <w:bookmarkEnd w:id="176"/>
      <w:r>
        <w:rPr>
          <w:rFonts w:ascii="Arial;Helvetica;sans-serif" w:hAnsi="Arial;Helvetica;sans-serif"/>
          <w:b/>
          <w:color w:val="578255"/>
          <w:sz w:val="44"/>
        </w:rPr>
        <w:t xml:space="preserve">PROPOSAL THREE: ADVISORY VOTE TO APPROVE COMPENSATION OF NAMED EXECUTIVE OFFICERS </w:t>
      </w:r>
    </w:p>
    <w:p>
      <w:pPr>
        <w:pStyle w:val="TextBody"/>
        <w:bidi w:val="0"/>
        <w:spacing w:before="380" w:after="283"/>
        <w:ind w:left="0" w:right="0" w:hanging="0"/>
        <w:jc w:val="left"/>
        <w:rPr>
          <w:rFonts w:ascii="Arial;Helvetica;sans-serif" w:hAnsi="Arial;Helvetica;sans-serif"/>
          <w:b/>
          <w:color w:val="000000"/>
          <w:sz w:val="28"/>
        </w:rPr>
      </w:pPr>
      <w:bookmarkStart w:id="177" w:name="tPROP31"/>
      <w:bookmarkEnd w:id="177"/>
      <w:r>
        <w:rPr>
          <w:rFonts w:ascii="Arial;Helvetica;sans-serif" w:hAnsi="Arial;Helvetica;sans-serif"/>
          <w:b/>
          <w:color w:val="000000"/>
          <w:sz w:val="28"/>
        </w:rPr>
        <w:t xml:space="preserve">General </w:t>
      </w:r>
    </w:p>
    <w:p>
      <w:pPr>
        <w:pStyle w:val="TextBody"/>
        <w:bidi w:val="0"/>
        <w:spacing w:before="430" w:after="283"/>
        <w:ind w:left="0" w:right="0" w:hanging="0"/>
        <w:jc w:val="left"/>
        <w:rPr>
          <w:rFonts w:ascii="Arial;Helvetica;sans-serif" w:hAnsi="Arial;Helvetica;sans-serif"/>
          <w:b/>
          <w:color w:val="000000"/>
          <w:sz w:val="28"/>
        </w:rPr>
      </w:pPr>
      <w:bookmarkStart w:id="178" w:name="tPROP32"/>
      <w:bookmarkEnd w:id="178"/>
      <w:r>
        <w:rPr>
          <w:rFonts w:ascii="Arial;Helvetica;sans-serif" w:hAnsi="Arial;Helvetica;sans-serif"/>
          <w:b/>
          <w:color w:val="000000"/>
          <w:sz w:val="28"/>
        </w:rPr>
        <w:t xml:space="preserve">Recommendation of the Board of Directors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124200" cy="4284980"/>
                <wp:effectExtent l="0" t="0" r="0" b="0"/>
                <wp:wrapSquare wrapText="right"/>
                <wp:docPr id="208" name="Frame81"/>
                <a:graphic xmlns:a="http://schemas.openxmlformats.org/drawingml/2006/main">
                  <a:graphicData uri="http://schemas.microsoft.com/office/word/2010/wordprocessingShape">
                    <wps:wsp>
                      <wps:cNvSpPr txBox="1"/>
                      <wps:spPr>
                        <a:xfrm>
                          <a:off x="0" y="0"/>
                          <a:ext cx="3124200" cy="42849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we are providing our shareholders with the opportunity to vote to approve, on an advisory or non-binding basis, the compensation of our named executive officers as disclosed in this proxy statement in accordance with rules of the SEC. This proposal, commonly known as a “say-on-pay” proposal, gives our shareholders the opportunity to express their views on the compensation of our named executive officers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 We currently hold our say-on-pay vote every year.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The Board and the Compensation Committee value the opinions of shareholders and, to the extent there is any significant vote against the compensation of our named executive officers as disclosed in this proxy statement, will endeavor to communicate with shareholders to better </w:t>
                            </w:r>
                          </w:p>
                        </w:txbxContent>
                      </wps:txbx>
                      <wps:bodyPr anchor="t" lIns="0" tIns="0" rIns="0" bIns="0">
                        <a:noAutofit/>
                      </wps:bodyPr>
                    </wps:wsp>
                  </a:graphicData>
                </a:graphic>
              </wp:anchor>
            </w:drawing>
          </mc:Choice>
          <mc:Fallback>
            <w:pict>
              <v:rect style="position:absolute;rotation:-0;width:246pt;height:3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we are providing our shareholders with the opportunity to vote to approve, on an advisory or non-binding basis, the compensation of our named executive officers as disclosed in this proxy statement in accordance with rules of the SEC. This proposal, commonly known as a “say-on-pay” proposal, gives our shareholders the opportunity to express their views on the compensation of our named executive officers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 We currently hold our say-on-pay vote every year.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The Board and the Compensation Committee value the opinions of shareholders and, to the extent there is any significant vote against the compensation of our named executive officers as disclosed in this proxy statement, will endeavor to communicate with shareholders to better </w:t>
                      </w:r>
                    </w:p>
                  </w:txbxContent>
                </v:textbox>
                <w10:wrap type="square" side="right"/>
              </v:rect>
            </w:pict>
          </mc:Fallback>
        </mc:AlternateContent>
      </w:r>
      <w:r>
        <mc:AlternateContent>
          <mc:Choice Requires="wps">
            <w:drawing>
              <wp:anchor behindDoc="0" distT="0" distB="0" distL="228600" distR="0" simplePos="0" locked="0" layoutInCell="1" allowOverlap="1" relativeHeight="286">
                <wp:simplePos x="0" y="0"/>
                <wp:positionH relativeFrom="column">
                  <wp:align>left</wp:align>
                </wp:positionH>
                <wp:positionV relativeFrom="line">
                  <wp:posOffset>635</wp:posOffset>
                </wp:positionV>
                <wp:extent cx="3124200" cy="4570095"/>
                <wp:effectExtent l="0" t="0" r="0" b="0"/>
                <wp:wrapSquare wrapText="right"/>
                <wp:docPr id="209" name="Frame82"/>
                <a:graphic xmlns:a="http://schemas.openxmlformats.org/drawingml/2006/main">
                  <a:graphicData uri="http://schemas.microsoft.com/office/word/2010/wordprocessingShape">
                    <wps:wsp>
                      <wps:cNvSpPr txBox="1"/>
                      <wps:spPr>
                        <a:xfrm>
                          <a:off x="0" y="0"/>
                          <a:ext cx="3124200" cy="457009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understand the concerns that influenced the vote, consider those shareholders’ concerns and evaluate whether any actions are necessary to address those concerns.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urge shareholders to read the “</w:t>
                            </w:r>
                            <w:r>
                              <w:rPr>
                                <w:rFonts w:ascii="Arial;Helvetica;sans-serif" w:hAnsi="Arial;Helvetica;sans-serif"/>
                                <w:i/>
                                <w:color w:val="000000"/>
                                <w:sz w:val="20"/>
                              </w:rPr>
                              <w:t>Executive Compensation</w:t>
                            </w:r>
                            <w:r>
                              <w:rPr>
                                <w:rFonts w:ascii="Arial;Helvetica;sans-serif" w:hAnsi="Arial;Helvetica;sans-serif"/>
                                <w:color w:val="000000"/>
                                <w:sz w:val="20"/>
                              </w:rPr>
                              <w:t>” section of this proxy statement, and in particular the information discussed under the heading “</w:t>
                            </w:r>
                            <w:r>
                              <w:rPr>
                                <w:rFonts w:ascii="Arial;Helvetica;sans-serif" w:hAnsi="Arial;Helvetica;sans-serif"/>
                                <w:i/>
                                <w:color w:val="000000"/>
                                <w:sz w:val="20"/>
                              </w:rPr>
                              <w:t>Executive Compensation—Compensation Discussion and Analysis</w:t>
                            </w:r>
                            <w:r>
                              <w:rPr>
                                <w:rFonts w:ascii="Arial;Helvetica;sans-serif" w:hAnsi="Arial;Helvetica;sans-serif"/>
                                <w:color w:val="000000"/>
                                <w:sz w:val="20"/>
                              </w:rPr>
                              <w:t xml:space="preserve">,” which describes in more detail how our 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 </w:t>
                            </w:r>
                          </w:p>
                          <w:p>
                            <w:pPr>
                              <w:pStyle w:val="TextBody"/>
                              <w:bidi w:val="0"/>
                              <w:spacing w:before="120" w:after="283"/>
                              <w:ind w:left="0" w:right="0" w:hanging="0"/>
                              <w:jc w:val="both"/>
                              <w:rPr>
                                <w:color w:val="000000"/>
                              </w:rPr>
                            </w:pPr>
                            <w:r>
                              <w:rPr>
                                <w:color w:val="000000"/>
                              </w:rPr>
                              <w:t>“</w:t>
                            </w:r>
                            <w:r>
                              <w:rPr>
                                <w:rFonts w:ascii="Arial;Helvetica;sans-serif" w:hAnsi="Arial;Helvetica;sans-serif"/>
                                <w:color w:val="000000"/>
                                <w:sz w:val="20"/>
                              </w:rPr>
                              <w:t xml:space="preserve">RESOLVED, that Fabrinet’s shareholders approve, on an advisory basis, the compensation of Fabrinet’s named executive officers as disclosed in Fabrinet’s Proxy Statement for the 2026 Annual General Meeting of Shareholders, pursuant to the executive compensation disclosure rules of the Securities and Exchange Commission, including the Compensation Discussion and Analysis, the compensation tables, and related narrative disclosures.” </w:t>
                            </w:r>
                          </w:p>
                        </w:txbxContent>
                      </wps:txbx>
                      <wps:bodyPr anchor="t" lIns="0" tIns="0" rIns="0" bIns="0">
                        <a:noAutofit/>
                      </wps:bodyPr>
                    </wps:wsp>
                  </a:graphicData>
                </a:graphic>
              </wp:anchor>
            </w:drawing>
          </mc:Choice>
          <mc:Fallback>
            <w:pict>
              <v:rect style="position:absolute;rotation:-0;width:246pt;height:359.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understand the concerns that influenced the vote, consider those shareholders’ concerns and evaluate whether any actions are necessary to address those concerns.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urge shareholders to read the “</w:t>
                      </w:r>
                      <w:r>
                        <w:rPr>
                          <w:rFonts w:ascii="Arial;Helvetica;sans-serif" w:hAnsi="Arial;Helvetica;sans-serif"/>
                          <w:i/>
                          <w:color w:val="000000"/>
                          <w:sz w:val="20"/>
                        </w:rPr>
                        <w:t>Executive Compensation</w:t>
                      </w:r>
                      <w:r>
                        <w:rPr>
                          <w:rFonts w:ascii="Arial;Helvetica;sans-serif" w:hAnsi="Arial;Helvetica;sans-serif"/>
                          <w:color w:val="000000"/>
                          <w:sz w:val="20"/>
                        </w:rPr>
                        <w:t>” section of this proxy statement, and in particular the information discussed under the heading “</w:t>
                      </w:r>
                      <w:r>
                        <w:rPr>
                          <w:rFonts w:ascii="Arial;Helvetica;sans-serif" w:hAnsi="Arial;Helvetica;sans-serif"/>
                          <w:i/>
                          <w:color w:val="000000"/>
                          <w:sz w:val="20"/>
                        </w:rPr>
                        <w:t>Executive Compensation—Compensation Discussion and Analysis</w:t>
                      </w:r>
                      <w:r>
                        <w:rPr>
                          <w:rFonts w:ascii="Arial;Helvetica;sans-serif" w:hAnsi="Arial;Helvetica;sans-serif"/>
                          <w:color w:val="000000"/>
                          <w:sz w:val="20"/>
                        </w:rPr>
                        <w:t xml:space="preserve">,” which describes in more detail how our 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 </w:t>
                      </w:r>
                    </w:p>
                    <w:p>
                      <w:pPr>
                        <w:pStyle w:val="TextBody"/>
                        <w:bidi w:val="0"/>
                        <w:spacing w:before="120" w:after="283"/>
                        <w:ind w:left="0" w:right="0" w:hanging="0"/>
                        <w:jc w:val="both"/>
                        <w:rPr>
                          <w:color w:val="000000"/>
                        </w:rPr>
                      </w:pPr>
                      <w:r>
                        <w:rPr>
                          <w:color w:val="000000"/>
                        </w:rPr>
                        <w:t>“</w:t>
                      </w:r>
                      <w:r>
                        <w:rPr>
                          <w:rFonts w:ascii="Arial;Helvetica;sans-serif" w:hAnsi="Arial;Helvetica;sans-serif"/>
                          <w:color w:val="000000"/>
                          <w:sz w:val="20"/>
                        </w:rPr>
                        <w:t xml:space="preserve">RESOLVED, that Fabrinet’s shareholders approve, on an advisory basis, the compensation of Fabrinet’s named executive officers as disclosed in Fabrinet’s Proxy Statement for the 2026 Annual General Meeting of Shareholders, pursuant to the executive compensation disclosure rules of the Securities and Exchange Commission, including the Compensation Discussion and Analysis, the compensation tables, and related narrative disclosures.” </w:t>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000000"/>
          <w:sz w:val="20"/>
        </w:rPr>
        <w:t>FOR</w:t>
      </w:r>
      <w:r>
        <w:rPr>
          <w:rFonts w:ascii="Arial;Helvetica;sans-serif" w:hAnsi="Arial;Helvetica;sans-serif"/>
          <w:color w:val="000000"/>
          <w:sz w:val="20"/>
        </w:rPr>
        <w:t xml:space="preserve">” the approval, on an advisory basis, of the compensation of our named executive officers as disclosed in this proxy statement. </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1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2" descr=""/>
                          <pic:cNvPicPr>
                            <a:picLocks noChangeAspect="1" noChangeArrowheads="1"/>
                          </pic:cNvPicPr>
                        </pic:nvPicPr>
                        <pic:blipFill>
                          <a:blip r:embed="rId12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9" w:name="ny20081940x1_def14a_109-prop3_pg2"/>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80" w:name="tACR"/>
      <w:bookmarkEnd w:id="180"/>
      <w:r>
        <w:rPr>
          <w:rFonts w:ascii="Arial;Helvetica;sans-serif" w:hAnsi="Arial;Helvetica;sans-serif"/>
          <w:b/>
          <w:color w:val="578255"/>
          <w:sz w:val="44"/>
        </w:rPr>
        <w:t xml:space="preserve">AUDIT COMMITTEE REPORT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assists the Board in fulfilling its responsibilities for oversight of the integrity of our financial statements, our internal accounting and financial controls, our compliance with legal and regulatory requirements, the organization and performance of our internal audit function and the qualifications, independence and performance of our independent registered public accounting firm.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is responsible for establishing and maintaining internal controls and preparing our consolidated financial statements. The independent registered public accounting firm is responsible for auditing the financial statements. It is the responsibility of the Audit Committee to oversee these activities.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has: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Reviewed and discussed the audited financial statements with management and with PricewaterhouseCoopers ABAS Ltd.,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Discussed with PricewaterhouseCoopers ABAS Ltd. the matters required to be discussed by the applicable requirements of the Public Company Accounting Oversight Board (the “</w:t>
            </w:r>
            <w:r>
              <w:rPr>
                <w:rFonts w:ascii="Arial;Helvetica;sans-serif" w:hAnsi="Arial;Helvetica;sans-serif"/>
                <w:b/>
                <w:color w:val="000000"/>
                <w:sz w:val="20"/>
              </w:rPr>
              <w:t>PCAOB</w:t>
            </w:r>
            <w:r>
              <w:rPr>
                <w:rFonts w:ascii="Arial;Helvetica;sans-serif" w:hAnsi="Arial;Helvetica;sans-serif"/>
                <w:color w:val="000000"/>
                <w:sz w:val="20"/>
              </w:rPr>
              <w:t xml:space="preserve">”) and the SEC;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Received the written disclosures and the letter from PricewaterhouseCoopers ABAS Ltd. required by applicable requirements of the PCAOB regarding PricewaterhouseCoopers ABAS Ltd.’s communications with the Audit Committee concerning independence, and has discussed with PricewaterhouseCoopers ABAS Ltd. its independence. </w:t>
            </w:r>
          </w:p>
        </w:tc>
      </w:tr>
    </w:tbl>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upon these discussions and review, the Audit Committee recommended to the Board that the audited financial statements be included in our Annual Report on Form 10-K for the fiscal year ended June 26, 2026, for filing with the SEC. </w:t>
      </w:r>
    </w:p>
    <w:p>
      <w:pPr>
        <w:pStyle w:val="TextBody"/>
        <w:bidi w:val="0"/>
        <w:spacing w:before="17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Respectfully submitted by the members of the Audit Committee of the Board of Directors.</w:t>
      </w:r>
      <w:r>
        <w:rPr>
          <w:rFonts w:ascii="Arial;Helvetica;sans-serif" w:hAnsi="Arial;Helvetica;sans-serif"/>
          <w:i/>
          <w:caps w:val="false"/>
          <w:smallCaps w:val="false"/>
          <w:color w:val="000000"/>
          <w:sz w:val="20"/>
        </w:rPr>
        <w:t xml:space="preserve"> </w:t>
      </w:r>
    </w:p>
    <w:p>
      <w:pPr>
        <w:pStyle w:val="TextBody"/>
        <w:bidi w:val="0"/>
        <w:spacing w:before="17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F. Kelly (Chair)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Forbes I.J. Alexander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Caroline Dowling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Dr. Frank H. Levinson</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1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3" descr=""/>
                          <pic:cNvPicPr>
                            <a:picLocks noChangeAspect="1" noChangeArrowheads="1"/>
                          </pic:cNvPicPr>
                        </pic:nvPicPr>
                        <pic:blipFill>
                          <a:blip r:embed="rId13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1" w:name="ny20081940x1_def14a_110-executive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82" w:name="tEO"/>
      <w:bookmarkEnd w:id="182"/>
      <w:r>
        <w:rPr>
          <w:rFonts w:ascii="Arial;Helvetica;sans-serif" w:hAnsi="Arial;Helvetica;sans-serif"/>
          <w:b/>
          <w:color w:val="578255"/>
          <w:sz w:val="44"/>
        </w:rPr>
        <w:t xml:space="preserve">EXECUTIVE OFFICERS </w:t>
      </w:r>
    </w:p>
    <w:p>
      <w:pPr>
        <w:pStyle w:val="TextBody"/>
        <w:bidi w:val="0"/>
        <w:spacing w:before="4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names of our executive officers, their ages, their positions with us and other biographical information as of October 13, 2026, are set forth below. There are no family relationships among any of our directors or executive officers. </w:t>
      </w:r>
    </w:p>
    <w:tbl>
      <w:tblPr>
        <w:tblW w:w="7575" w:type="dxa"/>
        <w:jc w:val="left"/>
        <w:tblInd w:w="0" w:type="dxa"/>
        <w:tblLayout w:type="fixed"/>
        <w:tblCellMar>
          <w:top w:w="0" w:type="dxa"/>
          <w:left w:w="0" w:type="dxa"/>
          <w:bottom w:w="0" w:type="dxa"/>
          <w:right w:w="0" w:type="dxa"/>
        </w:tblCellMar>
      </w:tblPr>
      <w:tblGrid>
        <w:gridCol w:w="185"/>
        <w:gridCol w:w="1565"/>
        <w:gridCol w:w="170"/>
        <w:gridCol w:w="170"/>
        <w:gridCol w:w="410"/>
        <w:gridCol w:w="170"/>
        <w:gridCol w:w="170"/>
        <w:gridCol w:w="4520"/>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52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Age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520"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Position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5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Chief Executive Officer and Chairman of the Board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President and Chief Operating Officer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5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Executive Vice President, Chief Financial Officer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Sales &amp; Marketing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124200" cy="4979035"/>
                <wp:effectExtent l="0" t="0" r="0" b="0"/>
                <wp:wrapSquare wrapText="right"/>
                <wp:docPr id="212" name="Frame83"/>
                <a:graphic xmlns:a="http://schemas.openxmlformats.org/drawingml/2006/main">
                  <a:graphicData uri="http://schemas.microsoft.com/office/word/2010/wordprocessingShape">
                    <wps:wsp>
                      <wps:cNvSpPr txBox="1"/>
                      <wps:spPr>
                        <a:xfrm>
                          <a:off x="0" y="0"/>
                          <a:ext cx="3124200" cy="497903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Seamus Grady. </w:t>
                            </w:r>
                            <w:r>
                              <w:rPr>
                                <w:rFonts w:ascii="Arial;Helvetica;sans-serif" w:hAnsi="Arial;Helvetica;sans-serif"/>
                                <w:b w:val="false"/>
                                <w:color w:val="000000"/>
                                <w:sz w:val="20"/>
                              </w:rPr>
                              <w:t>For Mr. Grady’s biography, please see “</w:t>
                            </w:r>
                            <w:r>
                              <w:rPr>
                                <w:rFonts w:ascii="Arial;Helvetica;sans-serif" w:hAnsi="Arial;Helvetica;sans-serif"/>
                                <w:b w:val="false"/>
                                <w:i/>
                                <w:color w:val="000000"/>
                                <w:sz w:val="20"/>
                              </w:rPr>
                              <w:t>Proposal One—Election of Directors—Biographical Information</w:t>
                            </w:r>
                            <w:r>
                              <w:rPr>
                                <w:rFonts w:ascii="Arial;Helvetica;sans-serif" w:hAnsi="Arial;Helvetica;sans-serif"/>
                                <w:b/>
                                <w:color w:val="000000"/>
                                <w:sz w:val="20"/>
                              </w:rPr>
                              <w:t xml:space="preserve">” </w:t>
                            </w:r>
                            <w:r>
                              <w:rPr>
                                <w:rFonts w:ascii="Arial;Helvetica;sans-serif" w:hAnsi="Arial;Helvetica;sans-serif"/>
                                <w:b w:val="false"/>
                                <w:color w:val="000000"/>
                                <w:sz w:val="20"/>
                              </w:rPr>
                              <w:t xml:space="preserve">above.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Dr. Harpal Gill </w:t>
                            </w:r>
                            <w:r>
                              <w:rPr>
                                <w:rFonts w:ascii="Arial;Helvetica;sans-serif" w:hAnsi="Arial;Helvetica;sans-serif"/>
                                <w:b w:val="false"/>
                                <w:color w:val="000000"/>
                                <w:sz w:val="20"/>
                              </w:rPr>
                              <w:t xml:space="preserve">has served as our president since January 2011, and as our chief operating officer since March 2009. Previously, Dr. Gill was our senior vice president, operations from May 2005 to March 2009. He also has served as executive vice president, operations of Fabrinet Co., Ltd., our subsidiary in Thailand, since July 2007.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engineering degree from the University of Bradford.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Csaba Sverha </w:t>
                            </w:r>
                            <w:r>
                              <w:rPr>
                                <w:rFonts w:ascii="Arial;Helvetica;sans-serif" w:hAnsi="Arial;Helvetica;sans-serif"/>
                                <w:b w:val="false"/>
                                <w:color w:val="000000"/>
                                <w:sz w:val="20"/>
                              </w:rPr>
                              <w:t xml:space="preserve">has served as our executive vice president, chief financial officer since February 2020. Previously, he was our vice president of operations finance from March 2018 to February 2020. From 2005 to March 2018, Mr. Sverha held various finance roles of increasing responsibility at Sanmina Corporation, an </w:t>
                            </w:r>
                          </w:p>
                        </w:txbxContent>
                      </wps:txbx>
                      <wps:bodyPr anchor="t" lIns="0" tIns="0" rIns="0" bIns="0">
                        <a:noAutofit/>
                      </wps:bodyPr>
                    </wps:wsp>
                  </a:graphicData>
                </a:graphic>
              </wp:anchor>
            </w:drawing>
          </mc:Choice>
          <mc:Fallback>
            <w:pict>
              <v:rect style="position:absolute;rotation:-0;width:246pt;height:39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Seamus Grady. </w:t>
                      </w:r>
                      <w:r>
                        <w:rPr>
                          <w:rFonts w:ascii="Arial;Helvetica;sans-serif" w:hAnsi="Arial;Helvetica;sans-serif"/>
                          <w:b w:val="false"/>
                          <w:color w:val="000000"/>
                          <w:sz w:val="20"/>
                        </w:rPr>
                        <w:t>For Mr. Grady’s biography, please see “</w:t>
                      </w:r>
                      <w:r>
                        <w:rPr>
                          <w:rFonts w:ascii="Arial;Helvetica;sans-serif" w:hAnsi="Arial;Helvetica;sans-serif"/>
                          <w:b w:val="false"/>
                          <w:i/>
                          <w:color w:val="000000"/>
                          <w:sz w:val="20"/>
                        </w:rPr>
                        <w:t>Proposal One—Election of Directors—Biographical Information</w:t>
                      </w:r>
                      <w:r>
                        <w:rPr>
                          <w:rFonts w:ascii="Arial;Helvetica;sans-serif" w:hAnsi="Arial;Helvetica;sans-serif"/>
                          <w:b/>
                          <w:color w:val="000000"/>
                          <w:sz w:val="20"/>
                        </w:rPr>
                        <w:t xml:space="preserve">” </w:t>
                      </w:r>
                      <w:r>
                        <w:rPr>
                          <w:rFonts w:ascii="Arial;Helvetica;sans-serif" w:hAnsi="Arial;Helvetica;sans-serif"/>
                          <w:b w:val="false"/>
                          <w:color w:val="000000"/>
                          <w:sz w:val="20"/>
                        </w:rPr>
                        <w:t xml:space="preserve">above.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Dr. Harpal Gill </w:t>
                      </w:r>
                      <w:r>
                        <w:rPr>
                          <w:rFonts w:ascii="Arial;Helvetica;sans-serif" w:hAnsi="Arial;Helvetica;sans-serif"/>
                          <w:b w:val="false"/>
                          <w:color w:val="000000"/>
                          <w:sz w:val="20"/>
                        </w:rPr>
                        <w:t xml:space="preserve">has served as our president since January 2011, and as our chief operating officer since March 2009. Previously, Dr. Gill was our senior vice president, operations from May 2005 to March 2009. He also has served as executive vice president, operations of Fabrinet Co., Ltd., our subsidiary in Thailand, since July 2007.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engineering degree from the University of Bradford.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Csaba Sverha </w:t>
                      </w:r>
                      <w:r>
                        <w:rPr>
                          <w:rFonts w:ascii="Arial;Helvetica;sans-serif" w:hAnsi="Arial;Helvetica;sans-serif"/>
                          <w:b w:val="false"/>
                          <w:color w:val="000000"/>
                          <w:sz w:val="20"/>
                        </w:rPr>
                        <w:t xml:space="preserve">has served as our executive vice president, chief financial officer since February 2020. Previously, he was our vice president of operations finance from March 2018 to February 2020. From 2005 to March 2018, Mr. Sverha held various finance roles of increasing responsibility at Sanmina Corporation, an </w:t>
                      </w:r>
                    </w:p>
                  </w:txbxContent>
                </v:textbox>
                <w10:wrap type="square" side="right"/>
              </v:rect>
            </w:pict>
          </mc:Fallback>
        </mc:AlternateContent>
      </w:r>
      <w:r>
        <mc:AlternateContent>
          <mc:Choice Requires="wps">
            <w:drawing>
              <wp:anchor behindDoc="0" distT="0" distB="0" distL="228600" distR="0" simplePos="0" locked="0" layoutInCell="1" allowOverlap="1" relativeHeight="288">
                <wp:simplePos x="0" y="0"/>
                <wp:positionH relativeFrom="column">
                  <wp:align>left</wp:align>
                </wp:positionH>
                <wp:positionV relativeFrom="line">
                  <wp:posOffset>635</wp:posOffset>
                </wp:positionV>
                <wp:extent cx="3124200" cy="4431030"/>
                <wp:effectExtent l="0" t="0" r="0" b="0"/>
                <wp:wrapSquare wrapText="right"/>
                <wp:docPr id="213" name="Frame84"/>
                <a:graphic xmlns:a="http://schemas.openxmlformats.org/drawingml/2006/main">
                  <a:graphicData uri="http://schemas.microsoft.com/office/word/2010/wordprocessingShape">
                    <wps:wsp>
                      <wps:cNvSpPr txBox="1"/>
                      <wps:spPr>
                        <a:xfrm>
                          <a:off x="0" y="0"/>
                          <a:ext cx="3124200" cy="44310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electronics manufacturing services company. During his thirteen-year tenure at Sanmina, he assumed site level as well as regional and global finance roles, most recently serving as vice president finance &amp; controller, Mechanical Systems Division, from December 2017 to March 2018. Prior to that, Mr. Sverha served as controller with Benetton Hungary (United Colors of Benetton). Prior to joining Benetton, Mr. Sverha held junior finance analyst and controller positions with Flex in Hungary. Mr. Sverha holds a Master’s Degree in Agricultural Economics and Management from the Szent Istvan University, Godollo Hungary (SZIU).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Edward T. Archer </w:t>
                            </w:r>
                            <w:r>
                              <w:rPr>
                                <w:rFonts w:ascii="Arial;Helvetica;sans-serif" w:hAnsi="Arial;Helvetica;sans-serif"/>
                                <w:b w:val="false"/>
                                <w:color w:val="000000"/>
                                <w:sz w:val="20"/>
                              </w:rPr>
                              <w:t xml:space="preserve">has served as our executive vice president, sales &amp; marketing since January 2019. Prior to joining Fabrinet, Mr. Archer was the senior vice president of sales for the Integrated Manufacturing Services Division of Sanmina Corporation from October 2014 to December 2018. He is a thirty-year veteran of the electronics industry, with broad sales and marketing experience in technical services, products and electronic manufacturing services. He began his career in sales leadership roles at Future Electronics, Wyle Electronics and Arrow Electronics, followed by nine years at Altera Corporation (now Intel) as its regional sales director for both FPGA and ASIC products. Mr. Archer earned a bachelor of science degree in industrial technology (technical marketing) from California Polytechnic State University. </w:t>
                            </w:r>
                          </w:p>
                        </w:txbxContent>
                      </wps:txbx>
                      <wps:bodyPr anchor="t" lIns="0" tIns="0" rIns="0" bIns="0">
                        <a:noAutofit/>
                      </wps:bodyPr>
                    </wps:wsp>
                  </a:graphicData>
                </a:graphic>
              </wp:anchor>
            </w:drawing>
          </mc:Choice>
          <mc:Fallback>
            <w:pict>
              <v:rect style="position:absolute;rotation:-0;width:246pt;height:348.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electronics manufacturing services company. During his thirteen-year tenure at Sanmina, he assumed site level as well as regional and global finance roles, most recently serving as vice president finance &amp; controller, Mechanical Systems Division, from December 2017 to March 2018. Prior to that, Mr. Sverha served as controller with Benetton Hungary (United Colors of Benetton). Prior to joining Benetton, Mr. Sverha held junior finance analyst and controller positions with Flex in Hungary. Mr. Sverha holds a Master’s Degree in Agricultural Economics and Management from the Szent Istvan University, Godollo Hungary (SZIU). </w:t>
                      </w:r>
                    </w:p>
                    <w:p>
                      <w:pPr>
                        <w:pStyle w:val="TextBody"/>
                        <w:bidi w:val="0"/>
                        <w:spacing w:before="12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Edward T. Archer </w:t>
                      </w:r>
                      <w:r>
                        <w:rPr>
                          <w:rFonts w:ascii="Arial;Helvetica;sans-serif" w:hAnsi="Arial;Helvetica;sans-serif"/>
                          <w:b w:val="false"/>
                          <w:color w:val="000000"/>
                          <w:sz w:val="20"/>
                        </w:rPr>
                        <w:t xml:space="preserve">has served as our executive vice president, sales &amp; marketing since January 2019. Prior to joining Fabrinet, Mr. Archer was the senior vice president of sales for the Integrated Manufacturing Services Division of Sanmina Corporation from October 2014 to December 2018. He is a thirty-year veteran of the electronics industry, with broad sales and marketing experience in technical services, products and electronic manufacturing services. He began his career in sales leadership roles at Future Electronics, Wyle Electronics and Arrow Electronics, followed by nine years at Altera Corporation (now Intel) as its regional sales director for both FPGA and ASIC products. Mr. Archer earned a bachelor of science degree in industrial technology (technical marketing) from California Polytechnic State University. </w:t>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1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4" descr=""/>
                          <pic:cNvPicPr>
                            <a:picLocks noChangeAspect="1" noChangeArrowheads="1"/>
                          </pic:cNvPicPr>
                        </pic:nvPicPr>
                        <pic:blipFill>
                          <a:blip r:embed="rId13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3" w:name="ny20081940x1_def14a_110-executive_pg2"/>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184" w:name="tEC"/>
      <w:bookmarkEnd w:id="184"/>
      <w:r>
        <w:rPr>
          <w:rFonts w:ascii="Arial;Helvetica;sans-serif" w:hAnsi="Arial;Helvetica;sans-serif"/>
          <w:b/>
          <w:color w:val="578255"/>
          <w:sz w:val="44"/>
        </w:rPr>
        <w:t xml:space="preserve">EXECUTIVE COMPENSATION </w:t>
      </w:r>
    </w:p>
    <w:p>
      <w:pPr>
        <w:pStyle w:val="TextBody"/>
        <w:bidi w:val="0"/>
        <w:spacing w:before="380" w:after="283"/>
        <w:ind w:left="0" w:right="0" w:hanging="0"/>
        <w:jc w:val="left"/>
        <w:rPr>
          <w:rFonts w:ascii="Arial;Helvetica;sans-serif" w:hAnsi="Arial;Helvetica;sans-serif"/>
          <w:b/>
          <w:color w:val="000000"/>
          <w:sz w:val="28"/>
        </w:rPr>
      </w:pPr>
      <w:bookmarkStart w:id="185" w:name="tEC1"/>
      <w:bookmarkEnd w:id="185"/>
      <w:r>
        <w:rPr>
          <w:rFonts w:ascii="Arial;Helvetica;sans-serif" w:hAnsi="Arial;Helvetica;sans-serif"/>
          <w:b/>
          <w:color w:val="000000"/>
          <w:sz w:val="28"/>
        </w:rPr>
        <w:t xml:space="preserve">Compensation Discussion and Analysis </w:t>
      </w:r>
    </w:p>
    <w:p>
      <w:pPr>
        <w:pStyle w:val="TextBody"/>
        <w:bidi w:val="0"/>
        <w:spacing w:before="120" w:after="283"/>
        <w:ind w:left="0" w:right="0" w:hanging="0"/>
        <w:jc w:val="both"/>
        <w:rPr/>
      </w:pPr>
      <w:r>
        <w:rPr>
          <w:rFonts w:ascii="Arial;Helvetica;sans-serif" w:hAnsi="Arial;Helvetica;sans-serif"/>
          <w:color w:val="000000"/>
          <w:sz w:val="20"/>
        </w:rPr>
        <w:t>This section contains a discussion of the material elements of compensation awarded to, earned by or paid to our principal executive officer, principal financial officer, and the other individuals included in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beginning on page </w:t>
      </w:r>
      <w:hyperlink w:anchor="tEC4">
        <w:r>
          <w:rPr>
            <w:rStyle w:val="InternetLink"/>
          </w:rPr>
          <w:t>50</w:t>
        </w:r>
      </w:hyperlink>
      <w:r>
        <w:rPr>
          <w:rFonts w:ascii="Arial;Helvetica;sans-serif" w:hAnsi="Arial;Helvetica;sans-serif"/>
          <w:color w:val="000000"/>
          <w:sz w:val="20"/>
        </w:rPr>
        <w:t>. We refer to these individuals as our “</w:t>
      </w:r>
      <w:r>
        <w:rPr>
          <w:rFonts w:ascii="Arial;Helvetica;sans-serif" w:hAnsi="Arial;Helvetica;sans-serif"/>
          <w:b/>
          <w:color w:val="000000"/>
          <w:sz w:val="20"/>
        </w:rPr>
        <w:t>NEOs</w:t>
      </w:r>
      <w:r>
        <w:rPr>
          <w:rFonts w:ascii="Arial;Helvetica;sans-serif" w:hAnsi="Arial;Helvetica;sans-serif"/>
          <w:color w:val="000000"/>
          <w:sz w:val="20"/>
        </w:rPr>
        <w:t>” or “</w:t>
      </w:r>
      <w:r>
        <w:rPr>
          <w:rFonts w:ascii="Arial;Helvetica;sans-serif" w:hAnsi="Arial;Helvetica;sans-serif"/>
          <w:b/>
          <w:color w:val="000000"/>
          <w:sz w:val="20"/>
        </w:rPr>
        <w:t>Named Officers</w:t>
      </w:r>
      <w:r>
        <w:rPr>
          <w:rFonts w:ascii="Arial;Helvetica;sans-serif" w:hAnsi="Arial;Helvetica;sans-serif"/>
          <w:color w:val="000000"/>
          <w:sz w:val="20"/>
        </w:rPr>
        <w:t xml:space="preserve">” in this proxy statement.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fiscal 2026, our Named Officers were: </w:t>
      </w:r>
    </w:p>
    <w:tbl>
      <w:tblPr>
        <w:tblW w:w="7380" w:type="dxa"/>
        <w:jc w:val="left"/>
        <w:tblInd w:w="0" w:type="dxa"/>
        <w:tblLayout w:type="fixed"/>
        <w:tblCellMar>
          <w:top w:w="0" w:type="dxa"/>
          <w:left w:w="0" w:type="dxa"/>
          <w:bottom w:w="0" w:type="dxa"/>
          <w:right w:w="0" w:type="dxa"/>
        </w:tblCellMar>
      </w:tblPr>
      <w:tblGrid>
        <w:gridCol w:w="185"/>
        <w:gridCol w:w="1565"/>
        <w:gridCol w:w="170"/>
        <w:gridCol w:w="170"/>
        <w:gridCol w:w="5075"/>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7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7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Position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7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Chief Executive Officer (“</w:t>
            </w:r>
            <w:r>
              <w:rPr>
                <w:rFonts w:ascii="Arial;Helvetica;sans-serif" w:hAnsi="Arial;Helvetica;sans-serif"/>
                <w:b/>
                <w:color w:val="000000"/>
                <w:sz w:val="19"/>
              </w:rPr>
              <w:t>CEO</w:t>
            </w:r>
            <w:r>
              <w:rPr>
                <w:rFonts w:ascii="Arial;Helvetica;sans-serif" w:hAnsi="Arial;Helvetica;sans-serif"/>
                <w:color w:val="000000"/>
                <w:sz w:val="19"/>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President and Chief Operating Officer (“</w:t>
            </w:r>
            <w:r>
              <w:rPr>
                <w:rFonts w:ascii="Arial;Helvetica;sans-serif" w:hAnsi="Arial;Helvetica;sans-serif"/>
                <w:b/>
                <w:color w:val="000000"/>
                <w:sz w:val="19"/>
              </w:rPr>
              <w:t>COO</w:t>
            </w:r>
            <w:r>
              <w:rPr>
                <w:rFonts w:ascii="Arial;Helvetica;sans-serif" w:hAnsi="Arial;Helvetica;sans-serif"/>
                <w:color w:val="000000"/>
                <w:sz w:val="19"/>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7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Chief Financial Officer (“</w:t>
            </w:r>
            <w:r>
              <w:rPr>
                <w:rFonts w:ascii="Arial;Helvetica;sans-serif" w:hAnsi="Arial;Helvetica;sans-serif"/>
                <w:b/>
                <w:color w:val="000000"/>
                <w:sz w:val="19"/>
              </w:rPr>
              <w:t>CFO</w:t>
            </w:r>
            <w:r>
              <w:rPr>
                <w:rFonts w:ascii="Arial;Helvetica;sans-serif" w:hAnsi="Arial;Helvetica;sans-serif"/>
                <w:color w:val="000000"/>
                <w:sz w:val="19"/>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Executive Vice President, Sales &amp; Marketing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Shareholder Engagement Following Recent Say-on-Pay Votes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maintaining an active dialogue with our shareholders to understand their priorities and concerns, as we believe that ongoing engagement builds mutual trust and understanding. We have conducted shareholder outreach annually since 2016 and have provided shareholders with an annual say-on-pay advisory vote on the compensation of our Named Officers since 2012. Most recently, in November 2025, we invited our then 25 largest shareholders, representing over 70% of our shares outstanding as of October 31, 2025, to provide feedback on our executive compensation and corporate governance practices by participating in conference calls with the Chairs of our Compensation, Audit, and Nominating &amp; Corporate Governance Committees. Following this outreach and prior to our 2025 annual general meeting of shareholders, the Board committee chairs had discussions with those shareholders that accepted the invitation to the outreach calls, which investors represented approximately 21% of our shares outstanding as of October 31, 2025, including 4 of our 25 then largest shareholders. Shortly thereafter, the Board committee chairs met with one more of our then 25 largest shareholders, representing approximately 6% of our shares outstanding as of October 31, 2025.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continue our practice of shareholder outreach on our executive compensation and governance practices by again soliciting the views of institutional shareholders representing in the aggregate more than 70% of our shares outstanding as of October 31, 2026, including our 25 largest shareholders on that date. We will contact these shareholders after the filing of this proxy statement to invite them to a call before the date of the Annual Meeting.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are very pleased that our shareholders have expressed their continued support of our compensation practices every year since 2016, with approximately 97%, 97%, 96% and 83% of the votes cast at our 2025, 2024, 2023 and 2022 annual general meetings of shareholders, respectively, being voted in favor of our executive compensation as disclosed in our proxy statements for those years.</w:t>
      </w:r>
    </w:p>
    <w:p>
      <w:pPr>
        <w:pStyle w:val="TextBody"/>
        <w:bidi w:val="0"/>
        <w:spacing w:before="295" w:after="283"/>
        <w:jc w:val="center"/>
        <w:rPr>
          <w:color w:val="000000"/>
        </w:rPr>
      </w:pPr>
      <w:r>
        <w:rPr>
          <w:color w:val="000000"/>
        </w:rPr>
        <w:drawing>
          <wp:inline distT="0" distB="0" distL="0" distR="0">
            <wp:extent cx="5343525" cy="1781175"/>
            <wp:effectExtent l="0" t="0" r="0" b="0"/>
            <wp:docPr id="21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5" descr=""/>
                    <pic:cNvPicPr>
                      <a:picLocks noChangeAspect="1" noChangeArrowheads="1"/>
                    </pic:cNvPicPr>
                  </pic:nvPicPr>
                  <pic:blipFill>
                    <a:blip r:embed="rId132"/>
                    <a:stretch>
                      <a:fillRect/>
                    </a:stretch>
                  </pic:blipFill>
                  <pic:spPr bwMode="auto">
                    <a:xfrm>
                      <a:off x="0" y="0"/>
                      <a:ext cx="5343525" cy="1781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1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6" descr=""/>
                          <pic:cNvPicPr>
                            <a:picLocks noChangeAspect="1" noChangeArrowheads="1"/>
                          </pic:cNvPicPr>
                        </pic:nvPicPr>
                        <pic:blipFill>
                          <a:blip r:embed="rId133"/>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6" w:name="ny20081940x1_def14a_110-executive_pg3"/>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2026 Compensation Decisions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light of the results of our recent say-on-pay votes and the feedback received from shareholders, the Compensation Committee maintained a similar overall design and continued to enhance the link between executive pay and longer-term company performance when it approved in August 2025 our executive compensation program for fiscal 2026, as summarized below. </w:t>
      </w:r>
    </w:p>
    <w:tbl>
      <w:tblPr>
        <w:tblW w:w="10145" w:type="dxa"/>
        <w:jc w:val="left"/>
        <w:tblInd w:w="60" w:type="dxa"/>
        <w:tblLayout w:type="fixed"/>
        <w:tblCellMar>
          <w:top w:w="0" w:type="dxa"/>
          <w:left w:w="0" w:type="dxa"/>
          <w:bottom w:w="0" w:type="dxa"/>
          <w:right w:w="0" w:type="dxa"/>
        </w:tblCellMar>
      </w:tblPr>
      <w:tblGrid>
        <w:gridCol w:w="185"/>
        <w:gridCol w:w="1585"/>
        <w:gridCol w:w="170"/>
        <w:gridCol w:w="170"/>
        <w:gridCol w:w="3319"/>
        <w:gridCol w:w="170"/>
        <w:gridCol w:w="170"/>
        <w:gridCol w:w="4159"/>
        <w:gridCol w:w="217"/>
      </w:tblGrid>
      <w:tr>
        <w:trPr/>
        <w:tc>
          <w:tcPr>
            <w:tcW w:w="185" w:type="dxa"/>
            <w:tcBorders/>
            <w:shd w:fill="819F7C" w:val="clear"/>
            <w:vAlign w:val="center"/>
          </w:tcPr>
          <w:p>
            <w:pPr>
              <w:pStyle w:val="TableContents"/>
              <w:bidi w:val="0"/>
              <w:spacing w:before="0" w:after="0"/>
              <w:jc w:val="left"/>
              <w:rPr/>
            </w:pPr>
            <w:r>
              <w:rPr/>
              <w:t> </w:t>
            </w:r>
          </w:p>
        </w:tc>
        <w:tc>
          <w:tcPr>
            <w:tcW w:w="158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31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59"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8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Compensation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319"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Decision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59"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Weighting of Performance Measures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Base salary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319"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1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7" descr=""/>
                          <pic:cNvPicPr>
                            <a:picLocks noChangeAspect="1" noChangeArrowheads="1"/>
                          </pic:cNvPicPr>
                        </pic:nvPicPr>
                        <pic:blipFill>
                          <a:blip r:embed="rId134"/>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CEO’s annual base salary increased by 2.2%, as compared to fiscal 2025</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1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8" descr=""/>
                          <pic:cNvPicPr>
                            <a:picLocks noChangeAspect="1" noChangeArrowheads="1"/>
                          </pic:cNvPicPr>
                        </pic:nvPicPr>
                        <pic:blipFill>
                          <a:blip r:embed="rId13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Other NEO annual base salaries increased by between 2.3% and 5.6%, as compared to fiscal 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5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N/A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Short-term cash incentive</w:t>
            </w:r>
          </w:p>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(Fiscal 2026 Bonus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19" w:type="dxa"/>
            <w:tcBorders/>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1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9" descr=""/>
                          <pic:cNvPicPr>
                            <a:picLocks noChangeAspect="1" noChangeArrowheads="1"/>
                          </pic:cNvPicPr>
                        </pic:nvPicPr>
                        <pic:blipFill>
                          <a:blip r:embed="rId136"/>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CEO’s target cash bonus opportunity was 140% of annual base salary, unchanged from fiscal 2025</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00" descr=""/>
                          <pic:cNvPicPr>
                            <a:picLocks noChangeAspect="1" noChangeArrowheads="1"/>
                          </pic:cNvPicPr>
                        </pic:nvPicPr>
                        <pic:blipFill>
                          <a:blip r:embed="rId13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Other NEO target cash bonus opportunities were 85%-130% of annual base salaries, unchanged from fiscal 2025</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01" descr=""/>
                          <pic:cNvPicPr>
                            <a:picLocks noChangeAspect="1" noChangeArrowheads="1"/>
                          </pic:cNvPicPr>
                        </pic:nvPicPr>
                        <pic:blipFill>
                          <a:blip r:embed="rId13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Maximum cash bonus opportunity for exceeding the target performance criteria remained at 120% of each NEO’s target bonus opportunity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9" w:type="dxa"/>
            <w:tcBorders/>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2" descr=""/>
                          <pic:cNvPicPr>
                            <a:picLocks noChangeAspect="1" noChangeArrowheads="1"/>
                          </pic:cNvPicPr>
                        </pic:nvPicPr>
                        <pic:blipFill>
                          <a:blip r:embed="rId13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Bonuses were payable after the end of fiscal 2026 as follows:</w:t>
            </w:r>
          </w:p>
          <w:p>
            <w:pPr>
              <w:pStyle w:val="TableContents"/>
              <w:bidi w:val="0"/>
              <w:spacing w:before="0" w:after="283"/>
              <w:ind w:left="299"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 xml:space="preserve">50% based on achievement of a fiscal 2026 revenue metric </w:t>
            </w:r>
          </w:p>
          <w:p>
            <w:pPr>
              <w:pStyle w:val="TableContents"/>
              <w:bidi w:val="0"/>
              <w:spacing w:before="0" w:after="283"/>
              <w:ind w:left="494" w:right="0" w:hanging="0"/>
              <w:jc w:val="left"/>
              <w:rPr>
                <w:color w:val="000000"/>
              </w:rPr>
            </w:pPr>
            <w:r>
              <w:rPr>
                <w:color w:val="000000"/>
              </w:rPr>
              <w:t>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50% based on achievement of a fiscal 2026 non-GAAP operating margin metric</w:t>
            </w:r>
          </w:p>
          <w:p>
            <w:pPr>
              <w:pStyle w:val="TableContents"/>
              <w:bidi w:val="0"/>
              <w:spacing w:before="0" w:after="283"/>
              <w:ind w:left="494"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03" descr=""/>
                          <pic:cNvPicPr>
                            <a:picLocks noChangeAspect="1" noChangeArrowheads="1"/>
                          </pic:cNvPicPr>
                        </pic:nvPicPr>
                        <pic:blipFill>
                          <a:blip r:embed="rId140"/>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Minimum performance threshold for each metric was 90% of the target for such metric</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4" descr=""/>
                          <pic:cNvPicPr>
                            <a:picLocks noChangeAspect="1" noChangeArrowheads="1"/>
                          </pic:cNvPicPr>
                        </pic:nvPicPr>
                        <pic:blipFill>
                          <a:blip r:embed="rId141"/>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Maximum bonus opportunity was 120% of target bonus opportunity</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05" descr=""/>
                          <pic:cNvPicPr>
                            <a:picLocks noChangeAspect="1" noChangeArrowheads="1"/>
                          </pic:cNvPicPr>
                        </pic:nvPicPr>
                        <pic:blipFill>
                          <a:blip r:embed="rId142"/>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Achievement of a metric at a level between 90% and 100% of the applicable target metric would result in a payout scaled linearly from 20% to 100% of the target bonus opportunity</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6" descr=""/>
                          <pic:cNvPicPr>
                            <a:picLocks noChangeAspect="1" noChangeArrowheads="1"/>
                          </pic:cNvPicPr>
                        </pic:nvPicPr>
                        <pic:blipFill>
                          <a:blip r:embed="rId14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Achievement of a metric at a level between 100% and 105% of the applicable target metric would result in a payout scaled linearly from 100% to 120% of the target bonus opportunity</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07" descr=""/>
                          <pic:cNvPicPr>
                            <a:picLocks noChangeAspect="1" noChangeArrowheads="1"/>
                          </pic:cNvPicPr>
                        </pic:nvPicPr>
                        <pic:blipFill>
                          <a:blip r:embed="rId14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individual performance component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8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Long-term equity incentive</w:t>
            </w:r>
          </w:p>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(PSUs and RSUs)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319"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2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8" descr=""/>
                          <pic:cNvPicPr>
                            <a:picLocks noChangeAspect="1" noChangeArrowheads="1"/>
                          </pic:cNvPicPr>
                        </pic:nvPicPr>
                        <pic:blipFill>
                          <a:blip r:embed="rId145"/>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PSUs have challenging two-year cumulative performance and “stretch” performance goals</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2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09" descr=""/>
                          <pic:cNvPicPr>
                            <a:picLocks noChangeAspect="1" noChangeArrowheads="1"/>
                          </pic:cNvPicPr>
                        </pic:nvPicPr>
                        <pic:blipFill>
                          <a:blip r:embed="rId146"/>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RSUs vest annually over three years</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3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10" descr=""/>
                          <pic:cNvPicPr>
                            <a:picLocks noChangeAspect="1" noChangeArrowheads="1"/>
                          </pic:cNvPicPr>
                        </pic:nvPicPr>
                        <pic:blipFill>
                          <a:blip r:embed="rId14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Equity grants for all NEOs weighted </w:t>
              <w:br/>
              <w:t xml:space="preserve">heavily toward performance: </w:t>
              <w:br/>
            </w:r>
            <w:r>
              <w:rPr>
                <w:rFonts w:ascii="Arial;Helvetica;sans-serif" w:hAnsi="Arial;Helvetica;sans-serif"/>
                <w:b/>
                <w:color w:val="000000"/>
                <w:sz w:val="19"/>
              </w:rPr>
              <w:t>67% PSUs</w:t>
            </w:r>
            <w:r>
              <w:rPr>
                <w:rFonts w:ascii="Arial;Helvetica;sans-serif" w:hAnsi="Arial;Helvetica;sans-serif"/>
                <w:color w:val="000000"/>
                <w:sz w:val="19"/>
              </w:rPr>
              <w:t xml:space="preserve"> and </w:t>
            </w:r>
            <w:r>
              <w:rPr>
                <w:rFonts w:ascii="Arial;Helvetica;sans-serif" w:hAnsi="Arial;Helvetica;sans-serif"/>
                <w:b/>
                <w:color w:val="000000"/>
                <w:sz w:val="19"/>
              </w:rPr>
              <w:t>33% RSUs</w:t>
            </w:r>
            <w:r>
              <w:rPr>
                <w:rFonts w:ascii="Arial;Helvetica;sans-serif" w:hAnsi="Arial;Helvetica;sans-serif"/>
                <w:color w:val="000000"/>
                <w:sz w:val="19"/>
              </w:rPr>
              <w:t xml:space="preserv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59" w:type="dxa"/>
            <w:tcBorders/>
            <w:shd w:fill="E5E9E3" w:val="clear"/>
            <w:vAlign w:val="center"/>
          </w:tcPr>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3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11" descr=""/>
                          <pic:cNvPicPr>
                            <a:picLocks noChangeAspect="1" noChangeArrowheads="1"/>
                          </pic:cNvPicPr>
                        </pic:nvPicPr>
                        <pic:blipFill>
                          <a:blip r:embed="rId148"/>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The number of PSUs earned and eligible to vest will be determined after a two-year performance period as follows:</w:t>
            </w:r>
          </w:p>
          <w:p>
            <w:pPr>
              <w:pStyle w:val="TableContents"/>
              <w:bidi w:val="0"/>
              <w:spacing w:before="0" w:after="283"/>
              <w:ind w:left="299"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50% based on achievement of cumulative fiscal 2026 and fiscal 2027 revenue goals</w:t>
            </w:r>
          </w:p>
          <w:p>
            <w:pPr>
              <w:pStyle w:val="TableContents"/>
              <w:bidi w:val="0"/>
              <w:spacing w:before="0" w:after="283"/>
              <w:ind w:left="494"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t>  </w:t>
            </w:r>
            <w:r>
              <w:rPr>
                <w:color w:val="578255"/>
              </w:rPr>
              <w:t>•</w:t>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50% based on achievement of cumulative fiscal 2026 and fiscal 2027 non-GAAP operating margin goals</w:t>
            </w:r>
          </w:p>
          <w:p>
            <w:pPr>
              <w:pStyle w:val="TableContents"/>
              <w:bidi w:val="0"/>
              <w:spacing w:before="0" w:after="283"/>
              <w:ind w:left="494" w:right="0" w:hanging="0"/>
              <w:jc w:val="left"/>
              <w:rPr>
                <w:color w:val="000000"/>
              </w:rPr>
            </w:pPr>
            <w:r>
              <w:rPr>
                <w:color w:val="000000"/>
              </w:rPr>
              <w:t xml:space="preserve">  </w:t>
            </w:r>
          </w:p>
          <w:p>
            <w:pPr>
              <w:pStyle w:val="TableContents"/>
              <w:bidi w:val="0"/>
              <w:spacing w:before="0" w:after="283"/>
              <w:ind w:left="0" w:right="0" w:hanging="0"/>
              <w:jc w:val="both"/>
              <w:rPr>
                <w:color w:val="000000"/>
              </w:rPr>
            </w:pPr>
            <w:r>
              <w:rPr>
                <w:color w:val="000000"/>
              </w:rPr>
              <w:drawing>
                <wp:inline distT="0" distB="0" distL="0" distR="0">
                  <wp:extent cx="104775" cy="104775"/>
                  <wp:effectExtent l="0" t="0" r="0" b="0"/>
                  <wp:docPr id="23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2" descr=""/>
                          <pic:cNvPicPr>
                            <a:picLocks noChangeAspect="1" noChangeArrowheads="1"/>
                          </pic:cNvPicPr>
                        </pic:nvPicPr>
                        <pic:blipFill>
                          <a:blip r:embed="rId14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both"/>
              <w:rPr>
                <w:rFonts w:ascii="Arial;Helvetica;sans-serif" w:hAnsi="Arial;Helvetica;sans-serif"/>
                <w:color w:val="000000"/>
                <w:sz w:val="19"/>
              </w:rPr>
            </w:pPr>
            <w:r>
              <w:rPr>
                <w:rFonts w:ascii="Arial;Helvetica;sans-serif" w:hAnsi="Arial;Helvetica;sans-serif"/>
                <w:color w:val="000000"/>
                <w:sz w:val="19"/>
              </w:rPr>
              <w:t>Any earned PSUs will vest in full on the date the Compensation Committee certifies achievement of the performance criteria</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8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31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59"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3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13" descr=""/>
                          <pic:cNvPicPr>
                            <a:picLocks noChangeAspect="1" noChangeArrowheads="1"/>
                          </pic:cNvPicPr>
                        </pic:nvPicPr>
                        <pic:blipFill>
                          <a:blip r:embed="rId150"/>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39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7" w:name="ny20081940x1_def14a_110-executive_pg4"/>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Positive Compensation Practices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Executive Compensation Program Objectives and Overview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24200" cy="3128010"/>
                <wp:effectExtent l="0" t="0" r="0" b="0"/>
                <wp:wrapSquare wrapText="right"/>
                <wp:docPr id="234" name="Frame85"/>
                <a:graphic xmlns:a="http://schemas.openxmlformats.org/drawingml/2006/main">
                  <a:graphicData uri="http://schemas.microsoft.com/office/word/2010/wordprocessingShape">
                    <wps:wsp>
                      <wps:cNvSpPr txBox="1"/>
                      <wps:spPr>
                        <a:xfrm>
                          <a:off x="0" y="0"/>
                          <a:ext cx="3124200" cy="312801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monitor trends and developments in compensation practices to enhance the effectiveness of our compensation philosophy and have adopted the following: </w:t>
                            </w:r>
                          </w:p>
                          <w:tbl>
                            <w:tblPr>
                              <w:tblW w:w="8035" w:type="dxa"/>
                              <w:jc w:val="left"/>
                              <w:tblInd w:w="6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578255"/>
                                    </w:rPr>
                                  </w:pPr>
                                  <w:r>
                                    <w:rPr>
                                      <w:color w:val="578255"/>
                                    </w:rPr>
                                    <w:t>•</w:t>
                                  </w:r>
                                </w:p>
                              </w:tc>
                              <w:tc>
                                <w:tcPr>
                                  <w:tcW w:w="78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executive officers’ cash and equity incentive compensation is subject to a claw back;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have a practice of granting long-term equity to our executive officers that is based, in part, on Fabrinet achieving financial performance goals over a two-year performance period; </w:t>
                                  </w:r>
                                </w:p>
                              </w:tc>
                            </w:tr>
                          </w:tbl>
                          <w:tbl>
                            <w:tblPr>
                              <w:tblW w:w="7180" w:type="dxa"/>
                              <w:jc w:val="left"/>
                              <w:tblInd w:w="6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578255"/>
                                    </w:rPr>
                                  </w:pPr>
                                  <w:r>
                                    <w:rPr>
                                      <w:color w:val="578255"/>
                                    </w:rPr>
                                    <w:t>•</w:t>
                                  </w:r>
                                </w:p>
                              </w:tc>
                              <w:tc>
                                <w:tcPr>
                                  <w:tcW w:w="70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maintain share ownership guidelines for our executive officers and directors;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employees (including our executive officers) and directors are prohibited from margining, short-selling or pledging our securities, or trading in derivative securities; </w:t>
                                  </w:r>
                                </w:p>
                              </w:tc>
                            </w:tr>
                          </w:tbl>
                          <w:tbl>
                            <w:tblPr>
                              <w:tblW w:w="7015" w:type="dxa"/>
                              <w:jc w:val="left"/>
                              <w:tblInd w:w="6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578255"/>
                                    </w:rPr>
                                  </w:pPr>
                                  <w:r>
                                    <w:rPr>
                                      <w:color w:val="578255"/>
                                    </w:rPr>
                                    <w:t>•</w:t>
                                  </w:r>
                                </w:p>
                              </w:tc>
                              <w:tc>
                                <w:tcPr>
                                  <w:tcW w:w="68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hold an annual shareholder advisory vote on executive compensation; and </w:t>
                                  </w:r>
                                </w:p>
                              </w:tc>
                            </w:tr>
                          </w:tbl>
                          <w:tbl>
                            <w:tblPr>
                              <w:tblW w:w="7240" w:type="dxa"/>
                              <w:jc w:val="left"/>
                              <w:tblInd w:w="6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578255"/>
                                    </w:rPr>
                                  </w:pPr>
                                  <w:r>
                                    <w:rPr>
                                      <w:color w:val="578255"/>
                                    </w:rPr>
                                    <w:t>•</w:t>
                                  </w:r>
                                </w:p>
                              </w:tc>
                              <w:tc>
                                <w:tcPr>
                                  <w:tcW w:w="7100"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our 2020 Equity Incentive Plan (the “</w:t>
                                  </w:r>
                                  <w:r>
                                    <w:rPr>
                                      <w:rFonts w:ascii="Arial;Helvetica;sans-serif" w:hAnsi="Arial;Helvetica;sans-serif"/>
                                      <w:b/>
                                      <w:color w:val="000000"/>
                                      <w:sz w:val="20"/>
                                    </w:rPr>
                                    <w:t>2020 Plan</w:t>
                                  </w:r>
                                  <w:r>
                                    <w:rPr>
                                      <w:rFonts w:ascii="Arial;Helvetica;sans-serif" w:hAnsi="Arial;Helvetica;sans-serif"/>
                                      <w:color w:val="000000"/>
                                      <w:sz w:val="20"/>
                                    </w:rPr>
                                    <w:t xml:space="preserve">”) contains the following features: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instituting any program to reprice or exchange equity awards for awards with a lower exercise price without shareholder approval; </w:t>
                                  </w:r>
                                </w:p>
                              </w:tc>
                            </w:tr>
                          </w:tbl>
                          <w:tbl>
                            <w:tblPr>
                              <w:tblW w:w="9130" w:type="dxa"/>
                              <w:jc w:val="left"/>
                              <w:tblInd w:w="6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9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“recycling” shares, which means that any shares subject to a grant are counted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24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monitor trends and developments in compensation practices to enhance the effectiveness of our compensation philosophy and have adopted the following: </w:t>
                      </w:r>
                    </w:p>
                    <w:tbl>
                      <w:tblPr>
                        <w:tblW w:w="8035" w:type="dxa"/>
                        <w:jc w:val="left"/>
                        <w:tblInd w:w="6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578255"/>
                              </w:rPr>
                            </w:pPr>
                            <w:r>
                              <w:rPr>
                                <w:color w:val="578255"/>
                              </w:rPr>
                              <w:t>•</w:t>
                            </w:r>
                          </w:p>
                        </w:tc>
                        <w:tc>
                          <w:tcPr>
                            <w:tcW w:w="78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executive officers’ cash and equity incentive compensation is subject to a claw back;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have a practice of granting long-term equity to our executive officers that is based, in part, on Fabrinet achieving financial performance goals over a two-year performance period; </w:t>
                            </w:r>
                          </w:p>
                        </w:tc>
                      </w:tr>
                    </w:tbl>
                    <w:tbl>
                      <w:tblPr>
                        <w:tblW w:w="7180" w:type="dxa"/>
                        <w:jc w:val="left"/>
                        <w:tblInd w:w="6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578255"/>
                              </w:rPr>
                            </w:pPr>
                            <w:r>
                              <w:rPr>
                                <w:color w:val="578255"/>
                              </w:rPr>
                              <w:t>•</w:t>
                            </w:r>
                          </w:p>
                        </w:tc>
                        <w:tc>
                          <w:tcPr>
                            <w:tcW w:w="70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maintain share ownership guidelines for our executive officers and directors;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employees (including our executive officers) and directors are prohibited from margining, short-selling or pledging our securities, or trading in derivative securities; </w:t>
                            </w:r>
                          </w:p>
                        </w:tc>
                      </w:tr>
                    </w:tbl>
                    <w:tbl>
                      <w:tblPr>
                        <w:tblW w:w="7015" w:type="dxa"/>
                        <w:jc w:val="left"/>
                        <w:tblInd w:w="6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578255"/>
                              </w:rPr>
                            </w:pPr>
                            <w:r>
                              <w:rPr>
                                <w:color w:val="578255"/>
                              </w:rPr>
                              <w:t>•</w:t>
                            </w:r>
                          </w:p>
                        </w:tc>
                        <w:tc>
                          <w:tcPr>
                            <w:tcW w:w="68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hold an annual shareholder advisory vote on executive compensation; and </w:t>
                            </w:r>
                          </w:p>
                        </w:tc>
                      </w:tr>
                    </w:tbl>
                    <w:tbl>
                      <w:tblPr>
                        <w:tblW w:w="7240" w:type="dxa"/>
                        <w:jc w:val="left"/>
                        <w:tblInd w:w="6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578255"/>
                              </w:rPr>
                            </w:pPr>
                            <w:r>
                              <w:rPr>
                                <w:color w:val="578255"/>
                              </w:rPr>
                              <w:t>•</w:t>
                            </w:r>
                          </w:p>
                        </w:tc>
                        <w:tc>
                          <w:tcPr>
                            <w:tcW w:w="7100"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our 2020 Equity Incentive Plan (the “</w:t>
                            </w:r>
                            <w:r>
                              <w:rPr>
                                <w:rFonts w:ascii="Arial;Helvetica;sans-serif" w:hAnsi="Arial;Helvetica;sans-serif"/>
                                <w:b/>
                                <w:color w:val="000000"/>
                                <w:sz w:val="20"/>
                              </w:rPr>
                              <w:t>2020 Plan</w:t>
                            </w:r>
                            <w:r>
                              <w:rPr>
                                <w:rFonts w:ascii="Arial;Helvetica;sans-serif" w:hAnsi="Arial;Helvetica;sans-serif"/>
                                <w:color w:val="000000"/>
                                <w:sz w:val="20"/>
                              </w:rPr>
                              <w:t xml:space="preserve">”) contains the following features: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instituting any program to reprice or exchange equity awards for awards with a lower exercise price without shareholder approval; </w:t>
                            </w:r>
                          </w:p>
                        </w:tc>
                      </w:tr>
                    </w:tbl>
                    <w:tbl>
                      <w:tblPr>
                        <w:tblW w:w="9130" w:type="dxa"/>
                        <w:jc w:val="left"/>
                        <w:tblInd w:w="6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99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“recycling” shares, which means that any shares subject to a grant are counted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90">
                <wp:simplePos x="0" y="0"/>
                <wp:positionH relativeFrom="column">
                  <wp:align>left</wp:align>
                </wp:positionH>
                <wp:positionV relativeFrom="line">
                  <wp:posOffset>635</wp:posOffset>
                </wp:positionV>
                <wp:extent cx="3124200" cy="2485390"/>
                <wp:effectExtent l="0" t="0" r="0" b="0"/>
                <wp:wrapSquare wrapText="right"/>
                <wp:docPr id="235" name="Frame86"/>
                <a:graphic xmlns:a="http://schemas.openxmlformats.org/drawingml/2006/main">
                  <a:graphicData uri="http://schemas.microsoft.com/office/word/2010/wordprocessingShape">
                    <wps:wsp>
                      <wps:cNvSpPr txBox="1"/>
                      <wps:spPr>
                        <a:xfrm>
                          <a:off x="0" y="0"/>
                          <a:ext cx="3124200" cy="2485390"/>
                        </a:xfrm>
                        <a:prstGeom prst="rect"/>
                        <a:solidFill>
                          <a:srgbClr val="FFFFFF"/>
                        </a:solidFill>
                      </wps:spPr>
                      <wps:txbx>
                        <w:txbxContent>
                          <w:p>
                            <w:pPr>
                              <w:pStyle w:val="TextBody"/>
                              <w:bidi w:val="0"/>
                              <w:spacing w:before="135" w:after="283"/>
                              <w:ind w:left="460" w:right="0" w:hanging="0"/>
                              <w:jc w:val="both"/>
                              <w:rPr>
                                <w:rFonts w:ascii="Arial;Helvetica;sans-serif" w:hAnsi="Arial;Helvetica;sans-serif"/>
                                <w:color w:val="000000"/>
                                <w:sz w:val="20"/>
                              </w:rPr>
                            </w:pPr>
                            <w:r>
                              <w:rPr>
                                <w:rFonts w:ascii="Arial;Helvetica;sans-serif" w:hAnsi="Arial;Helvetica;sans-serif"/>
                                <w:color w:val="000000"/>
                                <w:sz w:val="20"/>
                              </w:rPr>
                              <w:t xml:space="preserve">against the share limit in the plan and may not subsequently be re-granted, even if the shares are forfeited, expired or exchanged;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all awards under the plan are subject to the participant’s continued employment or other service with us and vest over a four-year period, unless otherwise set forth in the award agreement; </w:t>
                                  </w:r>
                                </w:p>
                              </w:tc>
                            </w:tr>
                          </w:tbl>
                          <w:tbl>
                            <w:tblPr>
                              <w:tblW w:w="8905" w:type="dxa"/>
                              <w:jc w:val="left"/>
                              <w:tblInd w:w="6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7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paying dividends with respect to an award prior to the vesting of such award;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granting awards that may vest or become exercisable earlier than one year after such award is granted, except that awards up to a maximum of five percent (5%) of the total shares reserved and available for grant and issuance under the plan may be granted without regard to such minimum one-year vesting requirements;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accelerating the vesting of an award before the one-year anniversary of the award’s grant date, except in connection with death, disability, termination of employment, reaching retirement age or an event that triggers the plan’s provisions relating to assumption and termination of awards.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95.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460" w:right="0" w:hanging="0"/>
                        <w:jc w:val="both"/>
                        <w:rPr>
                          <w:rFonts w:ascii="Arial;Helvetica;sans-serif" w:hAnsi="Arial;Helvetica;sans-serif"/>
                          <w:color w:val="000000"/>
                          <w:sz w:val="20"/>
                        </w:rPr>
                      </w:pPr>
                      <w:r>
                        <w:rPr>
                          <w:rFonts w:ascii="Arial;Helvetica;sans-serif" w:hAnsi="Arial;Helvetica;sans-serif"/>
                          <w:color w:val="000000"/>
                          <w:sz w:val="20"/>
                        </w:rPr>
                        <w:t xml:space="preserve">against the share limit in the plan and may not subsequently be re-granted, even if the shares are forfeited, expired or exchanged;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all awards under the plan are subject to the participant’s continued employment or other service with us and vest over a four-year period, unless otherwise set forth in the award agreement; </w:t>
                            </w:r>
                          </w:p>
                        </w:tc>
                      </w:tr>
                    </w:tbl>
                    <w:tbl>
                      <w:tblPr>
                        <w:tblW w:w="8905" w:type="dxa"/>
                        <w:jc w:val="left"/>
                        <w:tblInd w:w="6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87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paying dividends with respect to an award prior to the vesting of such award;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granting awards that may vest or become exercisable earlier than one year after such award is granted, except that awards up to a maximum of five percent (5%) of the total shares reserved and available for grant and issuance under the plan may be granted without regard to such minimum one-year vesting requirements;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rFonts w:ascii="Arial;Helvetica;sans-serif" w:hAnsi="Arial;Helvetica;sans-serif"/>
                                <w:color w:val="578255"/>
                                <w:sz w:val="24"/>
                              </w:rPr>
                            </w:pPr>
                            <w:r>
                              <w:rPr>
                                <w:rFonts w:ascii="Arial;Helvetica;sans-serif" w:hAnsi="Arial;Helvetica;sans-serif"/>
                                <w:color w:val="578255"/>
                                <w:sz w:val="24"/>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are prohibited from accelerating the vesting of an award before the one-year anniversary of the award’s grant date, except in connection with death, disability, termination of employment, reaching retirement age or an event that triggers the plan’s provisions relating to assumption and termination of awards. </w:t>
                            </w:r>
                          </w:p>
                        </w:tc>
                      </w:tr>
                    </w:tbl>
                    <w:p>
                      <w:pPr>
                        <w:pStyle w:val="TextBody"/>
                        <w:bidi w:val="0"/>
                        <w:spacing w:before="0" w:after="283"/>
                        <w:ind w:left="60" w:right="0" w:hanging="0"/>
                        <w:jc w:val="left"/>
                        <w:rPr/>
                      </w:pPr>
                      <w:r>
                        <w:rPr/>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124200" cy="2339340"/>
                <wp:effectExtent l="0" t="0" r="0" b="0"/>
                <wp:wrapSquare wrapText="right"/>
                <wp:docPr id="236" name="Frame87"/>
                <a:graphic xmlns:a="http://schemas.openxmlformats.org/drawingml/2006/main">
                  <a:graphicData uri="http://schemas.microsoft.com/office/word/2010/wordprocessingShape">
                    <wps:wsp>
                      <wps:cNvSpPr txBox="1"/>
                      <wps:spPr>
                        <a:xfrm>
                          <a:off x="0" y="0"/>
                          <a:ext cx="3124200" cy="23393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programs are intended to achieve three fundamental objectives: (1) attract, retain and motivate qualified executives; (2) hold executives accountable for short-term and long-term performance; and (3) align executives’ interests with the interests of our shareholders. In structuring and designing our executive compensation programs, we are guided by the following basic philosophies: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Competition</w:t>
                                  </w:r>
                                  <w:r>
                                    <w:rPr>
                                      <w:rFonts w:ascii="Arial;Helvetica;sans-serif" w:hAnsi="Arial;Helvetica;sans-serif"/>
                                      <w:color w:val="000000"/>
                                      <w:sz w:val="20"/>
                                    </w:rPr>
                                    <w:t xml:space="preserve">. We should provide competitive compensation opportunities with respect to our industry so we can attract, retain and motivate qualified executives.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Alignment with Shareholder Interests</w:t>
                                  </w:r>
                                  <w:r>
                                    <w:rPr>
                                      <w:rFonts w:ascii="Arial;Helvetica;sans-serif" w:hAnsi="Arial;Helvetica;sans-serif"/>
                                      <w:color w:val="000000"/>
                                      <w:sz w:val="20"/>
                                    </w:rPr>
                                    <w:t xml:space="preserve">. A substantial portion of compensation should be contingent on our performance for our shareholders, to align the interests of executives with the interests of our shareholders and to hold the executives accountable for our performance.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184.2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programs are intended to achieve three fundamental objectives: (1) attract, retain and motivate qualified executives; (2) hold executives accountable for short-term and long-term performance; and (3) align executives’ interests with the interests of our shareholders. In structuring and designing our executive compensation programs, we are guided by the following basic philosophies: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Competition</w:t>
                            </w:r>
                            <w:r>
                              <w:rPr>
                                <w:rFonts w:ascii="Arial;Helvetica;sans-serif" w:hAnsi="Arial;Helvetica;sans-serif"/>
                                <w:color w:val="000000"/>
                                <w:sz w:val="20"/>
                              </w:rPr>
                              <w:t xml:space="preserve">. We should provide competitive compensation opportunities with respect to our industry so we can attract, retain and motivate qualified executives.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i/>
                                <w:color w:val="000000"/>
                                <w:sz w:val="20"/>
                              </w:rPr>
                              <w:t>Alignment with Shareholder Interests</w:t>
                            </w:r>
                            <w:r>
                              <w:rPr>
                                <w:rFonts w:ascii="Arial;Helvetica;sans-serif" w:hAnsi="Arial;Helvetica;sans-serif"/>
                                <w:color w:val="000000"/>
                                <w:sz w:val="20"/>
                              </w:rPr>
                              <w:t xml:space="preserve">. A substantial portion of compensation should be contingent on our performance for our shareholders, to align the interests of executives with the interests of our shareholders and to hold the executives accountable for our performance.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92">
                <wp:simplePos x="0" y="0"/>
                <wp:positionH relativeFrom="column">
                  <wp:align>left</wp:align>
                </wp:positionH>
                <wp:positionV relativeFrom="line">
                  <wp:posOffset>635</wp:posOffset>
                </wp:positionV>
                <wp:extent cx="3124200" cy="2422525"/>
                <wp:effectExtent l="0" t="0" r="0" b="0"/>
                <wp:wrapSquare wrapText="right"/>
                <wp:docPr id="237" name="Frame88"/>
                <a:graphic xmlns:a="http://schemas.openxmlformats.org/drawingml/2006/main">
                  <a:graphicData uri="http://schemas.microsoft.com/office/word/2010/wordprocessingShape">
                    <wps:wsp>
                      <wps:cNvSpPr txBox="1"/>
                      <wps:spPr>
                        <a:xfrm>
                          <a:off x="0" y="0"/>
                          <a:ext cx="3124200" cy="24225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 We believe each element of our executive compensation program helps us to achieve one or more of our compensation objectives. Taken together, the compensation elements are intended to provide a total compensation package for each Named Officer that is competitive. </w:t>
                            </w:r>
                          </w:p>
                        </w:txbxContent>
                      </wps:txbx>
                      <wps:bodyPr anchor="t" lIns="0" tIns="0" rIns="0" bIns="0">
                        <a:noAutofit/>
                      </wps:bodyPr>
                    </wps:wsp>
                  </a:graphicData>
                </a:graphic>
              </wp:anchor>
            </w:drawing>
          </mc:Choice>
          <mc:Fallback>
            <w:pict>
              <v:rect style="position:absolute;rotation:-0;width:246pt;height:190.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 We believe each element of our executive compensation program helps us to achieve one or more of our compensation objectives. Taken together, the compensation elements are intended to provide a total compensation package for each Named Officer that is competitive.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3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14" descr=""/>
                          <pic:cNvPicPr>
                            <a:picLocks noChangeAspect="1" noChangeArrowheads="1"/>
                          </pic:cNvPicPr>
                        </pic:nvPicPr>
                        <pic:blipFill>
                          <a:blip r:embed="rId151"/>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8" w:name="ny20081940x1_def14a_110-executive_pg5"/>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lists each material element of our executive compensation program and the compensation objective or objectives it is designed to achieve. </w:t>
      </w:r>
    </w:p>
    <w:tbl>
      <w:tblPr>
        <w:tblW w:w="10145" w:type="dxa"/>
        <w:jc w:val="left"/>
        <w:tblInd w:w="60" w:type="dxa"/>
        <w:tblLayout w:type="fixed"/>
        <w:tblCellMar>
          <w:top w:w="0" w:type="dxa"/>
          <w:left w:w="0" w:type="dxa"/>
          <w:bottom w:w="0" w:type="dxa"/>
          <w:right w:w="0" w:type="dxa"/>
        </w:tblCellMar>
      </w:tblPr>
      <w:tblGrid>
        <w:gridCol w:w="185"/>
        <w:gridCol w:w="4959"/>
        <w:gridCol w:w="170"/>
        <w:gridCol w:w="170"/>
        <w:gridCol w:w="4445"/>
        <w:gridCol w:w="216"/>
      </w:tblGrid>
      <w:tr>
        <w:trPr/>
        <w:tc>
          <w:tcPr>
            <w:tcW w:w="185" w:type="dxa"/>
            <w:tcBorders/>
            <w:shd w:fill="819F7C" w:val="clear"/>
            <w:vAlign w:val="center"/>
          </w:tcPr>
          <w:p>
            <w:pPr>
              <w:pStyle w:val="TableContents"/>
              <w:bidi w:val="0"/>
              <w:spacing w:before="0" w:after="0"/>
              <w:jc w:val="left"/>
              <w:rPr/>
            </w:pPr>
            <w:r>
              <w:rPr/>
              <w:t> </w:t>
            </w:r>
          </w:p>
        </w:tc>
        <w:tc>
          <w:tcPr>
            <w:tcW w:w="495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45"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959"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Compensation Element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445"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9"/>
              </w:rPr>
            </w:pPr>
            <w:r>
              <w:rPr>
                <w:rFonts w:ascii="Arial;Helvetica;sans-serif" w:hAnsi="Arial;Helvetica;sans-serif"/>
                <w:b/>
                <w:color w:val="FFFFFF"/>
                <w:sz w:val="19"/>
              </w:rPr>
              <w:t xml:space="preserve">Compensation Objectives Designed to be Achieved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Base salary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3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5" descr=""/>
                          <pic:cNvPicPr>
                            <a:picLocks noChangeAspect="1" noChangeArrowheads="1"/>
                          </pic:cNvPicPr>
                        </pic:nvPicPr>
                        <pic:blipFill>
                          <a:blip r:embed="rId152"/>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9"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Short-term cash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16" descr=""/>
                          <pic:cNvPicPr>
                            <a:picLocks noChangeAspect="1" noChangeArrowheads="1"/>
                          </pic:cNvPicPr>
                        </pic:nvPicPr>
                        <pic:blipFill>
                          <a:blip r:embed="rId15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Align executives’ interests with those of shareholders;</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17" descr=""/>
                          <pic:cNvPicPr>
                            <a:picLocks noChangeAspect="1" noChangeArrowheads="1"/>
                          </pic:cNvPicPr>
                        </pic:nvPicPr>
                        <pic:blipFill>
                          <a:blip r:embed="rId15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Hold executives accountable for our performance; and</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18" descr=""/>
                          <pic:cNvPicPr>
                            <a:picLocks noChangeAspect="1" noChangeArrowheads="1"/>
                          </pic:cNvPicPr>
                        </pic:nvPicPr>
                        <pic:blipFill>
                          <a:blip r:embed="rId15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Long-term equity incentives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19" descr=""/>
                          <pic:cNvPicPr>
                            <a:picLocks noChangeAspect="1" noChangeArrowheads="1"/>
                          </pic:cNvPicPr>
                        </pic:nvPicPr>
                        <pic:blipFill>
                          <a:blip r:embed="rId156"/>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Align executives’ interests with those of shareholders;</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0" descr=""/>
                          <pic:cNvPicPr>
                            <a:picLocks noChangeAspect="1" noChangeArrowheads="1"/>
                          </pic:cNvPicPr>
                        </pic:nvPicPr>
                        <pic:blipFill>
                          <a:blip r:embed="rId157"/>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Hold executives accountable for our performance; and</w:t>
            </w:r>
          </w:p>
          <w:p>
            <w:pPr>
              <w:pStyle w:val="TableContents"/>
              <w:bidi w:val="0"/>
              <w:spacing w:before="0" w:after="283"/>
              <w:ind w:left="3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21" descr=""/>
                          <pic:cNvPicPr>
                            <a:picLocks noChangeAspect="1" noChangeArrowheads="1"/>
                          </pic:cNvPicPr>
                        </pic:nvPicPr>
                        <pic:blipFill>
                          <a:blip r:embed="rId15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959"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Perquisites and personal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2" descr=""/>
                          <pic:cNvPicPr>
                            <a:picLocks noChangeAspect="1" noChangeArrowheads="1"/>
                          </pic:cNvPicPr>
                        </pic:nvPicPr>
                        <pic:blipFill>
                          <a:blip r:embed="rId15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Attract, retain and motivate qualified executives.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Severance and other benefits upon termination of employment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283"/>
              <w:ind w:left="0" w:right="0" w:hanging="0"/>
              <w:jc w:val="left"/>
              <w:rPr>
                <w:color w:val="000000"/>
              </w:rPr>
            </w:pPr>
            <w:r>
              <w:rPr>
                <w:color w:val="000000"/>
              </w:rPr>
              <w:drawing>
                <wp:inline distT="0" distB="0" distL="0" distR="0">
                  <wp:extent cx="104775" cy="104775"/>
                  <wp:effectExtent l="0" t="0" r="0" b="0"/>
                  <wp:docPr id="24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23" descr=""/>
                          <pic:cNvPicPr>
                            <a:picLocks noChangeAspect="1" noChangeArrowheads="1"/>
                          </pic:cNvPicPr>
                        </pic:nvPicPr>
                        <pic:blipFill>
                          <a:blip r:embed="rId160"/>
                          <a:stretch>
                            <a:fillRect/>
                          </a:stretch>
                        </pic:blipFill>
                        <pic:spPr bwMode="auto">
                          <a:xfrm>
                            <a:off x="0" y="0"/>
                            <a:ext cx="104775" cy="104775"/>
                          </a:xfrm>
                          <a:prstGeom prst="rect">
                            <a:avLst/>
                          </a:prstGeom>
                        </pic:spPr>
                      </pic:pic>
                    </a:graphicData>
                  </a:graphic>
                </wp:inline>
              </w:drawing>
            </w:r>
            <w:r>
              <w:rPr>
                <w:color w:val="000000"/>
              </w:rPr>
              <w:t> </w:t>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Attract, retain and motivate qualified executives.</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95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445"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and Authority of the Compensation Committee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124200" cy="3152775"/>
                <wp:effectExtent l="0" t="0" r="0" b="0"/>
                <wp:wrapSquare wrapText="right"/>
                <wp:docPr id="248" name="Frame89"/>
                <a:graphic xmlns:a="http://schemas.openxmlformats.org/drawingml/2006/main">
                  <a:graphicData uri="http://schemas.microsoft.com/office/word/2010/wordprocessingShape">
                    <wps:wsp>
                      <wps:cNvSpPr txBox="1"/>
                      <wps:spPr>
                        <a:xfrm>
                          <a:off x="0" y="0"/>
                          <a:ext cx="3124200" cy="31527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Levinson (chair), Mr. Alexander, Dr. Bahrami and Mr. Kelly, each of whom is “independent” within the meaning of NYSE rules. In addition, the Board has determined that each Compensation Committee member meets the requirements of the non-employee director definition of Rule 16b-3 promulgated under the Exchange Act and the outside director definition of Section 162(m) of the Internal Revenue Code. Dr. Levinson has served as chair of the Compensation Committee since November 2011, Mr. Alexander has served as a member of the Compensation Committee since January 2026, Dr. Bahrami has served as a member of the Compensation Committee since May 2019, and Mr. Kelly has served as a member of the Compensation Committee since December 2015. No Compensation Committee member is a former or current officer or employee of Fabrinet or any of its subsidiaries. The Compensation Committee meets at least quarterly, and members of the Compensation Committee serve at the discretion of the Board. </w:t>
                            </w:r>
                          </w:p>
                        </w:txbxContent>
                      </wps:txbx>
                      <wps:bodyPr anchor="t" lIns="0" tIns="0" rIns="0" bIns="0">
                        <a:noAutofit/>
                      </wps:bodyPr>
                    </wps:wsp>
                  </a:graphicData>
                </a:graphic>
              </wp:anchor>
            </w:drawing>
          </mc:Choice>
          <mc:Fallback>
            <w:pict>
              <v:rect style="position:absolute;rotation:-0;width:246pt;height:24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currently consists of Dr. Levinson (chair), Mr. Alexander, Dr. Bahrami and Mr. Kelly, each of whom is “independent” within the meaning of NYSE rules. In addition, the Board has determined that each Compensation Committee member meets the requirements of the non-employee director definition of Rule 16b-3 promulgated under the Exchange Act and the outside director definition of Section 162(m) of the Internal Revenue Code. Dr. Levinson has served as chair of the Compensation Committee since November 2011, Mr. Alexander has served as a member of the Compensation Committee since January 2026, Dr. Bahrami has served as a member of the Compensation Committee since May 2019, and Mr. Kelly has served as a member of the Compensation Committee since December 2015. No Compensation Committee member is a former or current officer or employee of Fabrinet or any of its subsidiaries. The Compensation Committee meets at least quarterly, and members of the Compensation Committee serve at the discretion of the Board. </w:t>
                      </w:r>
                    </w:p>
                  </w:txbxContent>
                </v:textbox>
                <w10:wrap type="square" side="right"/>
              </v:rect>
            </w:pict>
          </mc:Fallback>
        </mc:AlternateContent>
      </w:r>
      <w:r>
        <mc:AlternateContent>
          <mc:Choice Requires="wps">
            <w:drawing>
              <wp:anchor behindDoc="0" distT="0" distB="0" distL="228600" distR="0" simplePos="0" locked="0" layoutInCell="1" allowOverlap="1" relativeHeight="294">
                <wp:simplePos x="0" y="0"/>
                <wp:positionH relativeFrom="column">
                  <wp:align>left</wp:align>
                </wp:positionH>
                <wp:positionV relativeFrom="line">
                  <wp:posOffset>635</wp:posOffset>
                </wp:positionV>
                <wp:extent cx="3124200" cy="3408680"/>
                <wp:effectExtent l="0" t="0" r="0" b="0"/>
                <wp:wrapSquare wrapText="right"/>
                <wp:docPr id="249" name="Frame90"/>
                <a:graphic xmlns:a="http://schemas.openxmlformats.org/drawingml/2006/main">
                  <a:graphicData uri="http://schemas.microsoft.com/office/word/2010/wordprocessingShape">
                    <wps:wsp>
                      <wps:cNvSpPr txBox="1"/>
                      <wps:spPr>
                        <a:xfrm>
                          <a:off x="0" y="0"/>
                          <a:ext cx="3124200" cy="34086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its charter, the Compensation Committee may delegate its authority to grant awards under Fabrinet’s incentive compensation or other equity-based plans, except with respect to awards to executive officers and directors. The Compensation Committee has not delegated any of its authority with respect to equity award grants under the 2020 Plan or with respect to any component of the compensation of our Named Officers. </w:t>
                            </w:r>
                          </w:p>
                        </w:txbxContent>
                      </wps:txbx>
                      <wps:bodyPr anchor="t" lIns="0" tIns="0" rIns="0" bIns="0">
                        <a:noAutofit/>
                      </wps:bodyPr>
                    </wps:wsp>
                  </a:graphicData>
                </a:graphic>
              </wp:anchor>
            </w:drawing>
          </mc:Choice>
          <mc:Fallback>
            <w:pict>
              <v:rect style="position:absolute;rotation:-0;width:246pt;height:268.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its charter, the Compensation Committee may delegate its authority to grant awards under Fabrinet’s incentive compensation or other equity-based plans, except with respect to awards to executive officers and directors. The Compensation Committee has not delegated any of its authority with respect to equity award grants under the 2020 Plan or with respect to any component of the compensation of our Named Officers.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5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4" descr=""/>
                          <pic:cNvPicPr>
                            <a:picLocks noChangeAspect="1" noChangeArrowheads="1"/>
                          </pic:cNvPicPr>
                        </pic:nvPicPr>
                        <pic:blipFill>
                          <a:blip r:embed="rId16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9" w:name="ny20081940x1_def14a_110-executive_pg6"/>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of the Independent Compensation Consultant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Role of Executive Officers in Compensation Decisions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24200" cy="3262630"/>
                <wp:effectExtent l="0" t="0" r="0" b="0"/>
                <wp:wrapSquare wrapText="right"/>
                <wp:docPr id="251" name="Frame91"/>
                <a:graphic xmlns:a="http://schemas.openxmlformats.org/drawingml/2006/main">
                  <a:graphicData uri="http://schemas.microsoft.com/office/word/2010/wordprocessingShape">
                    <wps:wsp>
                      <wps:cNvSpPr txBox="1"/>
                      <wps:spPr>
                        <a:xfrm>
                          <a:off x="0" y="0"/>
                          <a:ext cx="3124200" cy="32626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2026, the Compensation Committee retained Compensia, Inc. (“</w:t>
                            </w:r>
                            <w:r>
                              <w:rPr>
                                <w:rFonts w:ascii="Arial;Helvetica;sans-serif" w:hAnsi="Arial;Helvetica;sans-serif"/>
                                <w:b/>
                                <w:color w:val="000000"/>
                                <w:sz w:val="20"/>
                              </w:rPr>
                              <w:t>Compensia</w:t>
                            </w:r>
                            <w:r>
                              <w:rPr>
                                <w:rFonts w:ascii="Arial;Helvetica;sans-serif" w:hAnsi="Arial;Helvetica;sans-serif"/>
                                <w:color w:val="000000"/>
                                <w:sz w:val="20"/>
                              </w:rPr>
                              <w:t xml:space="preserve">”), a national compensation consulting firm, to provide independent compensation consulting services. If requested by the Compensation Committee, a representative of Compensia attends meetings of the Compensation Committee. During fiscal 2026, a representative of Compensia attended six meetings of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Fabrinet pays Compensia’s fees, Compensia reports directly to the Compensation Committee, and the Compensation Committee retains the authority to hire or fire Compensia and any other consultant or advisor. </w:t>
                            </w:r>
                          </w:p>
                        </w:txbxContent>
                      </wps:txbx>
                      <wps:bodyPr anchor="t" lIns="0" tIns="0" rIns="0" bIns="0">
                        <a:noAutofit/>
                      </wps:bodyPr>
                    </wps:wsp>
                  </a:graphicData>
                </a:graphic>
              </wp:anchor>
            </w:drawing>
          </mc:Choice>
          <mc:Fallback>
            <w:pict>
              <v:rect style="position:absolute;rotation:-0;width:246pt;height:25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2026, the Compensation Committee retained Compensia, Inc. (“</w:t>
                      </w:r>
                      <w:r>
                        <w:rPr>
                          <w:rFonts w:ascii="Arial;Helvetica;sans-serif" w:hAnsi="Arial;Helvetica;sans-serif"/>
                          <w:b/>
                          <w:color w:val="000000"/>
                          <w:sz w:val="20"/>
                        </w:rPr>
                        <w:t>Compensia</w:t>
                      </w:r>
                      <w:r>
                        <w:rPr>
                          <w:rFonts w:ascii="Arial;Helvetica;sans-serif" w:hAnsi="Arial;Helvetica;sans-serif"/>
                          <w:color w:val="000000"/>
                          <w:sz w:val="20"/>
                        </w:rPr>
                        <w:t xml:space="preserve">”), a national compensation consulting firm, to provide independent compensation consulting services. If requested by the Compensation Committee, a representative of Compensia attends meetings of the Compensation Committee. During fiscal 2026, a representative of Compensia attended six meetings of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Fabrinet pays Compensia’s fees, Compensia reports directly to the Compensation Committee, and the Compensation Committee retains the authority to hire or fire Compensia and any other consultant or advisor. </w:t>
                      </w:r>
                    </w:p>
                  </w:txbxContent>
                </v:textbox>
                <w10:wrap type="square" side="right"/>
              </v:rect>
            </w:pict>
          </mc:Fallback>
        </mc:AlternateContent>
      </w:r>
      <w:r>
        <mc:AlternateContent>
          <mc:Choice Requires="wps">
            <w:drawing>
              <wp:anchor behindDoc="0" distT="0" distB="0" distL="228600" distR="0" simplePos="0" locked="0" layoutInCell="1" allowOverlap="1" relativeHeight="296">
                <wp:simplePos x="0" y="0"/>
                <wp:positionH relativeFrom="column">
                  <wp:align>left</wp:align>
                </wp:positionH>
                <wp:positionV relativeFrom="line">
                  <wp:posOffset>635</wp:posOffset>
                </wp:positionV>
                <wp:extent cx="3124200" cy="3116580"/>
                <wp:effectExtent l="0" t="0" r="0" b="0"/>
                <wp:wrapSquare wrapText="right"/>
                <wp:docPr id="252" name="Frame92"/>
                <a:graphic xmlns:a="http://schemas.openxmlformats.org/drawingml/2006/main">
                  <a:graphicData uri="http://schemas.microsoft.com/office/word/2010/wordprocessingShape">
                    <wps:wsp>
                      <wps:cNvSpPr txBox="1"/>
                      <wps:spPr>
                        <a:xfrm>
                          <a:off x="0" y="0"/>
                          <a:ext cx="3124200" cy="31165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Compensia does not provide any services to us other than the services provided to the Compensation Committee. The Compensation Committee has assessed the independence of Compensia taking into account, among other things, the factors set forth in Exchange Act Rule 10C-1 and corresponding listing standards of the NYSE, and has concluded that no conflict of interest exists with respect to the work that Compensia performs for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 </w:t>
                            </w:r>
                          </w:p>
                        </w:txbxContent>
                      </wps:txbx>
                      <wps:bodyPr anchor="t" lIns="0" tIns="0" rIns="0" bIns="0">
                        <a:noAutofit/>
                      </wps:bodyPr>
                    </wps:wsp>
                  </a:graphicData>
                </a:graphic>
              </wp:anchor>
            </w:drawing>
          </mc:Choice>
          <mc:Fallback>
            <w:pict>
              <v:rect style="position:absolute;rotation:-0;width:246pt;height:245.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Compensia does not provide any services to us other than the services provided to the Compensation Committee. The Compensation Committee has assessed the independence of Compensia taking into account, among other things, the factors set forth in Exchange Act Rule 10C-1 and corresponding listing standards of the NYSE, and has concluded that no conflict of interest exists with respect to the work that Compensia performs for the Compensation Committee.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 </w:t>
                      </w:r>
                    </w:p>
                  </w:txbxContent>
                </v:textbox>
                <w10:wrap type="square" side="right"/>
              </v:rect>
            </w:pict>
          </mc:Fallback>
        </mc:AlternateConten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2026 Peer Group and Other Market Data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124200" cy="1948180"/>
                <wp:effectExtent l="0" t="0" r="0" b="0"/>
                <wp:wrapSquare wrapText="right"/>
                <wp:docPr id="253" name="Frame93"/>
                <a:graphic xmlns:a="http://schemas.openxmlformats.org/drawingml/2006/main">
                  <a:graphicData uri="http://schemas.microsoft.com/office/word/2010/wordprocessingShape">
                    <wps:wsp>
                      <wps:cNvSpPr txBox="1"/>
                      <wps:spPr>
                        <a:xfrm>
                          <a:off x="0" y="0"/>
                          <a:ext cx="3124200" cy="19481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carrying out its responsibilities, the Compensation Committee works with members of our management team, including our CEO and CFO. Typically, our management team assists the Compensation Committee in the execution of its responsibilities by providing information on corporate and individual performance and management’s perspective and recommendations on compensation matters.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made recommendations to the Compensation Committee regarding fiscal 2026 executive compensation </w:t>
                            </w:r>
                          </w:p>
                        </w:txbxContent>
                      </wps:txbx>
                      <wps:bodyPr anchor="t" lIns="0" tIns="0" rIns="0" bIns="0">
                        <a:noAutofit/>
                      </wps:bodyPr>
                    </wps:wsp>
                  </a:graphicData>
                </a:graphic>
              </wp:anchor>
            </w:drawing>
          </mc:Choice>
          <mc:Fallback>
            <w:pict>
              <v:rect style="position:absolute;rotation:-0;width:246pt;height:1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carrying out its responsibilities, the Compensation Committee works with members of our management team, including our CEO and CFO. Typically, our management team assists the Compensation Committee in the execution of its responsibilities by providing information on corporate and individual performance and management’s perspective and recommendations on compensation matters.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made recommendations to the Compensation Committee regarding fiscal 2026 executive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298">
                <wp:simplePos x="0" y="0"/>
                <wp:positionH relativeFrom="column">
                  <wp:align>left</wp:align>
                </wp:positionH>
                <wp:positionV relativeFrom="line">
                  <wp:posOffset>635</wp:posOffset>
                </wp:positionV>
                <wp:extent cx="3124200" cy="1546225"/>
                <wp:effectExtent l="0" t="0" r="0" b="0"/>
                <wp:wrapSquare wrapText="right"/>
                <wp:docPr id="254" name="Frame94"/>
                <a:graphic xmlns:a="http://schemas.openxmlformats.org/drawingml/2006/main">
                  <a:graphicData uri="http://schemas.microsoft.com/office/word/2010/wordprocessingShape">
                    <wps:wsp>
                      <wps:cNvSpPr txBox="1"/>
                      <wps:spPr>
                        <a:xfrm>
                          <a:off x="0" y="0"/>
                          <a:ext cx="3124200" cy="1546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matters. At the request of the Compensation Committee, our CEO and CFO occasionally participate in meetings of the Compensation Committee, except with respect to decisions involving their own compensation. While the Compensation Committee solicits the recommendations and proposals of our CEO with respect to executive compensation matters, these recommendations and proposals are only one factor in the Compensation Committee’s decision-making process. </w:t>
                            </w:r>
                          </w:p>
                        </w:txbxContent>
                      </wps:txbx>
                      <wps:bodyPr anchor="t" lIns="0" tIns="0" rIns="0" bIns="0">
                        <a:noAutofit/>
                      </wps:bodyPr>
                    </wps:wsp>
                  </a:graphicData>
                </a:graphic>
              </wp:anchor>
            </w:drawing>
          </mc:Choice>
          <mc:Fallback>
            <w:pict>
              <v:rect style="position:absolute;rotation:-0;width:246pt;height:12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matters. At the request of the Compensation Committee, our CEO and CFO occasionally participate in meetings of the Compensation Committee, except with respect to decisions involving their own compensation. While the Compensation Committee solicits the recommendations and proposals of our CEO with respect to executive compensation matters, these recommendations and proposals are only one factor in the Compensation Committee’s decision-making process. </w:t>
                      </w:r>
                    </w:p>
                  </w:txbxContent>
                </v:textbox>
                <w10:wrap type="square" side="right"/>
              </v:rect>
            </w:pict>
          </mc:Fallback>
        </mc:AlternateConten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24200" cy="2994025"/>
                <wp:effectExtent l="0" t="0" r="0" b="0"/>
                <wp:wrapSquare wrapText="right"/>
                <wp:docPr id="255" name="Frame95"/>
                <a:graphic xmlns:a="http://schemas.openxmlformats.org/drawingml/2006/main">
                  <a:graphicData uri="http://schemas.microsoft.com/office/word/2010/wordprocessingShape">
                    <wps:wsp>
                      <wps:cNvSpPr txBox="1"/>
                      <wps:spPr>
                        <a:xfrm>
                          <a:off x="0" y="0"/>
                          <a:ext cx="3124200" cy="2994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To assist the Compensation Committee in evaluating whether our executive compensation practices for fiscal 2026 were competitive and consistent with the Compensation Committee’s executive compensation program objectives, Compensia provided the Committee with compensation data (the “</w:t>
                            </w:r>
                            <w:r>
                              <w:rPr>
                                <w:rFonts w:ascii="Arial;Helvetica;sans-serif" w:hAnsi="Arial;Helvetica;sans-serif"/>
                                <w:b/>
                                <w:color w:val="000000"/>
                                <w:sz w:val="20"/>
                              </w:rPr>
                              <w:t>Market Data</w:t>
                            </w:r>
                            <w:r>
                              <w:rPr>
                                <w:rFonts w:ascii="Arial;Helvetica;sans-serif" w:hAnsi="Arial;Helvetica;sans-serif"/>
                                <w:color w:val="000000"/>
                                <w:sz w:val="20"/>
                              </w:rPr>
                              <w:t xml:space="preserve">”) consisting of publicly available proxy statement data from our fiscal 2026 peer group.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used the Market Data to compare our Named Officers’ base salary, target cash incentive opportunity, target total cash compensation, equity compensation and total direct compensation against the 25</w:t>
                            </w:r>
                            <w:r>
                              <w:rPr>
                                <w:rFonts w:ascii="Arial;Helvetica;sans-serif" w:hAnsi="Arial;Helvetica;sans-serif"/>
                                <w:color w:val="000000"/>
                                <w:position w:val="7"/>
                                <w:sz w:val="16"/>
                                <w:sz w:val="20"/>
                              </w:rPr>
                              <w:t>th</w:t>
                            </w:r>
                            <w:r>
                              <w:rPr>
                                <w:rFonts w:ascii="Arial;Helvetica;sans-serif" w:hAnsi="Arial;Helvetica;sans-serif"/>
                                <w:color w:val="000000"/>
                                <w:sz w:val="20"/>
                              </w:rPr>
                              <w:t>, 50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75</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of the same categories of compensation for executives holding positions comparable (where possible) to the positions of our Named Officers. However, the Compensation Committee does not benchmark or apply specific formulas </w:t>
                            </w:r>
                          </w:p>
                        </w:txbxContent>
                      </wps:txbx>
                      <wps:bodyPr anchor="t" lIns="0" tIns="0" rIns="0" bIns="0">
                        <a:noAutofit/>
                      </wps:bodyPr>
                    </wps:wsp>
                  </a:graphicData>
                </a:graphic>
              </wp:anchor>
            </w:drawing>
          </mc:Choice>
          <mc:Fallback>
            <w:pict>
              <v:rect style="position:absolute;rotation:-0;width:246pt;height:235.75pt;mso-wrap-distance-left:0pt;mso-wrap-distance-right:0pt;mso-wrap-distance-top:0pt;mso-wrap-distance-bottom:0pt;margin-top:0pt;mso-position-vertical:top;mso-position-vertical-relative:text;margin-left:243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To assist the Compensation Committee in evaluating whether our executive compensation practices for fiscal 2026 were competitive and consistent with the Compensation Committee’s executive compensation program objectives, Compensia provided the Committee with compensation data (the “</w:t>
                      </w:r>
                      <w:r>
                        <w:rPr>
                          <w:rFonts w:ascii="Arial;Helvetica;sans-serif" w:hAnsi="Arial;Helvetica;sans-serif"/>
                          <w:b/>
                          <w:color w:val="000000"/>
                          <w:sz w:val="20"/>
                        </w:rPr>
                        <w:t>Market Data</w:t>
                      </w:r>
                      <w:r>
                        <w:rPr>
                          <w:rFonts w:ascii="Arial;Helvetica;sans-serif" w:hAnsi="Arial;Helvetica;sans-serif"/>
                          <w:color w:val="000000"/>
                          <w:sz w:val="20"/>
                        </w:rPr>
                        <w:t xml:space="preserve">”) consisting of publicly available proxy statement data from our fiscal 2026 peer group.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used the Market Data to compare our Named Officers’ base salary, target cash incentive opportunity, target total cash compensation, equity compensation and total direct compensation against the 25</w:t>
                      </w:r>
                      <w:r>
                        <w:rPr>
                          <w:rFonts w:ascii="Arial;Helvetica;sans-serif" w:hAnsi="Arial;Helvetica;sans-serif"/>
                          <w:color w:val="000000"/>
                          <w:position w:val="7"/>
                          <w:sz w:val="16"/>
                          <w:sz w:val="20"/>
                        </w:rPr>
                        <w:t>th</w:t>
                      </w:r>
                      <w:r>
                        <w:rPr>
                          <w:rFonts w:ascii="Arial;Helvetica;sans-serif" w:hAnsi="Arial;Helvetica;sans-serif"/>
                          <w:color w:val="000000"/>
                          <w:sz w:val="20"/>
                        </w:rPr>
                        <w:t>, 50</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75</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of the same categories of compensation for executives holding positions comparable (where possible) to the positions of our Named Officers. However, the Compensation Committee does not benchmark or apply specific formulas </w:t>
                      </w:r>
                    </w:p>
                  </w:txbxContent>
                </v:textbox>
                <w10:wrap type="square" side="right"/>
              </v:rect>
            </w:pict>
          </mc:Fallback>
        </mc:AlternateContent>
      </w:r>
      <w:r>
        <mc:AlternateContent>
          <mc:Choice Requires="wps">
            <w:drawing>
              <wp:anchor behindDoc="0" distT="0" distB="0" distL="228600" distR="0" simplePos="0" locked="0" layoutInCell="1" allowOverlap="1" relativeHeight="300">
                <wp:simplePos x="0" y="0"/>
                <wp:positionH relativeFrom="column">
                  <wp:align>left</wp:align>
                </wp:positionH>
                <wp:positionV relativeFrom="line">
                  <wp:posOffset>635</wp:posOffset>
                </wp:positionV>
                <wp:extent cx="3124200" cy="3116580"/>
                <wp:effectExtent l="0" t="0" r="0" b="0"/>
                <wp:wrapSquare wrapText="right"/>
                <wp:docPr id="256" name="Frame96"/>
                <a:graphic xmlns:a="http://schemas.openxmlformats.org/drawingml/2006/main">
                  <a:graphicData uri="http://schemas.microsoft.com/office/word/2010/wordprocessingShape">
                    <wps:wsp>
                      <wps:cNvSpPr txBox="1"/>
                      <wps:spPr>
                        <a:xfrm>
                          <a:off x="0" y="0"/>
                          <a:ext cx="3124200" cy="31165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adjustments to our Named Officers’ base salary, target cash incentive opportunity, target total cash compensation, equity compensation or total direct compensation.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electronic equipment, instruments or components, communications equipment, or electronic manufacturing services. </w:t>
                            </w:r>
                          </w:p>
                        </w:txbxContent>
                      </wps:txbx>
                      <wps:bodyPr anchor="t" lIns="0" tIns="0" rIns="0" bIns="0">
                        <a:noAutofit/>
                      </wps:bodyPr>
                    </wps:wsp>
                  </a:graphicData>
                </a:graphic>
              </wp:anchor>
            </w:drawing>
          </mc:Choice>
          <mc:Fallback>
            <w:pict>
              <v:rect style="position:absolute;rotation:-0;width:246pt;height:245.4pt;mso-wrap-distance-left:18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adjustments to our Named Officers’ base salary, target cash incentive opportunity, target total cash compensation, equity compensation or total direct compensation.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electronic equipment, instruments or components, communications equipment, or electronic manufacturing services.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5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25" descr=""/>
                          <pic:cNvPicPr>
                            <a:picLocks noChangeAspect="1" noChangeArrowheads="1"/>
                          </pic:cNvPicPr>
                        </pic:nvPicPr>
                        <pic:blipFill>
                          <a:blip r:embed="rId16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0" w:name="ny20081940x1_def14a_110-executive_pg7"/>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24200" cy="1569720"/>
                <wp:effectExtent l="0" t="0" r="0" b="0"/>
                <wp:wrapSquare wrapText="right"/>
                <wp:docPr id="258" name="Frame97"/>
                <a:graphic xmlns:a="http://schemas.openxmlformats.org/drawingml/2006/main">
                  <a:graphicData uri="http://schemas.microsoft.com/office/word/2010/wordprocessingShape">
                    <wps:wsp>
                      <wps:cNvSpPr txBox="1"/>
                      <wps:spPr>
                        <a:xfrm>
                          <a:off x="0" y="0"/>
                          <a:ext cx="3124200" cy="15697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selection criteria for our fiscal 2026 peer group also included 12-month trailing revenue and market capitalization. Our 12-month trailing revenue and market capitalization were in the 34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54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respectively, of our fiscal 2026 peer group at the time the Compensation Committee selected the group. Compensia gathered data on the compensation practices of the companies in our fiscal 2026 peer group through publicly available information, where available. </w:t>
                            </w:r>
                          </w:p>
                        </w:txbxContent>
                      </wps:txbx>
                      <wps:bodyPr anchor="t" lIns="0" tIns="0" rIns="0" bIns="0">
                        <a:noAutofit/>
                      </wps:bodyPr>
                    </wps:wsp>
                  </a:graphicData>
                </a:graphic>
              </wp:anchor>
            </w:drawing>
          </mc:Choice>
          <mc:Fallback>
            <w:pict>
              <v:rect style="position:absolute;rotation:-0;width:246pt;height:12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selection criteria for our fiscal 2026 peer group also included 12-month trailing revenue and market capitalization. Our 12-month trailing revenue and market capitalization were in the 34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and 54</w:t>
                      </w:r>
                      <w:r>
                        <w:rPr>
                          <w:rFonts w:ascii="Arial;Helvetica;sans-serif" w:hAnsi="Arial;Helvetica;sans-serif"/>
                          <w:color w:val="000000"/>
                          <w:position w:val="7"/>
                          <w:sz w:val="16"/>
                          <w:sz w:val="20"/>
                        </w:rPr>
                        <w:t>th</w:t>
                      </w:r>
                      <w:r>
                        <w:rPr>
                          <w:rFonts w:ascii="Arial;Helvetica;sans-serif" w:hAnsi="Arial;Helvetica;sans-serif"/>
                          <w:color w:val="000000"/>
                          <w:sz w:val="20"/>
                        </w:rPr>
                        <w:t xml:space="preserve"> percentiles, respectively, of our fiscal 2026 peer group at the time the Compensation Committee selected the group. Compensia gathered data on the compensation practices of the companies in our fiscal 2026 peer group through publicly available information, where available. </w:t>
                      </w:r>
                    </w:p>
                  </w:txbxContent>
                </v:textbox>
                <w10:wrap type="square" side="right"/>
              </v:rect>
            </w:pict>
          </mc:Fallback>
        </mc:AlternateContent>
      </w:r>
      <w:r>
        <mc:AlternateContent>
          <mc:Choice Requires="wps">
            <w:drawing>
              <wp:anchor behindDoc="0" distT="0" distB="0" distL="228600" distR="0" simplePos="0" locked="0" layoutInCell="1" allowOverlap="1" relativeHeight="302">
                <wp:simplePos x="0" y="0"/>
                <wp:positionH relativeFrom="column">
                  <wp:align>left</wp:align>
                </wp:positionH>
                <wp:positionV relativeFrom="line">
                  <wp:posOffset>635</wp:posOffset>
                </wp:positionV>
                <wp:extent cx="3124200" cy="1108075"/>
                <wp:effectExtent l="0" t="0" r="0" b="0"/>
                <wp:wrapSquare wrapText="right"/>
                <wp:docPr id="259" name="Frame98"/>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fiscal 2026 peer group, as approved by the Compensation Committee and set forth in the table below, was the same as our fiscal 2025 peer group, except for the addition of two companies (Amkor Technology, Inc. and Skyworks Solutions, Inc.) and the removal of two companies (Viasat, Inc. and Vishay Intertechnology, Inc.). </w:t>
                            </w:r>
                          </w:p>
                        </w:txbxContent>
                      </wps:txbx>
                      <wps:bodyPr anchor="t" lIns="0" tIns="0" rIns="0" bIns="0">
                        <a:noAutofit/>
                      </wps:bodyPr>
                    </wps:wsp>
                  </a:graphicData>
                </a:graphic>
              </wp:anchor>
            </w:drawing>
          </mc:Choice>
          <mc:Fallback>
            <w:pict>
              <v:rect style="position:absolute;rotation:-0;width:246pt;height:87.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fiscal 2026 peer group, as approved by the Compensation Committee and set forth in the table below, was the same as our fiscal 2025 peer group, except for the addition of two companies (Amkor Technology, Inc. and Skyworks Solutions, Inc.) and the removal of two companies (Viasat, Inc. and Vishay Intertechnology, Inc.).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2456"/>
        <w:gridCol w:w="170"/>
        <w:gridCol w:w="170"/>
        <w:gridCol w:w="2010"/>
        <w:gridCol w:w="170"/>
        <w:gridCol w:w="170"/>
        <w:gridCol w:w="1886"/>
        <w:gridCol w:w="170"/>
        <w:gridCol w:w="170"/>
        <w:gridCol w:w="2371"/>
        <w:gridCol w:w="217"/>
      </w:tblGrid>
      <w:tr>
        <w:trPr/>
        <w:tc>
          <w:tcPr>
            <w:tcW w:w="185" w:type="dxa"/>
            <w:tcBorders/>
            <w:shd w:fill="819F7C" w:val="clear"/>
            <w:vAlign w:val="center"/>
          </w:tcPr>
          <w:p>
            <w:pPr>
              <w:pStyle w:val="TableContents"/>
              <w:bidi w:val="0"/>
              <w:spacing w:before="0" w:after="0"/>
              <w:jc w:val="left"/>
              <w:rPr/>
            </w:pPr>
            <w:r>
              <w:rPr/>
              <w:t> </w:t>
            </w:r>
          </w:p>
        </w:tc>
        <w:tc>
          <w:tcPr>
            <w:tcW w:w="9743" w:type="dxa"/>
            <w:gridSpan w:val="10"/>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9743" w:type="dxa"/>
            <w:gridSpan w:val="10"/>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2026 Peer Group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5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Advanced Energy Industries,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0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Coherent Corporation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Littelfuse,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Qorvo, Inc.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Amkor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Entegris,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Lumentum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1"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Sanmina Corporation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5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Belden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0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F5,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MKS Instruments,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Skyworks Solutions, Inc. </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Celestica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0"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IPG Photonics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Novanta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1"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Trimble Inc. </w:t>
            </w:r>
          </w:p>
        </w:tc>
        <w:tc>
          <w:tcPr>
            <w:tcW w:w="217"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5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Ciena Corporation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0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Jabil Inc.</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Plexus Corporation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Zebra Technologies Corporation</w:t>
            </w:r>
          </w:p>
        </w:tc>
        <w:tc>
          <w:tcPr>
            <w:tcW w:w="217"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456"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6"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371" w:type="dxa"/>
            <w:tcBorders/>
            <w:shd w:fill="E5E9E3" w:val="clear"/>
            <w:vAlign w:val="center"/>
          </w:tcPr>
          <w:p>
            <w:pPr>
              <w:pStyle w:val="TableContents"/>
              <w:bidi w:val="0"/>
              <w:spacing w:before="0" w:after="0"/>
              <w:jc w:val="left"/>
              <w:rPr/>
            </w:pPr>
            <w:r>
              <w:rPr/>
              <w:t> </w:t>
            </w:r>
          </w:p>
        </w:tc>
        <w:tc>
          <w:tcPr>
            <w:tcW w:w="217" w:type="dxa"/>
            <w:tcBorders/>
            <w:shd w:fill="E5E9E3" w:val="clear"/>
            <w:vAlign w:val="center"/>
          </w:tcPr>
          <w:p>
            <w:pPr>
              <w:pStyle w:val="TableContents"/>
              <w:bidi w:val="0"/>
              <w:spacing w:before="0" w:after="0"/>
              <w:jc w:val="left"/>
              <w:rPr/>
            </w:pPr>
            <w:r>
              <w:rPr/>
              <w:t> </w:t>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Executive Compensation Program Elements </w:t>
      </w:r>
    </w:p>
    <w:p>
      <w:pPr>
        <w:pStyle w:val="TextBody"/>
        <w:bidi w:val="0"/>
        <w:spacing w:before="1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Base Salaries</w:t>
      </w:r>
      <w:r>
        <w:rPr>
          <w:rFonts w:ascii="Arial;Helvetica;sans-serif" w:hAnsi="Arial;Helvetica;sans-serif"/>
          <w:b/>
          <w:i/>
          <w:caps w:val="false"/>
          <w:smallCaps w:val="false"/>
          <w:color w:val="000000"/>
          <w:sz w:val="20"/>
        </w:rPr>
        <w:t xml:space="preserve">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24200" cy="1838325"/>
                <wp:effectExtent l="0" t="0" r="0" b="0"/>
                <wp:wrapSquare wrapText="right"/>
                <wp:docPr id="260" name="Frame99"/>
                <a:graphic xmlns:a="http://schemas.openxmlformats.org/drawingml/2006/main">
                  <a:graphicData uri="http://schemas.microsoft.com/office/word/2010/wordprocessingShape">
                    <wps:wsp>
                      <wps:cNvSpPr txBox="1"/>
                      <wps:spPr>
                        <a:xfrm>
                          <a:off x="0" y="0"/>
                          <a:ext cx="3124200" cy="18383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Market Data. </w:t>
                            </w:r>
                          </w:p>
                        </w:txbxContent>
                      </wps:txbx>
                      <wps:bodyPr anchor="t" lIns="0" tIns="0" rIns="0" bIns="0">
                        <a:noAutofit/>
                      </wps:bodyPr>
                    </wps:wsp>
                  </a:graphicData>
                </a:graphic>
              </wp:anchor>
            </w:drawing>
          </mc:Choice>
          <mc:Fallback>
            <w:pict>
              <v:rect style="position:absolute;rotation:-0;width:246pt;height:14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Market Data. </w:t>
                      </w:r>
                    </w:p>
                  </w:txbxContent>
                </v:textbox>
                <w10:wrap type="square" side="right"/>
              </v:rect>
            </w:pict>
          </mc:Fallback>
        </mc:AlternateContent>
      </w:r>
      <w:r>
        <mc:AlternateContent>
          <mc:Choice Requires="wps">
            <w:drawing>
              <wp:anchor behindDoc="0" distT="0" distB="0" distL="228600" distR="0" simplePos="0" locked="0" layoutInCell="1" allowOverlap="1" relativeHeight="304">
                <wp:simplePos x="0" y="0"/>
                <wp:positionH relativeFrom="column">
                  <wp:align>left</wp:align>
                </wp:positionH>
                <wp:positionV relativeFrom="line">
                  <wp:posOffset>635</wp:posOffset>
                </wp:positionV>
                <wp:extent cx="3124200" cy="1254125"/>
                <wp:effectExtent l="0" t="0" r="0" b="0"/>
                <wp:wrapSquare wrapText="right"/>
                <wp:docPr id="261" name="Frame100"/>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fiscal 2026, the Compensation Committee reviewed the salary component of the Market Data and considered each executive officer’s past performance and expected future contributions, changes in each executive officer’s responsibilities and organizational changes. As a result of its review, the Compensation Committee approved fiscal 2026 annual base salaries for Named Officers as set forth in the table below. </w:t>
                            </w:r>
                          </w:p>
                        </w:txbxContent>
                      </wps:txbx>
                      <wps:bodyPr anchor="t" lIns="0" tIns="0" rIns="0" bIns="0">
                        <a:noAutofit/>
                      </wps:bodyPr>
                    </wps:wsp>
                  </a:graphicData>
                </a:graphic>
              </wp:anchor>
            </w:drawing>
          </mc:Choice>
          <mc:Fallback>
            <w:pict>
              <v:rect style="position:absolute;rotation:-0;width:246pt;height:98.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fiscal 2026, the Compensation Committee reviewed the salary component of the Market Data and considered each executive officer’s past performance and expected future contributions, changes in each executive officer’s responsibilities and organizational changes. As a result of its review, the Compensation Committee approved fiscal 2026 annual base salaries for Named Officers as set forth in the table below. </w:t>
                      </w:r>
                    </w:p>
                  </w:txbxContent>
                </v:textbox>
                <w10:wrap type="square" side="right"/>
              </v:rect>
            </w:pict>
          </mc:Fallback>
        </mc:AlternateContent>
      </w:r>
    </w:p>
    <w:tbl>
      <w:tblPr>
        <w:tblW w:w="7770" w:type="dxa"/>
        <w:jc w:val="left"/>
        <w:tblInd w:w="60" w:type="dxa"/>
        <w:tblLayout w:type="fixed"/>
        <w:tblCellMar>
          <w:top w:w="0" w:type="dxa"/>
          <w:left w:w="0" w:type="dxa"/>
          <w:bottom w:w="0" w:type="dxa"/>
          <w:right w:w="0" w:type="dxa"/>
        </w:tblCellMar>
      </w:tblPr>
      <w:tblGrid>
        <w:gridCol w:w="185"/>
        <w:gridCol w:w="1565"/>
        <w:gridCol w:w="170"/>
        <w:gridCol w:w="170"/>
        <w:gridCol w:w="1865"/>
        <w:gridCol w:w="170"/>
        <w:gridCol w:w="170"/>
        <w:gridCol w:w="1865"/>
        <w:gridCol w:w="170"/>
        <w:gridCol w:w="170"/>
        <w:gridCol w:w="1055"/>
        <w:gridCol w:w="215"/>
      </w:tblGrid>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5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2025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Annual Base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6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Fiscal 2026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Annual Base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 Change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$1,380,000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2.2%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$1,125,000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2.3%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56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$625,000</w:t>
            </w:r>
            <w:r>
              <w:rPr>
                <w:rFonts w:ascii="Arial;Helvetica;sans-serif" w:hAnsi="Arial;Helvetica;sans-serif"/>
                <w:color w:val="000000"/>
                <w:position w:val="6"/>
                <w:sz w:val="15"/>
                <w:sz w:val="19"/>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6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THB 24,380,400</w:t>
            </w:r>
            <w:r>
              <w:rPr>
                <w:rFonts w:ascii="Arial;Helvetica;sans-serif" w:hAnsi="Arial;Helvetica;sans-serif"/>
                <w:color w:val="000000"/>
                <w:position w:val="6"/>
                <w:sz w:val="15"/>
                <w:sz w:val="19"/>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5.6%</w:t>
            </w:r>
            <w:r>
              <w:rPr>
                <w:rFonts w:ascii="Arial;Helvetica;sans-serif" w:hAnsi="Arial;Helvetica;sans-serif"/>
                <w:color w:val="000000"/>
                <w:position w:val="6"/>
                <w:sz w:val="15"/>
                <w:sz w:val="19"/>
              </w:rPr>
              <w:t>(3)</w:t>
            </w:r>
            <w:r>
              <w:rPr>
                <w:rFonts w:ascii="Arial;Helvetica;sans-serif" w:hAnsi="Arial;Helvetica;sans-serif"/>
                <w:color w:val="000000"/>
                <w:sz w:val="19"/>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3.8%</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Mr. Sverha’s fiscal 2025 annual base salary was approved in U.S. dollars and paid in his home currency of Thai baht using the Fabrinet Corporate Group USD to THB Exchange Rate, which was the Bank of Thailand’s middle rate (midpoint of the bid and ask rates) as of June 28, 2024, of 1.0 U.S. dollar to 36.94 Thai baht. This resulted in a fiscal 2025 salary for Mr. Sverha of 23,087,500 Thai baht.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Mr. Sverha is based in Thailand. Beginning with Mr. Sverha’s fiscal 2026 annual base salary, the Compensation Committee approves Mr. Sverha’s salary in Thai baht and considers adjustments to Mr. Sverha’s salary as a percentage of his existing salary as denominated in Thai baht. Converting Mr. Sverha’s fiscal 2026 salary into U.S. dollars results in a salary of $750,628, using the Fabrinet Corporate Group THB to USD Exchange Rate, which was the Bank of Thailand’s middle rate (midpoint of the bid and ask rates) as of June 26, 2025, of 32.48 Thai baht to 1 U.S. dollar. </w:t>
            </w:r>
          </w:p>
        </w:tc>
      </w:tr>
    </w:tbl>
    <w:tbl>
      <w:tblPr>
        <w:tblW w:w="8950" w:type="dxa"/>
        <w:jc w:val="left"/>
        <w:tblInd w:w="60" w:type="dxa"/>
        <w:tblLayout w:type="fixed"/>
        <w:tblCellMar>
          <w:top w:w="0" w:type="dxa"/>
          <w:left w:w="0" w:type="dxa"/>
          <w:bottom w:w="0" w:type="dxa"/>
          <w:right w:w="0" w:type="dxa"/>
        </w:tblCellMar>
      </w:tblPr>
      <w:tblGrid>
        <w:gridCol w:w="230"/>
        <w:gridCol w:w="872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87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Percentage increase is based on Mr. Sverha’s fiscal 2025 annual base salary in Thai baht. See footnotes (1) and (2) above.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6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26" descr=""/>
                          <pic:cNvPicPr>
                            <a:picLocks noChangeAspect="1" noChangeArrowheads="1"/>
                          </pic:cNvPicPr>
                        </pic:nvPicPr>
                        <pic:blipFill>
                          <a:blip r:embed="rId16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1" w:name="ny20081940x1_def14a_110-executive_pg8"/>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Short-Term Cash Incentive Awards</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124200" cy="3175000"/>
                <wp:effectExtent l="0" t="0" r="0" b="0"/>
                <wp:wrapSquare wrapText="right"/>
                <wp:docPr id="263" name="Frame101"/>
                <a:graphic xmlns:a="http://schemas.openxmlformats.org/drawingml/2006/main">
                  <a:graphicData uri="http://schemas.microsoft.com/office/word/2010/wordprocessingShape">
                    <wps:wsp>
                      <wps:cNvSpPr txBox="1"/>
                      <wps:spPr>
                        <a:xfrm>
                          <a:off x="0" y="0"/>
                          <a:ext cx="3124200" cy="317500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annual cash incentive plan provides our Named Officers with the ability to receive cash incentive awards based on company financial performance, with performance targets and payouts under the plan determined each fiscal year as follows: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payouts are based 50% on achievement of a fiscal year revenue metric and 50% on achievement of a fiscal year non-GAAP operating margin metric, with achievement of each financial metric considered independently from the other;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performance targets are equal to our annual operating plan targets, which the Compensation Committee believes should be realistic and achievable; </w:t>
                                  </w:r>
                                </w:p>
                              </w:tc>
                            </w:tr>
                          </w:tbl>
                          <w:tbl>
                            <w:tblPr>
                              <w:tblW w:w="7960" w:type="dxa"/>
                              <w:jc w:val="left"/>
                              <w:tblInd w:w="6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578255"/>
                                    </w:rPr>
                                  </w:pPr>
                                  <w:r>
                                    <w:rPr>
                                      <w:color w:val="578255"/>
                                    </w:rPr>
                                    <w:t>•</w:t>
                                  </w:r>
                                </w:p>
                              </w:tc>
                              <w:tc>
                                <w:tcPr>
                                  <w:tcW w:w="78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minimum performance threshold for each metric is 90% of the target for such metric; </w:t>
                                  </w:r>
                                </w:p>
                              </w:tc>
                            </w:tr>
                          </w:tbl>
                          <w:tbl>
                            <w:tblPr>
                              <w:tblW w:w="6610" w:type="dxa"/>
                              <w:jc w:val="left"/>
                              <w:tblInd w:w="6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578255"/>
                                    </w:rPr>
                                  </w:pPr>
                                  <w:r>
                                    <w:rPr>
                                      <w:color w:val="578255"/>
                                    </w:rPr>
                                    <w:t>•</w:t>
                                  </w:r>
                                </w:p>
                              </w:tc>
                              <w:tc>
                                <w:tcPr>
                                  <w:tcW w:w="6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maximum bonus opportunity is 120% of the target bonus opportunity;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90% and 100% of the applicable target financial metric results in a payout scaled linearly from 20% to 100% of the target bonus opportunity for that metric;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100% and 105% of the applicable target financial metric would result in a payout scaled linearly from 100% to 120% of the target bonus opportunity for that metric.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By basing a substantial portion of our Named Officers’ total cash compensation on achievement of financial goals designed to drive shareholder value, our annual </w:t>
                            </w:r>
                          </w:p>
                        </w:txbxContent>
                      </wps:txbx>
                      <wps:bodyPr anchor="t" lIns="0" tIns="0" rIns="0" bIns="0">
                        <a:noAutofit/>
                      </wps:bodyPr>
                    </wps:wsp>
                  </a:graphicData>
                </a:graphic>
              </wp:anchor>
            </w:drawing>
          </mc:Choice>
          <mc:Fallback>
            <w:pict>
              <v:rect style="position:absolute;rotation:-0;width:246pt;height:2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annual cash incentive plan provides our Named Officers with the ability to receive cash incentive awards based on company financial performance, with performance targets and payouts under the plan determined each fiscal year as follows: </w:t>
                      </w:r>
                    </w:p>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payouts are based 50% on achievement of a fiscal year revenue metric and 50% on achievement of a fiscal year non-GAAP operating margin metric, with achievement of each financial metric considered independently from the other;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performance targets are equal to our annual operating plan targets, which the Compensation Committee believes should be realistic and achievable; </w:t>
                            </w:r>
                          </w:p>
                        </w:tc>
                      </w:tr>
                    </w:tbl>
                    <w:tbl>
                      <w:tblPr>
                        <w:tblW w:w="7960" w:type="dxa"/>
                        <w:jc w:val="left"/>
                        <w:tblInd w:w="6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578255"/>
                              </w:rPr>
                            </w:pPr>
                            <w:r>
                              <w:rPr>
                                <w:color w:val="578255"/>
                              </w:rPr>
                              <w:t>•</w:t>
                            </w:r>
                          </w:p>
                        </w:tc>
                        <w:tc>
                          <w:tcPr>
                            <w:tcW w:w="78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minimum performance threshold for each metric is 90% of the target for such metric; </w:t>
                            </w:r>
                          </w:p>
                        </w:tc>
                      </w:tr>
                    </w:tbl>
                    <w:tbl>
                      <w:tblPr>
                        <w:tblW w:w="6610" w:type="dxa"/>
                        <w:jc w:val="left"/>
                        <w:tblInd w:w="6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578255"/>
                              </w:rPr>
                            </w:pPr>
                            <w:r>
                              <w:rPr>
                                <w:color w:val="578255"/>
                              </w:rPr>
                              <w:t>•</w:t>
                            </w:r>
                          </w:p>
                        </w:tc>
                        <w:tc>
                          <w:tcPr>
                            <w:tcW w:w="647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maximum bonus opportunity is 120% of the target bonus opportunity;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90% and 100% of the applicable target financial metric results in a payout scaled linearly from 20% to 100% of the target bonus opportunity for that metric; and </w:t>
                            </w:r>
                          </w:p>
                        </w:tc>
                      </w:tr>
                    </w:tbl>
                    <w:tbl>
                      <w:tblPr>
                        <w:tblW w:w="10145" w:type="dxa"/>
                        <w:jc w:val="left"/>
                        <w:tblInd w:w="60" w:type="dxa"/>
                        <w:tblLayout w:type="fixed"/>
                        <w:tblCellMar>
                          <w:top w:w="0" w:type="dxa"/>
                          <w:left w:w="0" w:type="dxa"/>
                          <w:bottom w:w="0" w:type="dxa"/>
                          <w:right w:w="0" w:type="dxa"/>
                        </w:tblCellMar>
                      </w:tblPr>
                      <w:tblGrid>
                        <w:gridCol w:w="140"/>
                        <w:gridCol w:w="10005"/>
                      </w:tblGrid>
                      <w:tr>
                        <w:trPr/>
                        <w:tc>
                          <w:tcPr>
                            <w:tcW w:w="140" w:type="dxa"/>
                            <w:tcBorders/>
                            <w:vAlign w:val="center"/>
                          </w:tcPr>
                          <w:p>
                            <w:pPr>
                              <w:pStyle w:val="TableContents"/>
                              <w:bidi w:val="0"/>
                              <w:spacing w:before="0" w:after="0"/>
                              <w:jc w:val="left"/>
                              <w:rPr>
                                <w:color w:val="578255"/>
                              </w:rPr>
                            </w:pPr>
                            <w:r>
                              <w:rPr>
                                <w:color w:val="578255"/>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achievement of a financial metric at a level between 100% and 105% of the applicable target financial metric would result in a payout scaled linearly from 100% to 120% of the target bonus opportunity for that metric.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By basing a substantial portion of our Named Officers’ total cash compensation on achievement of financial goals designed to drive shareholder value, our annual </w:t>
                      </w:r>
                    </w:p>
                  </w:txbxContent>
                </v:textbox>
                <w10:wrap type="square" side="right"/>
              </v:rect>
            </w:pict>
          </mc:Fallback>
        </mc:AlternateContent>
      </w:r>
      <w:r>
        <mc:AlternateContent>
          <mc:Choice Requires="wps">
            <w:drawing>
              <wp:anchor behindDoc="0" distT="0" distB="0" distL="228600" distR="0" simplePos="0" locked="0" layoutInCell="1" allowOverlap="1" relativeHeight="306">
                <wp:simplePos x="0" y="0"/>
                <wp:positionH relativeFrom="column">
                  <wp:align>left</wp:align>
                </wp:positionH>
                <wp:positionV relativeFrom="line">
                  <wp:posOffset>635</wp:posOffset>
                </wp:positionV>
                <wp:extent cx="3124200" cy="5673090"/>
                <wp:effectExtent l="0" t="0" r="0" b="0"/>
                <wp:wrapSquare wrapText="right"/>
                <wp:docPr id="264" name="Frame102"/>
                <a:graphic xmlns:a="http://schemas.openxmlformats.org/drawingml/2006/main">
                  <a:graphicData uri="http://schemas.microsoft.com/office/word/2010/wordprocessingShape">
                    <wps:wsp>
                      <wps:cNvSpPr txBox="1"/>
                      <wps:spPr>
                        <a:xfrm>
                          <a:off x="0" y="0"/>
                          <a:ext cx="3124200" cy="567309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cash incentive plan is intended to align our Named Officers’ interests with the interests of our shareholders.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2025, the Compensation Committee approved our cash incentive plan for fiscal 2026 (the “</w:t>
                            </w:r>
                            <w:r>
                              <w:rPr>
                                <w:rFonts w:ascii="Arial;Helvetica;sans-serif" w:hAnsi="Arial;Helvetica;sans-serif"/>
                                <w:b/>
                                <w:color w:val="000000"/>
                                <w:sz w:val="20"/>
                              </w:rPr>
                              <w:t>Fiscal 2026 Bonus Plan</w:t>
                            </w:r>
                            <w:r>
                              <w:rPr>
                                <w:rFonts w:ascii="Arial;Helvetica;sans-serif" w:hAnsi="Arial;Helvetica;sans-serif"/>
                                <w:color w:val="000000"/>
                                <w:sz w:val="20"/>
                              </w:rPr>
                              <w:t xml:space="preserve">”) and determined the target bonus opportunity for each Named Officer under the plan after considering the Market Data provided by Compensia, evaluated against other criteria, including the Named Officer’s functional responsibilities and ongoing duties.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revenue and non-GAAP operating margin targets under the Fiscal 2026 Bonus Plan were the same as the corresponding targets under our fiscal 2026 annual operating plan. The Compensation Committee chose revenue and non-GAAP operating margin performance goals because it believes that these goals constitute important, key performance metrics that significantly can impact our business success. Achievement of a target bonus payout under the Fiscal 2026 Bonus Plan would have required high levels of corporate performance that the Compensation Committee believed were realistic and achievable. In structuring the Fiscal 2026 Bonus Plan, the Compensation Committee also provided for a maximum bonus opportunity equal to 120% of a Named Officer’s target bonus opportunity because the committee determined that it was appropriate to incentivize and reward financial performance that exceeded our annual operating plan targets.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achievement targets and actual year-end attainment under the Fiscal 2026 Bonus Plan were as follows ($ in millions): </w:t>
                            </w:r>
                          </w:p>
                        </w:txbxContent>
                      </wps:txbx>
                      <wps:bodyPr anchor="t" lIns="0" tIns="0" rIns="0" bIns="0">
                        <a:noAutofit/>
                      </wps:bodyPr>
                    </wps:wsp>
                  </a:graphicData>
                </a:graphic>
              </wp:anchor>
            </w:drawing>
          </mc:Choice>
          <mc:Fallback>
            <w:pict>
              <v:rect style="position:absolute;rotation:-0;width:246pt;height:446.7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cash incentive plan is intended to align our Named Officers’ interests with the interests of our shareholders.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2025, the Compensation Committee approved our cash incentive plan for fiscal 2026 (the “</w:t>
                      </w:r>
                      <w:r>
                        <w:rPr>
                          <w:rFonts w:ascii="Arial;Helvetica;sans-serif" w:hAnsi="Arial;Helvetica;sans-serif"/>
                          <w:b/>
                          <w:color w:val="000000"/>
                          <w:sz w:val="20"/>
                        </w:rPr>
                        <w:t>Fiscal 2026 Bonus Plan</w:t>
                      </w:r>
                      <w:r>
                        <w:rPr>
                          <w:rFonts w:ascii="Arial;Helvetica;sans-serif" w:hAnsi="Arial;Helvetica;sans-serif"/>
                          <w:color w:val="000000"/>
                          <w:sz w:val="20"/>
                        </w:rPr>
                        <w:t xml:space="preserve">”) and determined the target bonus opportunity for each Named Officer under the plan after considering the Market Data provided by Compensia, evaluated against other criteria, including the Named Officer’s functional responsibilities and ongoing duties.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revenue and non-GAAP operating margin targets under the Fiscal 2026 Bonus Plan were the same as the corresponding targets under our fiscal 2026 annual operating plan. The Compensation Committee chose revenue and non-GAAP operating margin performance goals because it believes that these goals constitute important, key performance metrics that significantly can impact our business success. Achievement of a target bonus payout under the Fiscal 2026 Bonus Plan would have required high levels of corporate performance that the Compensation Committee believed were realistic and achievable. In structuring the Fiscal 2026 Bonus Plan, the Compensation Committee also provided for a maximum bonus opportunity equal to 120% of a Named Officer’s target bonus opportunity because the committee determined that it was appropriate to incentivize and reward financial performance that exceeded our annual operating plan targets.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The achievement targets and actual year-end attainment under the Fiscal 2026 Bonus Plan were as follows ($ in millions):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604"/>
        <w:gridCol w:w="170"/>
        <w:gridCol w:w="170"/>
        <w:gridCol w:w="695"/>
        <w:gridCol w:w="170"/>
        <w:gridCol w:w="170"/>
        <w:gridCol w:w="1073"/>
        <w:gridCol w:w="170"/>
        <w:gridCol w:w="170"/>
        <w:gridCol w:w="803"/>
        <w:gridCol w:w="170"/>
        <w:gridCol w:w="170"/>
        <w:gridCol w:w="1043"/>
        <w:gridCol w:w="170"/>
        <w:gridCol w:w="170"/>
        <w:gridCol w:w="1235"/>
        <w:gridCol w:w="170"/>
        <w:gridCol w:w="170"/>
        <w:gridCol w:w="1249"/>
        <w:gridCol w:w="218"/>
      </w:tblGrid>
      <w:tr>
        <w:trPr/>
        <w:tc>
          <w:tcPr>
            <w:tcW w:w="185" w:type="dxa"/>
            <w:tcBorders/>
            <w:shd w:fill="819F7C" w:val="clear"/>
            <w:vAlign w:val="center"/>
          </w:tcPr>
          <w:p>
            <w:pPr>
              <w:pStyle w:val="TableContents"/>
              <w:bidi w:val="0"/>
              <w:spacing w:before="0" w:after="0"/>
              <w:jc w:val="left"/>
              <w:rPr/>
            </w:pPr>
            <w:r>
              <w:rPr/>
              <w:t> </w:t>
            </w:r>
          </w:p>
        </w:tc>
        <w:tc>
          <w:tcPr>
            <w:tcW w:w="16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9"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60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9"/>
              </w:rPr>
            </w:pPr>
            <w:r>
              <w:rPr>
                <w:rFonts w:ascii="Arial;Helvetica;sans-serif" w:hAnsi="Arial;Helvetica;sans-serif"/>
                <w:b/>
                <w:color w:val="FFFFFF"/>
                <w:sz w:val="19"/>
              </w:rPr>
              <w:t>Performance Metric</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9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Weight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7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Minimum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Threshold</w:t>
            </w:r>
            <w:r>
              <w:rPr>
                <w:rFonts w:ascii="Arial;Helvetica;sans-serif" w:hAnsi="Arial;Helvetica;sans-serif"/>
                <w:b/>
                <w:color w:val="FFFFFF"/>
                <w:position w:val="6"/>
                <w:sz w:val="15"/>
                <w:sz w:val="19"/>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Target</w:t>
            </w:r>
            <w:r>
              <w:rPr>
                <w:rFonts w:ascii="Arial;Helvetica;sans-serif" w:hAnsi="Arial;Helvetica;sans-serif"/>
                <w:b/>
                <w:color w:val="FFFFFF"/>
                <w:position w:val="6"/>
                <w:sz w:val="15"/>
                <w:sz w:val="19"/>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3"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Maximum</w:t>
            </w:r>
            <w:r>
              <w:rPr>
                <w:rFonts w:ascii="Arial;Helvetica;sans-serif" w:hAnsi="Arial;Helvetica;sans-serif"/>
                <w:b/>
                <w:color w:val="FFFFFF"/>
                <w:position w:val="6"/>
                <w:sz w:val="15"/>
                <w:sz w:val="19"/>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5"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Actual</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Performance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9" w:type="dxa"/>
            <w:tcBorders/>
            <w:shd w:fill="819F7C"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Actual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Performance </w:t>
            </w:r>
          </w:p>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 of Target)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604"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95"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7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$3,600.0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$4,200.0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5" w:type="dxa"/>
            <w:tcBorders/>
            <w:shd w:fill="E5E9E3" w:val="clear"/>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$4,641.1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9"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116.0%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04"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Non-GAAP Operating Margin</w:t>
            </w:r>
            <w:r>
              <w:rPr>
                <w:rFonts w:ascii="Arial;Helvetica;sans-serif" w:hAnsi="Arial;Helvetica;sans-serif"/>
                <w:color w:val="000000"/>
                <w:position w:val="6"/>
                <w:sz w:val="15"/>
                <w:sz w:val="19"/>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8.91%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Arial;Helvetica;sans-serif" w:hAnsi="Arial;Helvetica;sans-serif"/>
                <w:b/>
                <w:color w:val="000000"/>
                <w:sz w:val="19"/>
              </w:rPr>
            </w:pPr>
            <w:r>
              <w:rPr>
                <w:rFonts w:ascii="Arial;Helvetica;sans-serif" w:hAnsi="Arial;Helvetica;sans-serif"/>
                <w:b/>
                <w:color w:val="000000"/>
                <w:sz w:val="19"/>
              </w:rPr>
              <w:t>10.77%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108.8%</w:t>
            </w:r>
          </w:p>
        </w:tc>
        <w:tc>
          <w:tcPr>
            <w:tcW w:w="218" w:type="dxa"/>
            <w:tcBorders/>
            <w:vAlign w:val="center"/>
          </w:tcPr>
          <w:p>
            <w:pPr>
              <w:pStyle w:val="TableContents"/>
              <w:bidi w:val="0"/>
              <w:spacing w:before="0" w:after="0"/>
              <w:jc w:val="left"/>
              <w:rPr/>
            </w:pPr>
            <w:r>
              <w:rPr/>
              <w:t> </w:t>
            </w:r>
          </w:p>
        </w:tc>
      </w:tr>
    </w:tbl>
    <w:tbl>
      <w:tblPr>
        <w:tblW w:w="7810" w:type="dxa"/>
        <w:jc w:val="left"/>
        <w:tblInd w:w="60" w:type="dxa"/>
        <w:tblLayout w:type="fixed"/>
        <w:tblCellMar>
          <w:top w:w="0" w:type="dxa"/>
          <w:left w:w="0" w:type="dxa"/>
          <w:bottom w:w="0" w:type="dxa"/>
          <w:right w:w="0" w:type="dxa"/>
        </w:tblCellMar>
      </w:tblPr>
      <w:tblGrid>
        <w:gridCol w:w="230"/>
        <w:gridCol w:w="758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758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Below this amount, no bonuses would have been earned with respect to the applicable performance metric. </w:t>
            </w:r>
          </w:p>
        </w:tc>
      </w:tr>
    </w:tbl>
    <w:tbl>
      <w:tblPr>
        <w:tblW w:w="10145" w:type="dxa"/>
        <w:jc w:val="left"/>
        <w:tblInd w:w="60" w:type="dxa"/>
        <w:tblLayout w:type="fixed"/>
        <w:tblCellMar>
          <w:top w:w="0" w:type="dxa"/>
          <w:left w:w="0" w:type="dxa"/>
          <w:bottom w:w="0" w:type="dxa"/>
          <w:right w:w="0" w:type="dxa"/>
        </w:tblCellMar>
      </w:tblPr>
      <w:tblGrid>
        <w:gridCol w:w="228"/>
        <w:gridCol w:w="9917"/>
      </w:tblGrid>
      <w:tr>
        <w:trPr/>
        <w:tc>
          <w:tcPr>
            <w:tcW w:w="22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Achievement of this goal would have resulted in a payout at 100% of a participant’s target bonus opportunity for the applicable performance metric. </w:t>
            </w:r>
          </w:p>
        </w:tc>
      </w:tr>
    </w:tbl>
    <w:tbl>
      <w:tblPr>
        <w:tblW w:w="10145" w:type="dxa"/>
        <w:jc w:val="left"/>
        <w:tblInd w:w="60" w:type="dxa"/>
        <w:tblLayout w:type="fixed"/>
        <w:tblCellMar>
          <w:top w:w="0" w:type="dxa"/>
          <w:left w:w="0" w:type="dxa"/>
          <w:bottom w:w="0" w:type="dxa"/>
          <w:right w:w="0" w:type="dxa"/>
        </w:tblCellMar>
      </w:tblPr>
      <w:tblGrid>
        <w:gridCol w:w="213"/>
        <w:gridCol w:w="9932"/>
      </w:tblGrid>
      <w:tr>
        <w:trPr/>
        <w:tc>
          <w:tcPr>
            <w:tcW w:w="2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3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105% of the applicable target performance goal. Achievement of this goal would have resulted in a maximum payout at 120% of a participant’s target bonus opportunity for the applicable performance metric. </w:t>
            </w:r>
          </w:p>
        </w:tc>
      </w:tr>
    </w:tbl>
    <w:tbl>
      <w:tblPr>
        <w:tblW w:w="10145" w:type="dxa"/>
        <w:jc w:val="left"/>
        <w:tblInd w:w="60" w:type="dxa"/>
        <w:tblLayout w:type="fixed"/>
        <w:tblCellMar>
          <w:top w:w="0" w:type="dxa"/>
          <w:left w:w="0" w:type="dxa"/>
          <w:bottom w:w="0" w:type="dxa"/>
          <w:right w:w="0" w:type="dxa"/>
        </w:tblCellMar>
      </w:tblPr>
      <w:tblGrid>
        <w:gridCol w:w="197"/>
        <w:gridCol w:w="9948"/>
      </w:tblGrid>
      <w:tr>
        <w:trPr/>
        <w:tc>
          <w:tcPr>
            <w:tcW w:w="19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4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Non-GAAP operating margin excluded share-based compensation expenses, severance payment and others, legal and litigation costs, restructuring and other related costs, non-marketable equity securities revaluation, and charges arising from the implementation or application of the OECD Pillar Two global minimum tax framework, including charges resulting from changes in implementing regulations, administrative guidance or related governmental measures, as shown on </w:t>
            </w:r>
            <w:r>
              <w:rPr>
                <w:rFonts w:ascii="Arial;Helvetica;sans-serif" w:hAnsi="Arial;Helvetica;sans-serif"/>
                <w:b/>
                <w:color w:val="000000"/>
                <w:sz w:val="15"/>
              </w:rPr>
              <w:t>Appendix A</w:t>
            </w:r>
            <w:r>
              <w:rPr>
                <w:rFonts w:ascii="Arial;Helvetica;sans-serif" w:hAnsi="Arial;Helvetica;sans-serif"/>
                <w:color w:val="000000"/>
                <w:sz w:val="15"/>
              </w:rPr>
              <w:t xml:space="preserve">.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6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27" descr=""/>
                          <pic:cNvPicPr>
                            <a:picLocks noChangeAspect="1" noChangeArrowheads="1"/>
                          </pic:cNvPicPr>
                        </pic:nvPicPr>
                        <pic:blipFill>
                          <a:blip r:embed="rId16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2" w:name="ny20081940x1_def14a_110-executive_pg9"/>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24200" cy="962025"/>
                <wp:effectExtent l="0" t="0" r="0" b="0"/>
                <wp:wrapSquare wrapText="right"/>
                <wp:docPr id="266" name="Frame103"/>
                <a:graphic xmlns:a="http://schemas.openxmlformats.org/drawingml/2006/main">
                  <a:graphicData uri="http://schemas.microsoft.com/office/word/2010/wordprocessingShape">
                    <wps:wsp>
                      <wps:cNvSpPr txBox="1"/>
                      <wps:spPr>
                        <a:xfrm>
                          <a:off x="0" y="0"/>
                          <a:ext cx="3124200" cy="9620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2026, consistent with our executive compensation philosophy and commitment to pay for performance, the Compensation Committee determined that maximum bonuses would be awarded to our Named Officers under the Fiscal 2026 Bonus Plan. </w:t>
                            </w:r>
                          </w:p>
                        </w:txbxContent>
                      </wps:txbx>
                      <wps:bodyPr anchor="t" lIns="0" tIns="0" rIns="0" bIns="0">
                        <a:noAutofit/>
                      </wps:bodyPr>
                    </wps:wsp>
                  </a:graphicData>
                </a:graphic>
              </wp:anchor>
            </w:drawing>
          </mc:Choice>
          <mc:Fallback>
            <w:pict>
              <v:rect style="position:absolute;rotation:-0;width:246pt;height:75.75pt;mso-wrap-distance-left:0pt;mso-wrap-distance-right:0pt;mso-wrap-distance-top:0pt;mso-wrap-distance-bottom:0pt;margin-top:0pt;mso-position-vertical:top;mso-position-vertical-relative:text;margin-left:261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2026, consistent with our executive compensation philosophy and commitment to pay for performance, the Compensation Committee determined that maximum bonuses would be awarded to our Named Officers under the Fiscal 2026 Bonus Plan. </w:t>
                      </w:r>
                    </w:p>
                  </w:txbxContent>
                </v:textbox>
                <w10:wrap type="square" side="right"/>
              </v:rect>
            </w:pict>
          </mc:Fallback>
        </mc:AlternateContent>
      </w:r>
      <w:r>
        <mc:AlternateContent>
          <mc:Choice Requires="wps">
            <w:drawing>
              <wp:anchor behindDoc="0" distT="0" distB="0" distL="228600" distR="0" simplePos="0" locked="0" layoutInCell="1" allowOverlap="1" relativeHeight="308">
                <wp:simplePos x="0" y="0"/>
                <wp:positionH relativeFrom="column">
                  <wp:align>left</wp:align>
                </wp:positionH>
                <wp:positionV relativeFrom="line">
                  <wp:posOffset>635</wp:posOffset>
                </wp:positionV>
                <wp:extent cx="3124200" cy="523875"/>
                <wp:effectExtent l="0" t="0" r="0" b="0"/>
                <wp:wrapSquare wrapText="right"/>
                <wp:docPr id="267" name="Frame104"/>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describes the target, maximum and actual bonus amounts for each of our Named Officers under the Fiscal 2026 Bonus Plan.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79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describes the target, maximum and actual bonus amounts for each of our Named Officers under the Fiscal 2026 Bonus Plan.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096"/>
        <w:gridCol w:w="170"/>
        <w:gridCol w:w="170"/>
        <w:gridCol w:w="1144"/>
        <w:gridCol w:w="170"/>
        <w:gridCol w:w="170"/>
        <w:gridCol w:w="1033"/>
        <w:gridCol w:w="170"/>
        <w:gridCol w:w="170"/>
        <w:gridCol w:w="1144"/>
        <w:gridCol w:w="170"/>
        <w:gridCol w:w="170"/>
        <w:gridCol w:w="1099"/>
        <w:gridCol w:w="170"/>
        <w:gridCol w:w="170"/>
        <w:gridCol w:w="1133"/>
        <w:gridCol w:w="170"/>
        <w:gridCol w:w="170"/>
        <w:gridCol w:w="1053"/>
        <w:gridCol w:w="218"/>
      </w:tblGrid>
      <w:tr>
        <w:trPr/>
        <w:tc>
          <w:tcPr>
            <w:tcW w:w="185" w:type="dxa"/>
            <w:tcBorders/>
            <w:shd w:fill="819F7C" w:val="clear"/>
            <w:vAlign w:val="center"/>
          </w:tcPr>
          <w:p>
            <w:pPr>
              <w:pStyle w:val="TableContents"/>
              <w:bidi w:val="0"/>
              <w:spacing w:before="0" w:after="0"/>
              <w:jc w:val="left"/>
              <w:rPr/>
            </w:pPr>
            <w:r>
              <w:rPr/>
              <w:t> </w:t>
            </w:r>
          </w:p>
        </w:tc>
        <w:tc>
          <w:tcPr>
            <w:tcW w:w="109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9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33"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3"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96"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FY26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3"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FY26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4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FY26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99"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FY26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Opportunity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 Salary)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33"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FY26 Actual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53"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FY26 Actual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Opportunity)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9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$1,932,000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140%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99"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3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120%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$1,462,500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120% </w:t>
            </w:r>
          </w:p>
        </w:tc>
        <w:tc>
          <w:tcPr>
            <w:tcW w:w="218"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9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THB 24,380,400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44"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THB 29,256,480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99"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3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THB 29,256,480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53"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120%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9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120%</w:t>
            </w:r>
          </w:p>
        </w:tc>
        <w:tc>
          <w:tcPr>
            <w:tcW w:w="218" w:type="dxa"/>
            <w:tcBorders/>
            <w:vAlign w:val="center"/>
          </w:tcPr>
          <w:p>
            <w:pPr>
              <w:pStyle w:val="TableContents"/>
              <w:bidi w:val="0"/>
              <w:spacing w:before="0" w:after="0"/>
              <w:jc w:val="left"/>
              <w:rPr/>
            </w:pPr>
            <w:r>
              <w:rPr/>
              <w:t> </w:t>
            </w:r>
          </w:p>
        </w:tc>
      </w:tr>
    </w:tbl>
    <w:p>
      <w:pPr>
        <w:pStyle w:val="TextBody"/>
        <w:bidi w:val="0"/>
        <w:spacing w:before="40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Long-Term Equity Incentive Awards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124200" cy="4431030"/>
                <wp:effectExtent l="0" t="0" r="0" b="0"/>
                <wp:wrapSquare wrapText="right"/>
                <wp:docPr id="268" name="Frame105"/>
                <a:graphic xmlns:a="http://schemas.openxmlformats.org/drawingml/2006/main">
                  <a:graphicData uri="http://schemas.microsoft.com/office/word/2010/wordprocessingShape">
                    <wps:wsp>
                      <wps:cNvSpPr txBox="1"/>
                      <wps:spPr>
                        <a:xfrm>
                          <a:off x="0" y="0"/>
                          <a:ext cx="3124200" cy="44310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equity incentive plans are a critical component of the compensation program that we believe incentivizes our executive officers and key employees to focus on building shareholder value through meeting long-term financial and strategic goals. We currently grant RSUs and PSUs to our executive officers under the 2020 Plan. We also adopted our 2017 Inducement Equity Incentive Plan in November 2017 solely for the granting of inducement share options and other equity awards to new employees. RSUs function as a retention incentive for our executives as they generally vest annually over a three or four-year period after the date of grant, subject to the executive’s continued service with us.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furtherance of our commitment to the executive compensation program’s philosophy to pay for performance and to help align more closely the interests of our executive officers with those of our shareholders and consistent with the practice it adopted in August 2016, the Compensation Committee granted PSUs to our Named Officers in August 2025 that will be earned, if at all, following a cumulative 2-year performance period covering fiscal 2026 and fiscal 2027. Any earned PSUs will vest in full on the date the Compensation Committee certifies achievement of the performance criteria described below. The Compensation Committee also granted time-based RSUs to our Named Officers in fiscal 2026. </w:t>
                            </w:r>
                          </w:p>
                        </w:txbxContent>
                      </wps:txbx>
                      <wps:bodyPr anchor="t" lIns="0" tIns="0" rIns="0" bIns="0">
                        <a:noAutofit/>
                      </wps:bodyPr>
                    </wps:wsp>
                  </a:graphicData>
                </a:graphic>
              </wp:anchor>
            </w:drawing>
          </mc:Choice>
          <mc:Fallback>
            <w:pict>
              <v:rect style="position:absolute;rotation:-0;width:246pt;height:34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equity incentive plans are a critical component of the compensation program that we believe incentivizes our executive officers and key employees to focus on building shareholder value through meeting long-term financial and strategic goals. We currently grant RSUs and PSUs to our executive officers under the 2020 Plan. We also adopted our 2017 Inducement Equity Incentive Plan in November 2017 solely for the granting of inducement share options and other equity awards to new employees. RSUs function as a retention incentive for our executives as they generally vest annually over a three or four-year period after the date of grant, subject to the executive’s continued service with us.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furtherance of our commitment to the executive compensation program’s philosophy to pay for performance and to help align more closely the interests of our executive officers with those of our shareholders and consistent with the practice it adopted in August 2016, the Compensation Committee granted PSUs to our Named Officers in August 2025 that will be earned, if at all, following a cumulative 2-year performance period covering fiscal 2026 and fiscal 2027. Any earned PSUs will vest in full on the date the Compensation Committee certifies achievement of the performance criteria described below. The Compensation Committee also granted time-based RSUs to our Named Officers in fiscal 2026. </w:t>
                      </w:r>
                    </w:p>
                  </w:txbxContent>
                </v:textbox>
                <w10:wrap type="square" side="right"/>
              </v:rect>
            </w:pict>
          </mc:Fallback>
        </mc:AlternateContent>
      </w:r>
      <w:r>
        <mc:AlternateContent>
          <mc:Choice Requires="wps">
            <w:drawing>
              <wp:anchor behindDoc="0" distT="0" distB="0" distL="228600" distR="0" simplePos="0" locked="0" layoutInCell="1" allowOverlap="1" relativeHeight="310">
                <wp:simplePos x="0" y="0"/>
                <wp:positionH relativeFrom="column">
                  <wp:align>left</wp:align>
                </wp:positionH>
                <wp:positionV relativeFrom="line">
                  <wp:posOffset>635</wp:posOffset>
                </wp:positionV>
                <wp:extent cx="3124200" cy="5714365"/>
                <wp:effectExtent l="0" t="0" r="0" b="0"/>
                <wp:wrapSquare wrapText="right"/>
                <wp:docPr id="269" name="Frame106"/>
                <a:graphic xmlns:a="http://schemas.openxmlformats.org/drawingml/2006/main">
                  <a:graphicData uri="http://schemas.microsoft.com/office/word/2010/wordprocessingShape">
                    <wps:wsp>
                      <wps:cNvSpPr txBox="1"/>
                      <wps:spPr>
                        <a:xfrm>
                          <a:off x="0" y="0"/>
                          <a:ext cx="3124200" cy="571436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bases long-term equity incentive award grants to executives on a number of factors, including the Market Data provided by Compensia, the executive’s vested and unvested equity holdings, the executive’s position and total compensation package, and the executive’s contribution to the success of our financial performance.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fiscal 2026, equity award grants to our Named Officers were weighted heavily toward performance, as shown in the table below. </w:t>
                            </w:r>
                          </w:p>
                          <w:tbl>
                            <w:tblPr>
                              <w:tblW w:w="4950" w:type="dxa"/>
                              <w:jc w:val="left"/>
                              <w:tblInd w:w="60" w:type="dxa"/>
                              <w:tblLayout w:type="fixed"/>
                              <w:tblCellMar>
                                <w:top w:w="0" w:type="dxa"/>
                                <w:left w:w="0" w:type="dxa"/>
                                <w:bottom w:w="0" w:type="dxa"/>
                                <w:right w:w="0" w:type="dxa"/>
                              </w:tblCellMar>
                            </w:tblPr>
                            <w:tblGrid>
                              <w:gridCol w:w="185"/>
                              <w:gridCol w:w="1010"/>
                              <w:gridCol w:w="170"/>
                              <w:gridCol w:w="170"/>
                              <w:gridCol w:w="1610"/>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FY26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Performance-Based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(PSUs)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FY26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(RSUs)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33%</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believes that this mix of performance-based awards and service-based awards was appropriate to emphasize and more closely align pay with the achievement of important, key performance metrics that significantly can impact our business success.</w:t>
                            </w:r>
                          </w:p>
                        </w:txbxContent>
                      </wps:txbx>
                      <wps:bodyPr anchor="t" lIns="0" tIns="0" rIns="0" bIns="0">
                        <a:noAutofit/>
                      </wps:bodyPr>
                    </wps:wsp>
                  </a:graphicData>
                </a:graphic>
              </wp:anchor>
            </w:drawing>
          </mc:Choice>
          <mc:Fallback>
            <w:pict>
              <v:rect style="position:absolute;rotation:-0;width:246pt;height:449.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bases long-term equity incentive award grants to executives on a number of factors, including the Market Data provided by Compensia, the executive’s vested and unvested equity holdings, the executive’s position and total compensation package, and the executive’s contribution to the success of our financial performance.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fiscal 2026, equity award grants to our Named Officers were weighted heavily toward performance, as shown in the table below. </w:t>
                      </w:r>
                    </w:p>
                    <w:tbl>
                      <w:tblPr>
                        <w:tblW w:w="4950" w:type="dxa"/>
                        <w:jc w:val="left"/>
                        <w:tblInd w:w="60" w:type="dxa"/>
                        <w:tblLayout w:type="fixed"/>
                        <w:tblCellMar>
                          <w:top w:w="0" w:type="dxa"/>
                          <w:left w:w="0" w:type="dxa"/>
                          <w:bottom w:w="0" w:type="dxa"/>
                          <w:right w:w="0" w:type="dxa"/>
                        </w:tblCellMar>
                      </w:tblPr>
                      <w:tblGrid>
                        <w:gridCol w:w="185"/>
                        <w:gridCol w:w="1010"/>
                        <w:gridCol w:w="170"/>
                        <w:gridCol w:w="170"/>
                        <w:gridCol w:w="1610"/>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FY26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Performance-Based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(PSUs)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of FY26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(RSUs)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61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33%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33%</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Compensation Committee believes that this mix of performance-based awards and service-based awards was appropriate to emphasize and more closely align pay with the achievement of important, key performance metrics that significantly can impact our business success.</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7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28" descr=""/>
                          <pic:cNvPicPr>
                            <a:picLocks noChangeAspect="1" noChangeArrowheads="1"/>
                          </pic:cNvPicPr>
                        </pic:nvPicPr>
                        <pic:blipFill>
                          <a:blip r:embed="rId16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3" w:name="ny20081940x1_def14a_110-executive_pg10"/>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24200" cy="669925"/>
                <wp:effectExtent l="0" t="0" r="0" b="0"/>
                <wp:wrapSquare wrapText="right"/>
                <wp:docPr id="271" name="Frame107"/>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table shows the number of ordinary shares covered by RSUs, PSUs and “stretch” PSUs (“</w:t>
                            </w:r>
                            <w:r>
                              <w:rPr>
                                <w:rFonts w:ascii="Arial;Helvetica;sans-serif" w:hAnsi="Arial;Helvetica;sans-serif"/>
                                <w:b/>
                                <w:color w:val="000000"/>
                                <w:sz w:val="20"/>
                              </w:rPr>
                              <w:t>Stretch PSUs</w:t>
                            </w:r>
                            <w:r>
                              <w:rPr>
                                <w:rFonts w:ascii="Arial;Helvetica;sans-serif" w:hAnsi="Arial;Helvetica;sans-serif"/>
                                <w:color w:val="000000"/>
                                <w:sz w:val="20"/>
                              </w:rPr>
                              <w:t xml:space="preserve">”) that were granted to our Named Officers in fiscal </w:t>
                            </w:r>
                          </w:p>
                        </w:txbxContent>
                      </wps:txbx>
                      <wps:bodyPr anchor="t" lIns="0" tIns="0" rIns="0" bIns="0">
                        <a:noAutofit/>
                      </wps:bodyPr>
                    </wps:wsp>
                  </a:graphicData>
                </a:graphic>
              </wp:anchor>
            </w:drawing>
          </mc:Choice>
          <mc:Fallback>
            <w:pict>
              <v:rect style="position:absolute;rotation:-0;width:246pt;height:5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table shows the number of ordinary shares covered by RSUs, PSUs and “stretch” PSUs (“</w:t>
                      </w:r>
                      <w:r>
                        <w:rPr>
                          <w:rFonts w:ascii="Arial;Helvetica;sans-serif" w:hAnsi="Arial;Helvetica;sans-serif"/>
                          <w:b/>
                          <w:color w:val="000000"/>
                          <w:sz w:val="20"/>
                        </w:rPr>
                        <w:t>Stretch PSUs</w:t>
                      </w:r>
                      <w:r>
                        <w:rPr>
                          <w:rFonts w:ascii="Arial;Helvetica;sans-serif" w:hAnsi="Arial;Helvetica;sans-serif"/>
                          <w:color w:val="000000"/>
                          <w:sz w:val="20"/>
                        </w:rPr>
                        <w:t xml:space="preserve">”) that were granted to our Named Officers in fiscal </w:t>
                      </w:r>
                    </w:p>
                  </w:txbxContent>
                </v:textbox>
                <w10:wrap type="square" side="right"/>
              </v:rect>
            </w:pict>
          </mc:Fallback>
        </mc:AlternateContent>
      </w:r>
      <w:r>
        <mc:AlternateContent>
          <mc:Choice Requires="wps">
            <w:drawing>
              <wp:anchor behindDoc="0" distT="0" distB="0" distL="228600" distR="0" simplePos="0" locked="0" layoutInCell="1" allowOverlap="1" relativeHeight="312">
                <wp:simplePos x="0" y="0"/>
                <wp:positionH relativeFrom="column">
                  <wp:align>left</wp:align>
                </wp:positionH>
                <wp:positionV relativeFrom="line">
                  <wp:posOffset>635</wp:posOffset>
                </wp:positionV>
                <wp:extent cx="3124200" cy="523875"/>
                <wp:effectExtent l="0" t="0" r="0" b="0"/>
                <wp:wrapSquare wrapText="right"/>
                <wp:docPr id="272" name="Frame108"/>
                <a:graphic xmlns:a="http://schemas.openxmlformats.org/drawingml/2006/main">
                  <a:graphicData uri="http://schemas.microsoft.com/office/word/2010/wordprocessingShape">
                    <wps:wsp>
                      <wps:cNvSpPr txBox="1"/>
                      <wps:spPr>
                        <a:xfrm>
                          <a:off x="0" y="0"/>
                          <a:ext cx="3124200" cy="5238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2026 and the intended value (assuming achievement of the highest level of performance conditions where applicable) of such equity awards at the time of grant. </w:t>
                            </w:r>
                          </w:p>
                        </w:txbxContent>
                      </wps:txbx>
                      <wps:bodyPr anchor="t" lIns="0" tIns="0" rIns="0" bIns="0">
                        <a:noAutofit/>
                      </wps:bodyPr>
                    </wps:wsp>
                  </a:graphicData>
                </a:graphic>
              </wp:anchor>
            </w:drawing>
          </mc:Choice>
          <mc:Fallback>
            <w:pict>
              <v:rect style="position:absolute;rotation:-0;width:246pt;height:41.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2026 and the intended value (assuming achievement of the highest level of performance conditions where applicable) of such equity awards at the time of grant.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236"/>
        <w:gridCol w:w="170"/>
        <w:gridCol w:w="170"/>
        <w:gridCol w:w="1017"/>
        <w:gridCol w:w="170"/>
        <w:gridCol w:w="170"/>
        <w:gridCol w:w="1245"/>
        <w:gridCol w:w="170"/>
        <w:gridCol w:w="170"/>
        <w:gridCol w:w="804"/>
        <w:gridCol w:w="170"/>
        <w:gridCol w:w="170"/>
        <w:gridCol w:w="1305"/>
        <w:gridCol w:w="170"/>
        <w:gridCol w:w="170"/>
        <w:gridCol w:w="804"/>
        <w:gridCol w:w="170"/>
        <w:gridCol w:w="170"/>
        <w:gridCol w:w="1291"/>
        <w:gridCol w:w="218"/>
      </w:tblGrid>
      <w:tr>
        <w:trPr/>
        <w:tc>
          <w:tcPr>
            <w:tcW w:w="185"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7"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0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1"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7"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Time-Based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0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PSUs at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Level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4"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Subject to </w:t>
            </w:r>
          </w:p>
          <w:p>
            <w:pPr>
              <w:pStyle w:val="TableContents"/>
              <w:bidi w:val="0"/>
              <w:spacing w:before="0" w:after="283"/>
              <w:jc w:val="center"/>
              <w:rPr>
                <w:color w:val="FFFFFF"/>
              </w:rPr>
            </w:pPr>
            <w:r>
              <w:rPr>
                <w:color w:val="FFFFFF"/>
              </w:rPr>
              <w:t>“</w:t>
            </w:r>
            <w:r>
              <w:rPr>
                <w:rFonts w:ascii="Arial;Helvetica;sans-serif" w:hAnsi="Arial;Helvetica;sans-serif"/>
                <w:b/>
                <w:color w:val="FFFFFF"/>
                <w:sz w:val="16"/>
              </w:rPr>
              <w:t xml:space="preserve">Stretch”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PSUs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91"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Intended Value of </w:t>
            </w:r>
          </w:p>
          <w:p>
            <w:pPr>
              <w:pStyle w:val="TableContents"/>
              <w:bidi w:val="0"/>
              <w:spacing w:before="0" w:after="283"/>
              <w:jc w:val="center"/>
              <w:rPr>
                <w:color w:val="FFFFFF"/>
              </w:rPr>
            </w:pPr>
            <w:r>
              <w:rPr>
                <w:color w:val="FFFFFF"/>
              </w:rPr>
              <w:t>“</w:t>
            </w:r>
            <w:r>
              <w:rPr>
                <w:rFonts w:ascii="Arial;Helvetica;sans-serif" w:hAnsi="Arial;Helvetica;sans-serif"/>
                <w:b/>
                <w:color w:val="FFFFFF"/>
                <w:sz w:val="16"/>
              </w:rPr>
              <w:t xml:space="preserve">Stretch” PSUs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Level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7" w:type="dxa"/>
            <w:tcBorders/>
            <w:shd w:fill="E5E9E3" w:val="clear"/>
            <w:vAlign w:val="center"/>
          </w:tcPr>
          <w:p>
            <w:pPr>
              <w:pStyle w:val="TableContents"/>
              <w:bidi w:val="0"/>
              <w:spacing w:before="0" w:after="283"/>
              <w:ind w:left="337" w:right="0" w:hanging="0"/>
              <w:jc w:val="left"/>
              <w:rPr>
                <w:rFonts w:ascii="Arial;Helvetica;sans-serif" w:hAnsi="Arial;Helvetica;sans-serif"/>
                <w:color w:val="000000"/>
                <w:sz w:val="19"/>
              </w:rPr>
            </w:pPr>
            <w:r>
              <w:rPr>
                <w:rFonts w:ascii="Arial;Helvetica;sans-serif" w:hAnsi="Arial;Helvetica;sans-serif"/>
                <w:color w:val="000000"/>
                <w:sz w:val="19"/>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5"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$3,150,000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05" w:type="dxa"/>
            <w:tcBorders/>
            <w:shd w:fill="E5E9E3" w:val="clear"/>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$3,150,000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1"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$3,150,000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337" w:right="0" w:hanging="0"/>
              <w:jc w:val="left"/>
              <w:rPr>
                <w:rFonts w:ascii="Arial;Helvetica;sans-serif" w:hAnsi="Arial;Helvetica;sans-serif"/>
                <w:color w:val="000000"/>
                <w:sz w:val="19"/>
              </w:rPr>
            </w:pPr>
            <w:r>
              <w:rPr>
                <w:rFonts w:ascii="Arial;Helvetica;sans-serif" w:hAnsi="Arial;Helvetica;sans-serif"/>
                <w:color w:val="000000"/>
                <w:sz w:val="19"/>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5"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$1,730,000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$1,730,000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1"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$1,730,000 </w:t>
            </w:r>
          </w:p>
        </w:tc>
        <w:tc>
          <w:tcPr>
            <w:tcW w:w="218"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7" w:type="dxa"/>
            <w:tcBorders/>
            <w:shd w:fill="E5E9E3" w:val="clear"/>
            <w:vAlign w:val="center"/>
          </w:tcPr>
          <w:p>
            <w:pPr>
              <w:pStyle w:val="TableContents"/>
              <w:bidi w:val="0"/>
              <w:spacing w:before="0" w:after="283"/>
              <w:ind w:left="337" w:right="0" w:hanging="0"/>
              <w:jc w:val="left"/>
              <w:rPr>
                <w:rFonts w:ascii="Arial;Helvetica;sans-serif" w:hAnsi="Arial;Helvetica;sans-serif"/>
                <w:color w:val="000000"/>
                <w:sz w:val="19"/>
              </w:rPr>
            </w:pPr>
            <w:r>
              <w:rPr>
                <w:rFonts w:ascii="Arial;Helvetica;sans-serif" w:hAnsi="Arial;Helvetica;sans-serif"/>
                <w:color w:val="000000"/>
                <w:sz w:val="19"/>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5"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$1,040,000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05" w:type="dxa"/>
            <w:tcBorders/>
            <w:shd w:fill="E5E9E3" w:val="clear"/>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$1,040,000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4" w:type="dxa"/>
            <w:tcBorders/>
            <w:shd w:fill="E5E9E3" w:val="clear"/>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91" w:type="dxa"/>
            <w:tcBorders/>
            <w:shd w:fill="E5E9E3" w:val="clear"/>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 xml:space="preserve">$1,040,000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7" w:type="dxa"/>
            <w:tcBorders/>
            <w:vAlign w:val="center"/>
          </w:tcPr>
          <w:p>
            <w:pPr>
              <w:pStyle w:val="TableContents"/>
              <w:bidi w:val="0"/>
              <w:spacing w:before="0" w:after="283"/>
              <w:ind w:left="337" w:right="0" w:hanging="0"/>
              <w:jc w:val="left"/>
              <w:rPr>
                <w:rFonts w:ascii="Arial;Helvetica;sans-serif" w:hAnsi="Arial;Helvetica;sans-serif"/>
                <w:color w:val="000000"/>
                <w:sz w:val="19"/>
              </w:rPr>
            </w:pPr>
            <w:r>
              <w:rPr>
                <w:rFonts w:ascii="Arial;Helvetica;sans-serif" w:hAnsi="Arial;Helvetica;sans-serif"/>
                <w:color w:val="000000"/>
                <w:sz w:val="19"/>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5"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437"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 w:type="dxa"/>
            <w:tcBorders/>
            <w:vAlign w:val="center"/>
          </w:tcPr>
          <w:p>
            <w:pPr>
              <w:pStyle w:val="TableContents"/>
              <w:bidi w:val="0"/>
              <w:spacing w:before="0" w:after="283"/>
              <w:ind w:left="233" w:right="0" w:hanging="0"/>
              <w:jc w:val="left"/>
              <w:rPr>
                <w:rFonts w:ascii="Arial;Helvetica;sans-serif" w:hAnsi="Arial;Helvetica;sans-serif"/>
                <w:color w:val="000000"/>
                <w:sz w:val="19"/>
              </w:rPr>
            </w:pPr>
            <w:r>
              <w:rPr>
                <w:rFonts w:ascii="Arial;Helvetica;sans-serif" w:hAnsi="Arial;Helvetica;sans-serif"/>
                <w:color w:val="000000"/>
                <w:sz w:val="19"/>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1" w:type="dxa"/>
            <w:tcBorders/>
            <w:vAlign w:val="center"/>
          </w:tcPr>
          <w:p>
            <w:pPr>
              <w:pStyle w:val="TableContents"/>
              <w:bidi w:val="0"/>
              <w:spacing w:before="0" w:after="283"/>
              <w:ind w:left="374" w:right="0" w:hanging="0"/>
              <w:jc w:val="left"/>
              <w:rPr>
                <w:rFonts w:ascii="Arial;Helvetica;sans-serif" w:hAnsi="Arial;Helvetica;sans-serif"/>
                <w:color w:val="000000"/>
                <w:sz w:val="19"/>
              </w:rPr>
            </w:pPr>
            <w:r>
              <w:rPr>
                <w:rFonts w:ascii="Arial;Helvetica;sans-serif" w:hAnsi="Arial;Helvetica;sans-serif"/>
                <w:color w:val="000000"/>
                <w:sz w:val="19"/>
              </w:rPr>
              <w:t>$</w:t>
            </w:r>
            <w:r>
              <w:rPr>
                <w:rFonts w:ascii="Arial;Helvetica;sans-serif" w:hAnsi="Arial;Helvetica;sans-serif"/>
                <w:color w:val="000000"/>
                <w:sz w:val="19"/>
              </w:rPr>
              <w:t>840,000</w:t>
            </w:r>
          </w:p>
        </w:tc>
        <w:tc>
          <w:tcPr>
            <w:tcW w:w="218"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04"/>
        <w:gridCol w:w="9941"/>
      </w:tblGrid>
      <w:tr>
        <w:trPr/>
        <w:tc>
          <w:tcPr>
            <w:tcW w:w="20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intended value of each of these equity awards was converted into a number of shares subject to the applicable RSUs, PSUs or Stretch PSUs by dividing the intended value by $277.04, the closing price per share of our ordinary shares on the NYSE on the date of grant, and rounding up to the nearest whole share. </w:t>
            </w:r>
          </w:p>
        </w:tc>
      </w:tr>
    </w:tbl>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3124200" cy="5271135"/>
                <wp:effectExtent l="0" t="0" r="0" b="0"/>
                <wp:wrapSquare wrapText="right"/>
                <wp:docPr id="273" name="Frame109"/>
                <a:graphic xmlns:a="http://schemas.openxmlformats.org/drawingml/2006/main">
                  <a:graphicData uri="http://schemas.microsoft.com/office/word/2010/wordprocessingShape">
                    <wps:wsp>
                      <wps:cNvSpPr txBox="1"/>
                      <wps:spPr>
                        <a:xfrm>
                          <a:off x="0" y="0"/>
                          <a:ext cx="3124200" cy="52711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RSUs granted to our Named Officers in fiscal 2026 will vest in equal annual installments over a period of three years on each anniversary of the grant date, subject to the individual’s continued service with us through each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PSUs and Stretch PSUs will vest, if at all, following a 2-year performance period, on the date the Compensation Committee certifies achievement of the applicable performance criteria set forth below, subject to the individual’s continued service with us through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PSUs will be based 50% on achievement of a cumulative fiscal 2026 and fiscal 2027 revenue goal (the “</w:t>
                            </w:r>
                            <w:r>
                              <w:rPr>
                                <w:rFonts w:ascii="Arial;Helvetica;sans-serif" w:hAnsi="Arial;Helvetica;sans-serif"/>
                                <w:b/>
                                <w:color w:val="000000"/>
                                <w:sz w:val="20"/>
                              </w:rPr>
                              <w:t>PSU Revenue Target</w:t>
                            </w:r>
                            <w:r>
                              <w:rPr>
                                <w:rFonts w:ascii="Arial;Helvetica;sans-serif" w:hAnsi="Arial;Helvetica;sans-serif"/>
                                <w:color w:val="000000"/>
                                <w:sz w:val="20"/>
                              </w:rPr>
                              <w:t>”) and 50% on achievement of a cumulative fiscal 2026 and fiscal 2027 non-GAAP operating margin goal (the “</w:t>
                            </w:r>
                            <w:r>
                              <w:rPr>
                                <w:rFonts w:ascii="Arial;Helvetica;sans-serif" w:hAnsi="Arial;Helvetica;sans-serif"/>
                                <w:b/>
                                <w:color w:val="000000"/>
                                <w:sz w:val="20"/>
                              </w:rPr>
                              <w:t>PSU Operating Margin Target</w:t>
                            </w:r>
                            <w:r>
                              <w:rPr>
                                <w:rFonts w:ascii="Arial;Helvetica;sans-serif" w:hAnsi="Arial;Helvetica;sans-serif"/>
                                <w:color w:val="000000"/>
                                <w:sz w:val="20"/>
                              </w:rPr>
                              <w:t xml:space="preserve">”). The Compensation Committee chose these performance goals because it believes that these constitute important, key performance metrics that significantly can impact our business success. As achievement of each financial goal is considered independently from the other, we must meet a threshold for each goal in order for an individual to receive any credit for that goal. If we achieve 100% or more of a target financial goal, the PSUs will vest as to 100% of the PSUs allocated to that financial goal. If we achieve a threshold performance level of 90% of a target financial goal, the PSUs will vest as to 20% of the PSUs allocated to that financial goal. Achievement of the PSU Revenue Target or the PSU Operating Margin Target at a level between </w:t>
                            </w:r>
                          </w:p>
                        </w:txbxContent>
                      </wps:txbx>
                      <wps:bodyPr anchor="t" lIns="0" tIns="0" rIns="0" bIns="0">
                        <a:noAutofit/>
                      </wps:bodyPr>
                    </wps:wsp>
                  </a:graphicData>
                </a:graphic>
              </wp:anchor>
            </w:drawing>
          </mc:Choice>
          <mc:Fallback>
            <w:pict>
              <v:rect style="position:absolute;rotation:-0;width:246pt;height:41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RSUs granted to our Named Officers in fiscal 2026 will vest in equal annual installments over a period of three years on each anniversary of the grant date, subject to the individual’s continued service with us through each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PSUs and Stretch PSUs will vest, if at all, following a 2-year performance period, on the date the Compensation Committee certifies achievement of the applicable performance criteria set forth below, subject to the individual’s continued service with us through such vesting date.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PSUs will be based 50% on achievement of a cumulative fiscal 2026 and fiscal 2027 revenue goal (the “</w:t>
                      </w:r>
                      <w:r>
                        <w:rPr>
                          <w:rFonts w:ascii="Arial;Helvetica;sans-serif" w:hAnsi="Arial;Helvetica;sans-serif"/>
                          <w:b/>
                          <w:color w:val="000000"/>
                          <w:sz w:val="20"/>
                        </w:rPr>
                        <w:t>PSU Revenue Target</w:t>
                      </w:r>
                      <w:r>
                        <w:rPr>
                          <w:rFonts w:ascii="Arial;Helvetica;sans-serif" w:hAnsi="Arial;Helvetica;sans-serif"/>
                          <w:color w:val="000000"/>
                          <w:sz w:val="20"/>
                        </w:rPr>
                        <w:t>”) and 50% on achievement of a cumulative fiscal 2026 and fiscal 2027 non-GAAP operating margin goal (the “</w:t>
                      </w:r>
                      <w:r>
                        <w:rPr>
                          <w:rFonts w:ascii="Arial;Helvetica;sans-serif" w:hAnsi="Arial;Helvetica;sans-serif"/>
                          <w:b/>
                          <w:color w:val="000000"/>
                          <w:sz w:val="20"/>
                        </w:rPr>
                        <w:t>PSU Operating Margin Target</w:t>
                      </w:r>
                      <w:r>
                        <w:rPr>
                          <w:rFonts w:ascii="Arial;Helvetica;sans-serif" w:hAnsi="Arial;Helvetica;sans-serif"/>
                          <w:color w:val="000000"/>
                          <w:sz w:val="20"/>
                        </w:rPr>
                        <w:t xml:space="preserve">”). The Compensation Committee chose these performance goals because it believes that these constitute important, key performance metrics that significantly can impact our business success. As achievement of each financial goal is considered independently from the other, we must meet a threshold for each goal in order for an individual to receive any credit for that goal. If we achieve 100% or more of a target financial goal, the PSUs will vest as to 100% of the PSUs allocated to that financial goal. If we achieve a threshold performance level of 90% of a target financial goal, the PSUs will vest as to 20% of the PSUs allocated to that financial goal. Achievement of the PSU Revenue Target or the PSU Operating Margin Target at a level between </w:t>
                      </w:r>
                    </w:p>
                  </w:txbxContent>
                </v:textbox>
                <w10:wrap type="square" side="right"/>
              </v:rect>
            </w:pict>
          </mc:Fallback>
        </mc:AlternateContent>
      </w:r>
      <w:r>
        <mc:AlternateContent>
          <mc:Choice Requires="wps">
            <w:drawing>
              <wp:anchor behindDoc="0" distT="0" distB="0" distL="228600" distR="0" simplePos="0" locked="0" layoutInCell="1" allowOverlap="1" relativeHeight="314">
                <wp:simplePos x="0" y="0"/>
                <wp:positionH relativeFrom="column">
                  <wp:align>left</wp:align>
                </wp:positionH>
                <wp:positionV relativeFrom="line">
                  <wp:posOffset>635</wp:posOffset>
                </wp:positionV>
                <wp:extent cx="3124200" cy="5307330"/>
                <wp:effectExtent l="0" t="0" r="0" b="0"/>
                <wp:wrapSquare wrapText="right"/>
                <wp:docPr id="274" name="Frame110"/>
                <a:graphic xmlns:a="http://schemas.openxmlformats.org/drawingml/2006/main">
                  <a:graphicData uri="http://schemas.microsoft.com/office/word/2010/wordprocessingShape">
                    <wps:wsp>
                      <wps:cNvSpPr txBox="1"/>
                      <wps:spPr>
                        <a:xfrm>
                          <a:off x="0" y="0"/>
                          <a:ext cx="3124200" cy="53073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90% and 100% will result in a number of shares vesting for the applicable goal that is scaled from 20% to 100% of the PSUs allocated to that goal in a linear fashion.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Stretch PSUs will be based 50% on achievement of a cumulative fiscal 2026 and fiscal 2027 revenue goal that is 5% higher than the PSU Revenue Target (the “</w:t>
                            </w:r>
                            <w:r>
                              <w:rPr>
                                <w:rFonts w:ascii="Arial;Helvetica;sans-serif" w:hAnsi="Arial;Helvetica;sans-serif"/>
                                <w:b/>
                                <w:color w:val="000000"/>
                                <w:sz w:val="20"/>
                              </w:rPr>
                              <w:t>Stretch PSU Revenue Target</w:t>
                            </w:r>
                            <w:r>
                              <w:rPr>
                                <w:rFonts w:ascii="Arial;Helvetica;sans-serif" w:hAnsi="Arial;Helvetica;sans-serif"/>
                                <w:color w:val="000000"/>
                                <w:sz w:val="20"/>
                              </w:rPr>
                              <w:t>”) and 50% on achievement of a cumulative fiscal 2026 and fiscal 2027 non-GAAP operating margin goal that is 5 basis points higher than the PSU Operating Margin Target (the “</w:t>
                            </w:r>
                            <w:r>
                              <w:rPr>
                                <w:rFonts w:ascii="Arial;Helvetica;sans-serif" w:hAnsi="Arial;Helvetica;sans-serif"/>
                                <w:b/>
                                <w:color w:val="000000"/>
                                <w:sz w:val="20"/>
                              </w:rPr>
                              <w:t>Stretch PSU Operating Margin Target</w:t>
                            </w:r>
                            <w:r>
                              <w:rPr>
                                <w:rFonts w:ascii="Arial;Helvetica;sans-serif" w:hAnsi="Arial;Helvetica;sans-serif"/>
                                <w:color w:val="000000"/>
                                <w:sz w:val="20"/>
                              </w:rPr>
                              <w:t xml:space="preserve">”). As achievement of each financial goal is considered independently from the other, we must meet a threshold for each goal in order for an individual to receive any credit for that goal. If we achieve 100% or more of a target financial goal, the Stretch PSUs will vest as to 100% of the Stretch PSUs allocated to that financial goal. Achievement of the Stretch PSU Revenue Target at a level between its threshold PSU Revenue Target and 100% will result in a number of shares vesting for that goal that is scaled from 0% to 100% of the Stretch PSUs allocated to that goal in a linear fashion. Achievement of the Stretch PSU Operating Margin Target at a level between its threshold PSU Operating Margin Target and 100% will result in a number of shares vesting for that goal that is scaled from 0% to 100% of the Stretch PSUs allocated to that goal in a linear fashion. </w:t>
                            </w:r>
                            <w:r>
                              <w:rPr>
                                <w:rFonts w:ascii="Arial;Helvetica;sans-serif" w:hAnsi="Arial;Helvetica;sans-serif"/>
                                <w:b/>
                                <w:color w:val="000000"/>
                                <w:sz w:val="20"/>
                              </w:rPr>
                              <w:t>We must exceed the PSU Revenue Target or the PSU Operating Margin Target in order for any of the Stretch PSUs to vest. There is no overlap between the performance measures for PSUs and Stretch PSUs.</w:t>
                            </w:r>
                            <w:r>
                              <w:rPr>
                                <w:rFonts w:ascii="Arial;Helvetica;sans-serif" w:hAnsi="Arial;Helvetica;sans-serif"/>
                                <w:color w:val="000000"/>
                                <w:sz w:val="20"/>
                              </w:rPr>
                              <w:t xml:space="preserve"> </w:t>
                            </w:r>
                          </w:p>
                        </w:txbxContent>
                      </wps:txbx>
                      <wps:bodyPr anchor="t" lIns="0" tIns="0" rIns="0" bIns="0">
                        <a:noAutofit/>
                      </wps:bodyPr>
                    </wps:wsp>
                  </a:graphicData>
                </a:graphic>
              </wp:anchor>
            </w:drawing>
          </mc:Choice>
          <mc:Fallback>
            <w:pict>
              <v:rect style="position:absolute;rotation:-0;width:246pt;height:417.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90% and 100% will result in a number of shares vesting for the applicable goal that is scaled from 20% to 100% of the PSUs allocated to that goal in a linear fashion.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Vesting of the Stretch PSUs will be based 50% on achievement of a cumulative fiscal 2026 and fiscal 2027 revenue goal that is 5% higher than the PSU Revenue Target (the “</w:t>
                      </w:r>
                      <w:r>
                        <w:rPr>
                          <w:rFonts w:ascii="Arial;Helvetica;sans-serif" w:hAnsi="Arial;Helvetica;sans-serif"/>
                          <w:b/>
                          <w:color w:val="000000"/>
                          <w:sz w:val="20"/>
                        </w:rPr>
                        <w:t>Stretch PSU Revenue Target</w:t>
                      </w:r>
                      <w:r>
                        <w:rPr>
                          <w:rFonts w:ascii="Arial;Helvetica;sans-serif" w:hAnsi="Arial;Helvetica;sans-serif"/>
                          <w:color w:val="000000"/>
                          <w:sz w:val="20"/>
                        </w:rPr>
                        <w:t>”) and 50% on achievement of a cumulative fiscal 2026 and fiscal 2027 non-GAAP operating margin goal that is 5 basis points higher than the PSU Operating Margin Target (the “</w:t>
                      </w:r>
                      <w:r>
                        <w:rPr>
                          <w:rFonts w:ascii="Arial;Helvetica;sans-serif" w:hAnsi="Arial;Helvetica;sans-serif"/>
                          <w:b/>
                          <w:color w:val="000000"/>
                          <w:sz w:val="20"/>
                        </w:rPr>
                        <w:t>Stretch PSU Operating Margin Target</w:t>
                      </w:r>
                      <w:r>
                        <w:rPr>
                          <w:rFonts w:ascii="Arial;Helvetica;sans-serif" w:hAnsi="Arial;Helvetica;sans-serif"/>
                          <w:color w:val="000000"/>
                          <w:sz w:val="20"/>
                        </w:rPr>
                        <w:t xml:space="preserve">”). As achievement of each financial goal is considered independently from the other, we must meet a threshold for each goal in order for an individual to receive any credit for that goal. If we achieve 100% or more of a target financial goal, the Stretch PSUs will vest as to 100% of the Stretch PSUs allocated to that financial goal. Achievement of the Stretch PSU Revenue Target at a level between its threshold PSU Revenue Target and 100% will result in a number of shares vesting for that goal that is scaled from 0% to 100% of the Stretch PSUs allocated to that goal in a linear fashion. Achievement of the Stretch PSU Operating Margin Target at a level between its threshold PSU Operating Margin Target and 100% will result in a number of shares vesting for that goal that is scaled from 0% to 100% of the Stretch PSUs allocated to that goal in a linear fashion. </w:t>
                      </w:r>
                      <w:r>
                        <w:rPr>
                          <w:rFonts w:ascii="Arial;Helvetica;sans-serif" w:hAnsi="Arial;Helvetica;sans-serif"/>
                          <w:b/>
                          <w:color w:val="000000"/>
                          <w:sz w:val="20"/>
                        </w:rPr>
                        <w:t>We must exceed the PSU Revenue Target or the PSU Operating Margin Target in order for any of the Stretch PSUs to vest. There is no overlap between the performance measures for PSUs and Stretch PSUs.</w:t>
                      </w:r>
                      <w:r>
                        <w:rPr>
                          <w:rFonts w:ascii="Arial;Helvetica;sans-serif" w:hAnsi="Arial;Helvetica;sans-serif"/>
                          <w:color w:val="000000"/>
                          <w:sz w:val="20"/>
                        </w:rPr>
                        <w:t xml:space="preserve">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7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29" descr=""/>
                          <pic:cNvPicPr>
                            <a:picLocks noChangeAspect="1" noChangeArrowheads="1"/>
                          </pic:cNvPicPr>
                        </pic:nvPicPr>
                        <pic:blipFill>
                          <a:blip r:embed="rId16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4" w:name="ny20081940x1_def14a_110-executive_pg11"/>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24200" cy="6403340"/>
                <wp:effectExtent l="0" t="0" r="0" b="0"/>
                <wp:wrapSquare wrapText="right"/>
                <wp:docPr id="276" name="Frame111"/>
                <a:graphic xmlns:a="http://schemas.openxmlformats.org/drawingml/2006/main">
                  <a:graphicData uri="http://schemas.microsoft.com/office/word/2010/wordprocessingShape">
                    <wps:wsp>
                      <wps:cNvSpPr txBox="1"/>
                      <wps:spPr>
                        <a:xfrm>
                          <a:off x="0" y="0"/>
                          <a:ext cx="3124200" cy="6403340"/>
                        </a:xfrm>
                        <a:prstGeom prst="rect"/>
                        <a:solidFill>
                          <a:srgbClr val="FFFFFF"/>
                        </a:solidFill>
                      </wps:spPr>
                      <wps:txb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Personal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our Named Officers with certain perquisites and personal benefits because we believe that such benefits are a tax-advantaged way to provide our Named Officers with additional annual compensation that supplements their annual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only Dr. Gill received a tax equalization payment in fiscal 2026 because he qualified for such benefit under the policy.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October 2014, the Compensation Committee approved the payment of additional cash compensation to Dr. Gill in the amount of 20% of his then-current annual base salary, determined and payable bi-monthly, with a tax gross-up (the “</w:t>
                            </w:r>
                            <w:r>
                              <w:rPr>
                                <w:rFonts w:ascii="Arial;Helvetica;sans-serif" w:hAnsi="Arial;Helvetica;sans-serif"/>
                                <w:b/>
                                <w:color w:val="000000"/>
                                <w:sz w:val="20"/>
                              </w:rPr>
                              <w:t>Foreign Service Premium Pay</w:t>
                            </w:r>
                            <w:r>
                              <w:rPr>
                                <w:rFonts w:ascii="Arial;Helvetica;sans-serif" w:hAnsi="Arial;Helvetica;sans-serif"/>
                                <w:color w:val="000000"/>
                                <w:sz w:val="20"/>
                              </w:rPr>
                              <w:t xml:space="preserve">”), to incentivize him to continue working for us in Thailand and to ameliorate the resulting hardship to his family who is located in the United States. The </w:t>
                            </w:r>
                          </w:p>
                        </w:txbxContent>
                      </wps:txbx>
                      <wps:bodyPr anchor="t" lIns="0" tIns="0" rIns="0" bIns="0">
                        <a:noAutofit/>
                      </wps:bodyPr>
                    </wps:wsp>
                  </a:graphicData>
                </a:graphic>
              </wp:anchor>
            </w:drawing>
          </mc:Choice>
          <mc:Fallback>
            <w:pict>
              <v:rect style="position:absolute;rotation:-0;width:246pt;height:50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Personal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our Named Officers with certain perquisites and personal benefits because we believe that such benefits are a tax-advantaged way to provide our Named Officers with additional annual compensation that supplements their annual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only Dr. Gill received a tax equalization payment in fiscal 2026 because he qualified for such benefit under the policy.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October 2014, the Compensation Committee approved the payment of additional cash compensation to Dr. Gill in the amount of 20% of his then-current annual base salary, determined and payable bi-monthly, with a tax gross-up (the “</w:t>
                      </w:r>
                      <w:r>
                        <w:rPr>
                          <w:rFonts w:ascii="Arial;Helvetica;sans-serif" w:hAnsi="Arial;Helvetica;sans-serif"/>
                          <w:b/>
                          <w:color w:val="000000"/>
                          <w:sz w:val="20"/>
                        </w:rPr>
                        <w:t>Foreign Service Premium Pay</w:t>
                      </w:r>
                      <w:r>
                        <w:rPr>
                          <w:rFonts w:ascii="Arial;Helvetica;sans-serif" w:hAnsi="Arial;Helvetica;sans-serif"/>
                          <w:color w:val="000000"/>
                          <w:sz w:val="20"/>
                        </w:rPr>
                        <w:t xml:space="preserve">”), to incentivize him to continue working for us in Thailand and to ameliorate the resulting hardship to his family who is located in the United States. The </w:t>
                      </w:r>
                    </w:p>
                  </w:txbxContent>
                </v:textbox>
                <w10:wrap type="square" side="right"/>
              </v:rect>
            </w:pict>
          </mc:Fallback>
        </mc:AlternateContent>
      </w:r>
      <w:r>
        <mc:AlternateContent>
          <mc:Choice Requires="wps">
            <w:drawing>
              <wp:anchor behindDoc="0" distT="0" distB="0" distL="228600" distR="0" simplePos="0" locked="0" layoutInCell="1" allowOverlap="1" relativeHeight="316">
                <wp:simplePos x="0" y="0"/>
                <wp:positionH relativeFrom="column">
                  <wp:align>left</wp:align>
                </wp:positionH>
                <wp:positionV relativeFrom="line">
                  <wp:posOffset>635</wp:posOffset>
                </wp:positionV>
                <wp:extent cx="3124200" cy="6443345"/>
                <wp:effectExtent l="0" t="0" r="0" b="0"/>
                <wp:wrapSquare wrapText="right"/>
                <wp:docPr id="277" name="Frame112"/>
                <a:graphic xmlns:a="http://schemas.openxmlformats.org/drawingml/2006/main">
                  <a:graphicData uri="http://schemas.microsoft.com/office/word/2010/wordprocessingShape">
                    <wps:wsp>
                      <wps:cNvSpPr txBox="1"/>
                      <wps:spPr>
                        <a:xfrm>
                          <a:off x="0" y="0"/>
                          <a:ext cx="3124200" cy="644334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Foreign Service Premium Pay is payable for as long as Dr. Gill is required to, and does, temporarily reside and work in Thailand. During fiscal 2026, Dr. Gill also received a family travel allowance of $25,000.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Mr. Grady, Dr. Gill and Mr. Archer each received an annual automobile allowance of $12,000.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October 2016, we adopted a perquisite policy that excludes non-business travel-related expenses and charitable contributions. The perquisites and personal benefits paid to each Named Officer are reported in the “All Other Compensation” column of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below and are further described in the footnotes to such table.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and Other Benefits Upon Termination of Employment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for a description of the severance benefits our Named Officers may be entitled to receive upon termination of their employment. </w:t>
                            </w:r>
                          </w:p>
                        </w:txbxContent>
                      </wps:txbx>
                      <wps:bodyPr anchor="t" lIns="0" tIns="0" rIns="0" bIns="0">
                        <a:noAutofit/>
                      </wps:bodyPr>
                    </wps:wsp>
                  </a:graphicData>
                </a:graphic>
              </wp:anchor>
            </w:drawing>
          </mc:Choice>
          <mc:Fallback>
            <w:pict>
              <v:rect style="position:absolute;rotation:-0;width:246pt;height:507.3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Foreign Service Premium Pay is payable for as long as Dr. Gill is required to, and does, temporarily reside and work in Thailand. During fiscal 2026, Dr. Gill also received a family travel allowance of $25,000.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fiscal 2026, Mr. Grady, Dr. Gill and Mr. Archer each received an annual automobile allowance of $12,000.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October 2016, we adopted a perquisite policy that excludes non-business travel-related expenses and charitable contributions. The perquisites and personal benefits paid to each Named Officer are reported in the “All Other Compensation” column of the “</w:t>
                      </w:r>
                      <w:r>
                        <w:rPr>
                          <w:rFonts w:ascii="Arial;Helvetica;sans-serif" w:hAnsi="Arial;Helvetica;sans-serif"/>
                          <w:i/>
                          <w:color w:val="000000"/>
                          <w:sz w:val="20"/>
                        </w:rPr>
                        <w:t>Summary Compensation Table</w:t>
                      </w:r>
                      <w:r>
                        <w:rPr>
                          <w:rFonts w:ascii="Arial;Helvetica;sans-serif" w:hAnsi="Arial;Helvetica;sans-serif"/>
                          <w:color w:val="000000"/>
                          <w:sz w:val="20"/>
                        </w:rPr>
                        <w:t xml:space="preserve">” below and are further described in the footnotes to such table.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and Other Benefits Upon Termination of Employment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w:t>
                      </w:r>
                      <w:r>
                        <w:rPr>
                          <w:rFonts w:ascii="Arial;Helvetica;sans-serif" w:hAnsi="Arial;Helvetica;sans-serif"/>
                          <w:i/>
                          <w:color w:val="000000"/>
                          <w:sz w:val="20"/>
                        </w:rPr>
                        <w:t>Potential Payments Upon Termination or Change in Control</w:t>
                      </w:r>
                      <w:r>
                        <w:rPr>
                          <w:rFonts w:ascii="Arial;Helvetica;sans-serif" w:hAnsi="Arial;Helvetica;sans-serif"/>
                          <w:color w:val="000000"/>
                          <w:sz w:val="20"/>
                        </w:rPr>
                        <w:t xml:space="preserve">” below, for a description of the severance benefits our Named Officers may be entitled to receive upon termination of their employment.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7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30" descr=""/>
                          <pic:cNvPicPr>
                            <a:picLocks noChangeAspect="1" noChangeArrowheads="1"/>
                          </pic:cNvPicPr>
                        </pic:nvPicPr>
                        <pic:blipFill>
                          <a:blip r:embed="rId16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5" w:name="ny20081940x1_def14a_110-executive_pg12"/>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Results of PSU Awards Granted in Prior Fiscal Years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124200" cy="2824480"/>
                <wp:effectExtent l="0" t="0" r="0" b="0"/>
                <wp:wrapSquare wrapText="right"/>
                <wp:docPr id="279" name="Frame113"/>
                <a:graphic xmlns:a="http://schemas.openxmlformats.org/drawingml/2006/main">
                  <a:graphicData uri="http://schemas.microsoft.com/office/word/2010/wordprocessingShape">
                    <wps:wsp>
                      <wps:cNvSpPr txBox="1"/>
                      <wps:spPr>
                        <a:xfrm>
                          <a:off x="0" y="0"/>
                          <a:ext cx="3124200" cy="282448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2024, the Compensation Committee granted PSUs (the “FY25-26 Base PSUs”) and Stretch PSUs (the “FY25-26 Stretch PSUs”) to each of our Named Officers. These awards were eligible to be earned based on achievement of performance criteria over a two-year period that began on June 29, 2024 and ended on June 26, 2026 (the “FY25-26 Cycle”).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the FY25-26 Cycle, we achieved cumulative revenue of $8,060.4 million and cumulative non-GAAP operating margin of 10.679%. Our cumulative revenue exceeded the highest revenue goals of $6,293.5 million and $6,608.2 million established by the Compensation Committee under the FY25-26 Base PSUs and FY25-26 Stretch PSUs, respectively. Our cumulative non-GAAP operating margin (i) exceeded the highest non-GAAP operating margin </w:t>
                            </w:r>
                          </w:p>
                        </w:txbxContent>
                      </wps:txbx>
                      <wps:bodyPr anchor="t" lIns="0" tIns="0" rIns="0" bIns="0">
                        <a:noAutofit/>
                      </wps:bodyPr>
                    </wps:wsp>
                  </a:graphicData>
                </a:graphic>
              </wp:anchor>
            </w:drawing>
          </mc:Choice>
          <mc:Fallback>
            <w:pict>
              <v:rect style="position:absolute;rotation:-0;width:246pt;height:22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2024, the Compensation Committee granted PSUs (the “FY25-26 Base PSUs”) and Stretch PSUs (the “FY25-26 Stretch PSUs”) to each of our Named Officers. These awards were eligible to be earned based on achievement of performance criteria over a two-year period that began on June 29, 2024 and ended on June 26, 2026 (the “FY25-26 Cycle”). </w:t>
                      </w:r>
                    </w:p>
                    <w:p>
                      <w:pPr>
                        <w:pStyle w:val="TextBody"/>
                        <w:bidi w:val="0"/>
                        <w:spacing w:before="120"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For the FY25-26 Cycle, we achieved cumulative revenue of $8,060.4 million and cumulative non-GAAP operating margin of 10.679%. Our cumulative revenue exceeded the highest revenue goals of $6,293.5 million and $6,608.2 million established by the Compensation Committee under the FY25-26 Base PSUs and FY25-26 Stretch PSUs, respectively. Our cumulative non-GAAP operating margin (i) exceeded the highest non-GAAP operating margin </w:t>
                      </w:r>
                    </w:p>
                  </w:txbxContent>
                </v:textbox>
                <w10:wrap type="square" side="right"/>
              </v:rect>
            </w:pict>
          </mc:Fallback>
        </mc:AlternateContent>
      </w:r>
      <w:r>
        <mc:AlternateContent>
          <mc:Choice Requires="wps">
            <w:drawing>
              <wp:anchor behindDoc="0" distT="0" distB="0" distL="228600" distR="0" simplePos="0" locked="0" layoutInCell="1" allowOverlap="1" relativeHeight="318">
                <wp:simplePos x="0" y="0"/>
                <wp:positionH relativeFrom="column">
                  <wp:align>left</wp:align>
                </wp:positionH>
                <wp:positionV relativeFrom="line">
                  <wp:posOffset>635</wp:posOffset>
                </wp:positionV>
                <wp:extent cx="3124200" cy="2678430"/>
                <wp:effectExtent l="0" t="0" r="0" b="0"/>
                <wp:wrapSquare wrapText="right"/>
                <wp:docPr id="280" name="Frame114"/>
                <a:graphic xmlns:a="http://schemas.openxmlformats.org/drawingml/2006/main">
                  <a:graphicData uri="http://schemas.microsoft.com/office/word/2010/wordprocessingShape">
                    <wps:wsp>
                      <wps:cNvSpPr txBox="1"/>
                      <wps:spPr>
                        <a:xfrm>
                          <a:off x="0" y="0"/>
                          <a:ext cx="3124200" cy="267843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goal of 10.2% established by the Compensation Committee under the FY25-26 Base PSUs and (ii) fell between the threshold non-GAAP operating margin goal of 10.2% and the highest non-GAAP operating margin goal of 10.7% established by the Compensation Committee under the FY25-26 Stretch PSUs. </w:t>
                            </w:r>
                            <w:r>
                              <w:rPr>
                                <w:rFonts w:ascii="Arial;Helvetica;sans-serif" w:hAnsi="Arial;Helvetica;sans-serif"/>
                                <w:b w:val="false"/>
                                <w:color w:val="000000"/>
                                <w:sz w:val="20"/>
                              </w:rPr>
                              <w:t xml:space="preserve">Accordingly, on August 11, 2026, the Compensation Committee certified that 100% of the FY25-26 Base PSUs and 97.9% of the FY25-26 Stretch PSUs were earned based on our achievement of the performance measures for the FY25-26 Cycle. The remaining FY25-26 Stretch PSUs were forfeited.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tables below provide information regarding the FY25-26 Base PSUs and FY25-26 Stretch PSUs, including the performance requirements and number of our ordinary shares earned. </w:t>
                            </w:r>
                          </w:p>
                        </w:txbxContent>
                      </wps:txbx>
                      <wps:bodyPr anchor="t" lIns="0" tIns="0" rIns="0" bIns="0">
                        <a:noAutofit/>
                      </wps:bodyPr>
                    </wps:wsp>
                  </a:graphicData>
                </a:graphic>
              </wp:anchor>
            </w:drawing>
          </mc:Choice>
          <mc:Fallback>
            <w:pict>
              <v:rect style="position:absolute;rotation:-0;width:246pt;height:210.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goal of 10.2% established by the Compensation Committee under the FY25-26 Base PSUs and (ii) fell between the threshold non-GAAP operating margin goal of 10.2% and the highest non-GAAP operating margin goal of 10.7% established by the Compensation Committee under the FY25-26 Stretch PSUs. </w:t>
                      </w:r>
                      <w:r>
                        <w:rPr>
                          <w:rFonts w:ascii="Arial;Helvetica;sans-serif" w:hAnsi="Arial;Helvetica;sans-serif"/>
                          <w:b w:val="false"/>
                          <w:color w:val="000000"/>
                          <w:sz w:val="20"/>
                        </w:rPr>
                        <w:t xml:space="preserve">Accordingly, on August 11, 2026, the Compensation Committee certified that 100% of the FY25-26 Base PSUs and 97.9% of the FY25-26 Stretch PSUs were earned based on our achievement of the performance measures for the FY25-26 Cycle. The remaining FY25-26 Stretch PSUs were forfeited.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tables below provide information regarding the FY25-26 Base PSUs and FY25-26 Stretch PSUs, including the performance requirements and number of our ordinary shares earned. </w:t>
                      </w:r>
                    </w:p>
                  </w:txbxContent>
                </v:textbox>
                <w10:wrap type="square" side="right"/>
              </v:rect>
            </w:pict>
          </mc:Fallback>
        </mc:AlternateContent>
      </w:r>
    </w:p>
    <w:tbl>
      <w:tblPr>
        <w:tblW w:w="10145" w:type="dxa"/>
        <w:jc w:val="left"/>
        <w:tblInd w:w="60" w:type="dxa"/>
        <w:tblLayout w:type="fixed"/>
        <w:tblCellMar>
          <w:top w:w="0" w:type="dxa"/>
          <w:left w:w="0" w:type="dxa"/>
          <w:bottom w:w="0" w:type="dxa"/>
          <w:right w:w="0" w:type="dxa"/>
        </w:tblCellMar>
      </w:tblPr>
      <w:tblGrid>
        <w:gridCol w:w="185"/>
        <w:gridCol w:w="1010"/>
        <w:gridCol w:w="170"/>
        <w:gridCol w:w="170"/>
        <w:gridCol w:w="586"/>
        <w:gridCol w:w="170"/>
        <w:gridCol w:w="170"/>
        <w:gridCol w:w="1042"/>
        <w:gridCol w:w="170"/>
        <w:gridCol w:w="170"/>
        <w:gridCol w:w="808"/>
        <w:gridCol w:w="170"/>
        <w:gridCol w:w="170"/>
        <w:gridCol w:w="2996"/>
        <w:gridCol w:w="170"/>
        <w:gridCol w:w="170"/>
        <w:gridCol w:w="1602"/>
        <w:gridCol w:w="216"/>
      </w:tblGrid>
      <w:tr>
        <w:trPr/>
        <w:tc>
          <w:tcPr>
            <w:tcW w:w="185" w:type="dxa"/>
            <w:tcBorders/>
            <w:shd w:fill="E5E9E3" w:val="clear"/>
            <w:vAlign w:val="center"/>
          </w:tcPr>
          <w:p>
            <w:pPr>
              <w:pStyle w:val="TableContents"/>
              <w:bidi w:val="0"/>
              <w:spacing w:before="0" w:after="0"/>
              <w:jc w:val="left"/>
              <w:rPr/>
            </w:pPr>
            <w:r>
              <w:rPr/>
              <w:t> </w:t>
            </w:r>
          </w:p>
        </w:tc>
        <w:tc>
          <w:tcPr>
            <w:tcW w:w="9744" w:type="dxa"/>
            <w:gridSpan w:val="16"/>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744" w:type="dxa"/>
            <w:gridSpan w:val="16"/>
            <w:tcBorders/>
            <w:shd w:fill="E5E9E3" w:val="clear"/>
            <w:vAlign w:val="center"/>
          </w:tcPr>
          <w:p>
            <w:pPr>
              <w:pStyle w:val="TableContents"/>
              <w:bidi w:val="0"/>
              <w:spacing w:before="40" w:after="283"/>
              <w:jc w:val="center"/>
              <w:rPr>
                <w:rFonts w:ascii="Arial;Helvetica;sans-serif" w:hAnsi="Arial;Helvetica;sans-serif"/>
                <w:b/>
                <w:color w:val="578255"/>
                <w:sz w:val="24"/>
              </w:rPr>
            </w:pPr>
            <w:r>
              <w:rPr>
                <w:rFonts w:ascii="Arial;Helvetica;sans-serif" w:hAnsi="Arial;Helvetica;sans-serif"/>
                <w:b/>
                <w:color w:val="578255"/>
                <w:sz w:val="24"/>
              </w:rPr>
              <w:t xml:space="preserve">FY25-26 Base PSUs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8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(and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Could Have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8"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Number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 Measures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0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Performance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FY25-26 Cycle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2"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996"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31" descr=""/>
                          <pic:cNvPicPr>
                            <a:picLocks noChangeAspect="1" noChangeArrowheads="1"/>
                          </pic:cNvPicPr>
                        </pic:nvPicPr>
                        <pic:blipFill>
                          <a:blip r:embed="rId168"/>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10% to 50% vesting based on achievement of revenue between $5,664.2 million and $6,293.5 million</w:t>
            </w:r>
          </w:p>
          <w:p>
            <w:pPr>
              <w:pStyle w:val="TableContents"/>
              <w:bidi w:val="0"/>
              <w:spacing w:before="0" w:after="283"/>
              <w:ind w:left="401"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32" descr=""/>
                          <pic:cNvPicPr>
                            <a:picLocks noChangeAspect="1" noChangeArrowheads="1"/>
                          </pic:cNvPicPr>
                        </pic:nvPicPr>
                        <pic:blipFill>
                          <a:blip r:embed="rId169"/>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10% to 50% vesting based on achievement of non-GAAP operating margin between 9.2% and 10.2%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602"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33" descr=""/>
                          <pic:cNvPicPr>
                            <a:picLocks noChangeAspect="1" noChangeArrowheads="1"/>
                          </pic:cNvPicPr>
                        </pic:nvPicPr>
                        <pic:blipFill>
                          <a:blip r:embed="rId170"/>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pacing w:val="-8"/>
                <w:sz w:val="19"/>
              </w:rPr>
            </w:pPr>
            <w:r>
              <w:rPr>
                <w:rFonts w:ascii="Arial;Helvetica;sans-serif" w:hAnsi="Arial;Helvetica;sans-serif"/>
                <w:color w:val="000000"/>
                <w:spacing w:val="-8"/>
                <w:sz w:val="19"/>
              </w:rPr>
              <w:t xml:space="preserve">Revenue of $8,060.4 </w:t>
              <w:br/>
              <w:t xml:space="preserve">million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34" descr=""/>
                          <pic:cNvPicPr>
                            <a:picLocks noChangeAspect="1" noChangeArrowheads="1"/>
                          </pic:cNvPicPr>
                        </pic:nvPicPr>
                        <pic:blipFill>
                          <a:blip r:embed="rId171"/>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Non-GAAP operating margin of 10.679%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6,493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2"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3,820 </w:t>
            </w:r>
          </w:p>
        </w:tc>
        <w:tc>
          <w:tcPr>
            <w:tcW w:w="170" w:type="dxa"/>
            <w:tcBorders/>
            <w:shd w:fill="E5E9E3"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bl>
    <w:tbl>
      <w:tblPr>
        <w:tblW w:w="10145" w:type="dxa"/>
        <w:jc w:val="left"/>
        <w:tblInd w:w="60" w:type="dxa"/>
        <w:tblLayout w:type="fixed"/>
        <w:tblCellMar>
          <w:top w:w="0" w:type="dxa"/>
          <w:left w:w="0" w:type="dxa"/>
          <w:bottom w:w="0" w:type="dxa"/>
          <w:right w:w="0" w:type="dxa"/>
        </w:tblCellMar>
      </w:tblPr>
      <w:tblGrid>
        <w:gridCol w:w="185"/>
        <w:gridCol w:w="1010"/>
        <w:gridCol w:w="170"/>
        <w:gridCol w:w="170"/>
        <w:gridCol w:w="586"/>
        <w:gridCol w:w="170"/>
        <w:gridCol w:w="170"/>
        <w:gridCol w:w="1042"/>
        <w:gridCol w:w="170"/>
        <w:gridCol w:w="170"/>
        <w:gridCol w:w="808"/>
        <w:gridCol w:w="170"/>
        <w:gridCol w:w="170"/>
        <w:gridCol w:w="2996"/>
        <w:gridCol w:w="170"/>
        <w:gridCol w:w="170"/>
        <w:gridCol w:w="1602"/>
        <w:gridCol w:w="216"/>
      </w:tblGrid>
      <w:tr>
        <w:trPr/>
        <w:tc>
          <w:tcPr>
            <w:tcW w:w="185" w:type="dxa"/>
            <w:tcBorders/>
            <w:shd w:fill="E5E9E3" w:val="clear"/>
            <w:vAlign w:val="center"/>
          </w:tcPr>
          <w:p>
            <w:pPr>
              <w:pStyle w:val="TableContents"/>
              <w:bidi w:val="0"/>
              <w:spacing w:before="0" w:after="0"/>
              <w:jc w:val="left"/>
              <w:rPr/>
            </w:pPr>
            <w:r>
              <w:rPr/>
              <w:t> </w:t>
            </w:r>
          </w:p>
        </w:tc>
        <w:tc>
          <w:tcPr>
            <w:tcW w:w="9744" w:type="dxa"/>
            <w:gridSpan w:val="16"/>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9744" w:type="dxa"/>
            <w:gridSpan w:val="16"/>
            <w:tcBorders/>
            <w:shd w:fill="E5E9E3" w:val="clear"/>
            <w:vAlign w:val="center"/>
          </w:tcPr>
          <w:p>
            <w:pPr>
              <w:pStyle w:val="TableContents"/>
              <w:bidi w:val="0"/>
              <w:spacing w:before="40" w:after="283"/>
              <w:jc w:val="center"/>
              <w:rPr>
                <w:rFonts w:ascii="Arial;Helvetica;sans-serif" w:hAnsi="Arial;Helvetica;sans-serif"/>
                <w:b/>
                <w:color w:val="578255"/>
                <w:sz w:val="24"/>
              </w:rPr>
            </w:pPr>
            <w:r>
              <w:rPr>
                <w:rFonts w:ascii="Arial;Helvetica;sans-serif" w:hAnsi="Arial;Helvetica;sans-serif"/>
                <w:b/>
                <w:color w:val="578255"/>
                <w:sz w:val="24"/>
              </w:rPr>
              <w:t xml:space="preserve">FY25-26 Stretch PSUs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8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(and 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Could Have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08"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Number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 Measures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FY25-26 Cycle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60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Performance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FY25-26 Cycle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2"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10,121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9,908</w:t>
            </w:r>
          </w:p>
        </w:tc>
        <w:tc>
          <w:tcPr>
            <w:tcW w:w="170" w:type="dxa"/>
            <w:tcBorders/>
            <w:shd w:fill="E5E9E3"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996"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35" descr=""/>
                          <pic:cNvPicPr>
                            <a:picLocks noChangeAspect="1" noChangeArrowheads="1"/>
                          </pic:cNvPicPr>
                        </pic:nvPicPr>
                        <pic:blipFill>
                          <a:blip r:embed="rId172"/>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0% to 50% vesting based on achievement of revenue between $6,293.5 million and $6,608.2 million</w:t>
            </w:r>
          </w:p>
          <w:p>
            <w:pPr>
              <w:pStyle w:val="TableContents"/>
              <w:bidi w:val="0"/>
              <w:spacing w:before="0" w:after="283"/>
              <w:ind w:left="401"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36" descr=""/>
                          <pic:cNvPicPr>
                            <a:picLocks noChangeAspect="1" noChangeArrowheads="1"/>
                          </pic:cNvPicPr>
                        </pic:nvPicPr>
                        <pic:blipFill>
                          <a:blip r:embed="rId173"/>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0% to 50% vesting based on achievement of non-GAAP operating margin between 10.2% and 10.7%</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602" w:type="dxa"/>
            <w:vMerge w:val="restart"/>
            <w:tcBorders/>
            <w:vAlign w:val="center"/>
          </w:tcPr>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37" descr=""/>
                          <pic:cNvPicPr>
                            <a:picLocks noChangeAspect="1" noChangeArrowheads="1"/>
                          </pic:cNvPicPr>
                        </pic:nvPicPr>
                        <pic:blipFill>
                          <a:blip r:embed="rId174"/>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pacing w:val="-8"/>
                <w:sz w:val="19"/>
              </w:rPr>
            </w:pPr>
            <w:r>
              <w:rPr>
                <w:rFonts w:ascii="Arial;Helvetica;sans-serif" w:hAnsi="Arial;Helvetica;sans-serif"/>
                <w:color w:val="000000"/>
                <w:spacing w:val="-8"/>
                <w:sz w:val="19"/>
              </w:rPr>
              <w:t xml:space="preserve">Revenue of $8,060.4 </w:t>
              <w:br/>
              <w:t>million</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401"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r>
              <w:rPr>
                <w:color w:val="000000"/>
              </w:rPr>
              <w:drawing>
                <wp:inline distT="0" distB="0" distL="0" distR="0">
                  <wp:extent cx="104775" cy="104775"/>
                  <wp:effectExtent l="0" t="0" r="0" b="0"/>
                  <wp:docPr id="28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38" descr=""/>
                          <pic:cNvPicPr>
                            <a:picLocks noChangeAspect="1" noChangeArrowheads="1"/>
                          </pic:cNvPicPr>
                        </pic:nvPicPr>
                        <pic:blipFill>
                          <a:blip r:embed="rId175"/>
                          <a:stretch>
                            <a:fillRect/>
                          </a:stretch>
                        </pic:blipFill>
                        <pic:spPr bwMode="auto">
                          <a:xfrm>
                            <a:off x="0" y="0"/>
                            <a:ext cx="104775" cy="104775"/>
                          </a:xfrm>
                          <a:prstGeom prst="rect">
                            <a:avLst/>
                          </a:prstGeom>
                        </pic:spPr>
                      </pic:pic>
                    </a:graphicData>
                  </a:graphic>
                </wp:inline>
              </w:drawing>
            </w: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Non-GAAP operating margin of 10.679%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Dr.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6,493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6,356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8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2"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3,820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08" w:type="dxa"/>
            <w:tcBorders/>
            <w:shd w:fill="E5E9E3" w:val="clear"/>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 xml:space="preserve">3,739 </w:t>
            </w:r>
          </w:p>
        </w:tc>
        <w:tc>
          <w:tcPr>
            <w:tcW w:w="170" w:type="dxa"/>
            <w:tcBorders/>
            <w:shd w:fill="E5E9E3" w:val="cle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0" w:right="0" w:hanging="0"/>
              <w:jc w:val="left"/>
              <w:rPr>
                <w:rFonts w:ascii="Arial;Helvetica;sans-serif" w:hAnsi="Arial;Helvetica;sans-serif"/>
                <w:color w:val="000000"/>
                <w:sz w:val="19"/>
              </w:rPr>
            </w:pPr>
            <w:r>
              <w:rPr>
                <w:rFonts w:ascii="Arial;Helvetica;sans-serif" w:hAnsi="Arial;Helvetica;sans-serif"/>
                <w:color w:val="000000"/>
                <w:sz w:val="19"/>
              </w:rPr>
              <w:t>Mr.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6"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2"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3,056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jc w:val="center"/>
              <w:rPr>
                <w:rFonts w:ascii="Arial;Helvetica;sans-serif" w:hAnsi="Arial;Helvetica;sans-serif"/>
                <w:color w:val="000000"/>
                <w:sz w:val="19"/>
              </w:rPr>
            </w:pPr>
            <w:r>
              <w:rPr>
                <w:rFonts w:ascii="Arial;Helvetica;sans-serif" w:hAnsi="Arial;Helvetica;sans-serif"/>
                <w:color w:val="000000"/>
                <w:sz w:val="19"/>
              </w:rPr>
              <w:t>2,991</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299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60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bl>
    <w:p>
      <w:pPr>
        <w:pStyle w:val="TextBody"/>
        <w:bidi w:val="0"/>
        <w:spacing w:before="3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Prohibited Transactions in Our Securities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124200" cy="710565"/>
                <wp:effectExtent l="0" t="0" r="0" b="0"/>
                <wp:wrapSquare wrapText="right"/>
                <wp:docPr id="289" name="Frame115"/>
                <a:graphic xmlns:a="http://schemas.openxmlformats.org/drawingml/2006/main">
                  <a:graphicData uri="http://schemas.microsoft.com/office/word/2010/wordprocessingShape">
                    <wps:wsp>
                      <wps:cNvSpPr txBox="1"/>
                      <wps:spPr>
                        <a:xfrm>
                          <a:off x="0" y="0"/>
                          <a:ext cx="3124200" cy="710565"/>
                        </a:xfrm>
                        <a:prstGeom prst="rect"/>
                        <a:solidFill>
                          <a:srgbClr val="FFFFFF"/>
                        </a:solidFill>
                      </wps:spPr>
                      <wps:txbx>
                        <w:txbxContent>
                          <w:p>
                            <w:pPr>
                              <w:pStyle w:val="TextBody"/>
                              <w:bidi w:val="0"/>
                              <w:spacing w:lineRule="atLeast" w:line="24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Named Officers, along with all of our employees, must adhere to strict standards with regards to trading in our securities. These standards are set forth in our insider </w:t>
                            </w:r>
                          </w:p>
                        </w:txbxContent>
                      </wps:txbx>
                      <wps:bodyPr anchor="t" lIns="0" tIns="0" rIns="0" bIns="0">
                        <a:noAutofit/>
                      </wps:bodyPr>
                    </wps:wsp>
                  </a:graphicData>
                </a:graphic>
              </wp:anchor>
            </w:drawing>
          </mc:Choice>
          <mc:Fallback>
            <w:pict>
              <v:rect style="position:absolute;rotation:-0;width:246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Our Named Officers, along with all of our employees, must adhere to strict standards with regards to trading in our securities. These standards are set forth in our insider </w:t>
                      </w:r>
                    </w:p>
                  </w:txbxContent>
                </v:textbox>
                <w10:wrap type="square" side="right"/>
              </v:rect>
            </w:pict>
          </mc:Fallback>
        </mc:AlternateContent>
      </w:r>
      <w:r>
        <mc:AlternateContent>
          <mc:Choice Requires="wps">
            <w:drawing>
              <wp:anchor behindDoc="0" distT="0" distB="0" distL="228600" distR="0" simplePos="0" locked="0" layoutInCell="1" allowOverlap="1" relativeHeight="320">
                <wp:simplePos x="0" y="0"/>
                <wp:positionH relativeFrom="column">
                  <wp:align>left</wp:align>
                </wp:positionH>
                <wp:positionV relativeFrom="line">
                  <wp:posOffset>635</wp:posOffset>
                </wp:positionV>
                <wp:extent cx="3124200" cy="669925"/>
                <wp:effectExtent l="0" t="0" r="0" b="0"/>
                <wp:wrapSquare wrapText="right"/>
                <wp:docPr id="290" name="Frame116"/>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trading policy, which prohibits, among other things, short sales, hedging of stock ownership positions, and transactions involving derivative securities relating to our ordinary shares.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trading policy, which prohibits, among other things, short sales, hedging of stock ownership positions, and transactions involving derivative securities relating to our ordinary shares.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9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39" descr=""/>
                          <pic:cNvPicPr>
                            <a:picLocks noChangeAspect="1" noChangeArrowheads="1"/>
                          </pic:cNvPicPr>
                        </pic:nvPicPr>
                        <pic:blipFill>
                          <a:blip r:embed="rId17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6" w:name="ny20081940x1_def14a_110-executive_pg13"/>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Compensation Recovery Policy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Tax Considerations </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3124200" cy="835025"/>
                <wp:effectExtent l="0" t="0" r="0" b="0"/>
                <wp:wrapSquare wrapText="right"/>
                <wp:docPr id="292" name="Frame117"/>
                <a:graphic xmlns:a="http://schemas.openxmlformats.org/drawingml/2006/main">
                  <a:graphicData uri="http://schemas.microsoft.com/office/word/2010/wordprocessingShape">
                    <wps:wsp>
                      <wps:cNvSpPr txBox="1"/>
                      <wps:spPr>
                        <a:xfrm>
                          <a:off x="0" y="0"/>
                          <a:ext cx="3124200" cy="835025"/>
                        </a:xfrm>
                        <a:prstGeom prst="rect"/>
                        <a:solidFill>
                          <a:srgbClr val="FFFFFF"/>
                        </a:solidFill>
                      </wps:spPr>
                      <wps:txb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Exchange Act Rule 10D-1 and the corresponding NYSE listing standards, we maintain a clawback policy that provides for the mandatory recovery of certain erroneously awarded incentive compensation </w:t>
                            </w:r>
                          </w:p>
                        </w:txbxContent>
                      </wps:txbx>
                      <wps:bodyPr anchor="t" lIns="0" tIns="0" rIns="0" bIns="0">
                        <a:noAutofit/>
                      </wps:bodyPr>
                    </wps:wsp>
                  </a:graphicData>
                </a:graphic>
              </wp:anchor>
            </w:drawing>
          </mc:Choice>
          <mc:Fallback>
            <w:pict>
              <v:rect style="position:absolute;rotation:-0;width:246pt;height:6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Exchange Act Rule 10D-1 and the corresponding NYSE listing standards, we maintain a clawback policy that provides for the mandatory recovery of certain erroneously awarded incentive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322">
                <wp:simplePos x="0" y="0"/>
                <wp:positionH relativeFrom="column">
                  <wp:align>left</wp:align>
                </wp:positionH>
                <wp:positionV relativeFrom="line">
                  <wp:posOffset>635</wp:posOffset>
                </wp:positionV>
                <wp:extent cx="3124200" cy="669925"/>
                <wp:effectExtent l="0" t="0" r="0" b="0"/>
                <wp:wrapSquare wrapText="right"/>
                <wp:docPr id="293" name="Frame118"/>
                <a:graphic xmlns:a="http://schemas.openxmlformats.org/drawingml/2006/main">
                  <a:graphicData uri="http://schemas.microsoft.com/office/word/2010/wordprocessingShape">
                    <wps:wsp>
                      <wps:cNvSpPr txBox="1"/>
                      <wps:spPr>
                        <a:xfrm>
                          <a:off x="0" y="0"/>
                          <a:ext cx="3124200" cy="6699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from our executive officers in the event of an accounting restatement to correct the Company’s material noncompliance with any financial reporting requirement under securities laws. </w:t>
                            </w:r>
                          </w:p>
                        </w:txbxContent>
                      </wps:txbx>
                      <wps:bodyPr anchor="t" lIns="0" tIns="0" rIns="0" bIns="0">
                        <a:noAutofit/>
                      </wps:bodyPr>
                    </wps:wsp>
                  </a:graphicData>
                </a:graphic>
              </wp:anchor>
            </w:drawing>
          </mc:Choice>
          <mc:Fallback>
            <w:pict>
              <v:rect style="position:absolute;rotation:-0;width:246pt;height:52.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from our executive officers in the event of an accounting restatement to correct the Company’s material noncompliance with any financial reporting requirement under securities laws. </w:t>
                      </w:r>
                    </w:p>
                  </w:txbxContent>
                </v:textbox>
                <w10:wrap type="square" side="right"/>
              </v:rect>
            </w:pict>
          </mc:Fallback>
        </mc:AlternateContent>
      </w:r>
    </w:p>
    <w:p>
      <w:pPr>
        <w:pStyle w:val="TextBody"/>
        <w:bidi w:val="0"/>
        <w:spacing w:before="430" w:after="283"/>
        <w:ind w:left="60" w:right="0" w:hanging="0"/>
        <w:jc w:val="left"/>
        <w:rPr>
          <w:rFonts w:ascii="Arial;Helvetica;sans-serif" w:hAnsi="Arial;Helvetica;sans-serif"/>
          <w:b/>
          <w:color w:val="000000"/>
          <w:sz w:val="28"/>
        </w:rPr>
      </w:pPr>
      <w:bookmarkStart w:id="197" w:name="tEC2"/>
      <w:bookmarkEnd w:id="197"/>
      <w:r>
        <w:rPr>
          <w:rFonts w:ascii="Arial;Helvetica;sans-serif" w:hAnsi="Arial;Helvetica;sans-serif"/>
          <w:b/>
          <w:color w:val="000000"/>
          <w:sz w:val="28"/>
        </w:rPr>
        <w:t xml:space="preserve">Compensation and Risk Assessment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3124200" cy="3638550"/>
                <wp:effectExtent l="0" t="0" r="0" b="0"/>
                <wp:wrapSquare wrapText="right"/>
                <wp:docPr id="294" name="Frame119"/>
                <a:graphic xmlns:a="http://schemas.openxmlformats.org/drawingml/2006/main">
                  <a:graphicData uri="http://schemas.microsoft.com/office/word/2010/wordprocessingShape">
                    <wps:wsp>
                      <wps:cNvSpPr txBox="1"/>
                      <wps:spPr>
                        <a:xfrm>
                          <a:off x="0" y="0"/>
                          <a:ext cx="3124200" cy="3638550"/>
                        </a:xfrm>
                        <a:prstGeom prst="rect"/>
                        <a:solidFill>
                          <a:srgbClr val="FFFFFF"/>
                        </a:solidFill>
                      </wps:spPr>
                      <wps:txb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2018, Section 162(m) of the Internal Revenue Code generally placed a limit of $1 million per year on the U.S. corporate income tax deduction a publicly-held corporation may take for compensation paid to each of its “covered employees” (generally, the chief executive officer and each of the next three most highly compensated executive officers, other than the chief financial officer, as of the end of any fiscal year), unless the compensation over $1 million qualified as “performance-based” within the meaning of Section 162(m).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2017, the ability to rely on the “performance-based” compensation exception under Section 162(m) was eliminated and the $1 million limitation on deductibility generally was expanded to include any individuals serving as the chief executive officer or chief financial officer during the tax year, the next three most highly compensated executive officers during the tax year, and any other individual who was considered a covered employee for any prior tax year beginning after 2016. Thus, we generally will not be able to take a deduction for </w:t>
                            </w:r>
                          </w:p>
                        </w:txbxContent>
                      </wps:txbx>
                      <wps:bodyPr anchor="t" lIns="0" tIns="0" rIns="0" bIns="0">
                        <a:noAutofit/>
                      </wps:bodyPr>
                    </wps:wsp>
                  </a:graphicData>
                </a:graphic>
              </wp:anchor>
            </w:drawing>
          </mc:Choice>
          <mc:Fallback>
            <w:pict>
              <v:rect style="position:absolute;rotation:-0;width:246pt;height:2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6"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2018, Section 162(m) of the Internal Revenue Code generally placed a limit of $1 million per year on the U.S. corporate income tax deduction a publicly-held corporation may take for compensation paid to each of its “covered employees” (generally, the chief executive officer and each of the next three most highly compensated executive officers, other than the chief financial officer, as of the end of any fiscal year), unless the compensation over $1 million qualified as “performance-based” within the meaning of Section 162(m).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2017, the ability to rely on the “performance-based” compensation exception under Section 162(m) was eliminated and the $1 million limitation on deductibility generally was expanded to include any individuals serving as the chief executive officer or chief financial officer during the tax year, the next three most highly compensated executive officers during the tax year, and any other individual who was considered a covered employee for any prior tax year beginning after 2016. Thus, we generally will not be able to take a deduction for </w:t>
                      </w:r>
                    </w:p>
                  </w:txbxContent>
                </v:textbox>
                <w10:wrap type="square" side="right"/>
              </v:rect>
            </w:pict>
          </mc:Fallback>
        </mc:AlternateContent>
      </w:r>
      <w:r>
        <mc:AlternateContent>
          <mc:Choice Requires="wps">
            <w:drawing>
              <wp:anchor behindDoc="0" distT="0" distB="0" distL="228600" distR="0" simplePos="0" locked="0" layoutInCell="1" allowOverlap="1" relativeHeight="324">
                <wp:simplePos x="0" y="0"/>
                <wp:positionH relativeFrom="column">
                  <wp:align>left</wp:align>
                </wp:positionH>
                <wp:positionV relativeFrom="line">
                  <wp:posOffset>635</wp:posOffset>
                </wp:positionV>
                <wp:extent cx="3124200" cy="3462020"/>
                <wp:effectExtent l="0" t="0" r="0" b="0"/>
                <wp:wrapSquare wrapText="right"/>
                <wp:docPr id="295" name="Frame120"/>
                <a:graphic xmlns:a="http://schemas.openxmlformats.org/drawingml/2006/main">
                  <a:graphicData uri="http://schemas.microsoft.com/office/word/2010/wordprocessingShape">
                    <wps:wsp>
                      <wps:cNvSpPr txBox="1"/>
                      <wps:spPr>
                        <a:xfrm>
                          <a:off x="0" y="0"/>
                          <a:ext cx="3124200" cy="346202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any compensation paid to our Named Officers in excess of $1 million, unless the compensation qualifies for transition relief applicable to certain arrangements that were in place on November 2, 2017. We cannot guarantee that any compensation payable to our Named Officers will qualify for the transition relief or that the compensation ultimately will be deductible.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not adopted a formal policy regarding tax deductibility of compensation paid to our chief executive officer and other executive officers. In order to maintain an executive compensation program that continues to strive to achieve the incentive, retention, pay for performance, and other objectives of the program, the Compensation Committee also may provide compensation to our Named Officers that may not be deductible to the extent that the aggregate amount for the year for the Named Officer exceeds $1 million. However, the Compensation Committee intends to maintain an approach to executive compensation that strongly links pay to performance. </w:t>
                            </w:r>
                          </w:p>
                        </w:txbxContent>
                      </wps:txbx>
                      <wps:bodyPr anchor="t" lIns="0" tIns="0" rIns="0" bIns="0">
                        <a:noAutofit/>
                      </wps:bodyPr>
                    </wps:wsp>
                  </a:graphicData>
                </a:graphic>
              </wp:anchor>
            </w:drawing>
          </mc:Choice>
          <mc:Fallback>
            <w:pict>
              <v:rect style="position:absolute;rotation:-0;width:246pt;height:272.6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any compensation paid to our Named Officers in excess of $1 million, unless the compensation qualifies for transition relief applicable to certain arrangements that were in place on November 2, 2017. We cannot guarantee that any compensation payable to our Named Officers will qualify for the transition relief or that the compensation ultimately will be deductible. </w:t>
                      </w:r>
                    </w:p>
                    <w:p>
                      <w:pPr>
                        <w:pStyle w:val="TextBody"/>
                        <w:bidi w:val="0"/>
                        <w:spacing w:lineRule="atLeast" w:line="236"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not adopted a formal policy regarding tax deductibility of compensation paid to our chief executive officer and other executive officers. In order to maintain an executive compensation program that continues to strive to achieve the incentive, retention, pay for performance, and other objectives of the program, the Compensation Committee also may provide compensation to our Named Officers that may not be deductible to the extent that the aggregate amount for the year for the Named Officer exceeds $1 million. However, the Compensation Committee intends to maintain an approach to executive compensation that strongly links pay to performance. </w:t>
                      </w:r>
                    </w:p>
                  </w:txbxContent>
                </v:textbox>
                <w10:wrap type="square" side="right"/>
              </v:rect>
            </w:pict>
          </mc:Fallback>
        </mc:AlternateConten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assessed the risks associated with our compensation policies and practices for all employees and, based on its assessment, does not believe that such compensation policies and practices create risks that are reasonably likely to have a material adverse effect on us. </w:t>
      </w:r>
    </w:p>
    <w:p>
      <w:pPr>
        <w:pStyle w:val="TextBody"/>
        <w:bidi w:val="0"/>
        <w:spacing w:before="350" w:after="283"/>
        <w:ind w:left="60" w:right="0" w:hanging="0"/>
        <w:jc w:val="left"/>
        <w:rPr>
          <w:rFonts w:ascii="Arial;Helvetica;sans-serif" w:hAnsi="Arial;Helvetica;sans-serif"/>
          <w:b/>
          <w:color w:val="000000"/>
          <w:sz w:val="28"/>
        </w:rPr>
      </w:pPr>
      <w:bookmarkStart w:id="198" w:name="tEC3"/>
      <w:bookmarkEnd w:id="198"/>
      <w:r>
        <w:rPr>
          <w:rFonts w:ascii="Arial;Helvetica;sans-serif" w:hAnsi="Arial;Helvetica;sans-serif"/>
          <w:b/>
          <w:color w:val="000000"/>
          <w:sz w:val="28"/>
        </w:rPr>
        <w:t xml:space="preserve">Compensation Committee Report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oversees Fabrinet’s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that the Compensation Discussion and Analysis be included in this proxy statement. </w:t>
      </w:r>
    </w:p>
    <w:p>
      <w:pPr>
        <w:pStyle w:val="TextBody"/>
        <w:bidi w:val="0"/>
        <w:spacing w:before="170" w:after="283"/>
        <w:ind w:left="60" w:right="0" w:hanging="0"/>
        <w:jc w:val="left"/>
        <w:rPr>
          <w:rFonts w:ascii="Arial;Helvetica;sans-serif" w:hAnsi="Arial;Helvetica;sans-serif"/>
          <w:i/>
          <w:color w:val="000000"/>
          <w:sz w:val="20"/>
        </w:rPr>
      </w:pPr>
      <w:r>
        <w:rPr>
          <w:rFonts w:ascii="Arial;Helvetica;sans-serif" w:hAnsi="Arial;Helvetica;sans-serif"/>
          <w:i/>
          <w:color w:val="000000"/>
          <w:sz w:val="20"/>
        </w:rPr>
        <w:t>Respectfully submitted by the members of the Compensation Committee of the Board of Directors.</w:t>
      </w:r>
      <w:r>
        <w:rPr>
          <w:rFonts w:ascii="Arial;Helvetica;sans-serif" w:hAnsi="Arial;Helvetica;sans-serif"/>
          <w:i/>
          <w:caps w:val="false"/>
          <w:smallCaps w:val="false"/>
          <w:color w:val="000000"/>
          <w:sz w:val="20"/>
        </w:rPr>
        <w:t xml:space="preserve"> </w:t>
      </w:r>
    </w:p>
    <w:p>
      <w:pPr>
        <w:pStyle w:val="TextBody"/>
        <w:bidi w:val="0"/>
        <w:spacing w:before="17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 xml:space="preserve">Dr. Frank H. Levinson (Chair) </w:t>
      </w:r>
    </w:p>
    <w:p>
      <w:pPr>
        <w:pStyle w:val="TextBody"/>
        <w:bidi w:val="0"/>
        <w:spacing w:before="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 xml:space="preserve">Forbes I.J. Alexander </w:t>
      </w:r>
    </w:p>
    <w:p>
      <w:pPr>
        <w:pStyle w:val="TextBody"/>
        <w:bidi w:val="0"/>
        <w:spacing w:before="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 xml:space="preserve">Dr. Homa Bahrami </w:t>
      </w:r>
    </w:p>
    <w:p>
      <w:pPr>
        <w:pStyle w:val="TextBody"/>
        <w:bidi w:val="0"/>
        <w:spacing w:before="0" w:after="283"/>
        <w:ind w:left="518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F. Kelly </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9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40" descr=""/>
                          <pic:cNvPicPr>
                            <a:picLocks noChangeAspect="1" noChangeArrowheads="1"/>
                          </pic:cNvPicPr>
                        </pic:nvPicPr>
                        <pic:blipFill>
                          <a:blip r:embed="rId17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49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9" w:name="ny20081940x1_def14a_110-executive_pg14"/>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0" w:name="tEC4"/>
      <w:bookmarkEnd w:id="200"/>
      <w:r>
        <w:rPr>
          <w:rFonts w:ascii="Arial;Helvetica;sans-serif" w:hAnsi="Arial;Helvetica;sans-serif"/>
          <w:b/>
          <w:color w:val="000000"/>
          <w:sz w:val="28"/>
        </w:rPr>
        <w:t xml:space="preserve">Summary Compensation Table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total compensation of our Named Officers, who consist of (i) our principal executive officer, (ii) our principal financial officer, and (iii) our other most highly compensated executive officers, other than our principal executive officer and principal financial officer, who were serving as executive officers at the end of fiscal 2026. </w:t>
      </w:r>
    </w:p>
    <w:tbl>
      <w:tblPr>
        <w:tblW w:w="10145" w:type="dxa"/>
        <w:jc w:val="left"/>
        <w:tblInd w:w="60" w:type="dxa"/>
        <w:tblLayout w:type="fixed"/>
        <w:tblCellMar>
          <w:top w:w="0" w:type="dxa"/>
          <w:left w:w="0" w:type="dxa"/>
          <w:bottom w:w="0" w:type="dxa"/>
          <w:right w:w="0" w:type="dxa"/>
        </w:tblCellMar>
      </w:tblPr>
      <w:tblGrid>
        <w:gridCol w:w="185"/>
        <w:gridCol w:w="2258"/>
        <w:gridCol w:w="170"/>
        <w:gridCol w:w="170"/>
        <w:gridCol w:w="537"/>
        <w:gridCol w:w="170"/>
        <w:gridCol w:w="170"/>
        <w:gridCol w:w="770"/>
        <w:gridCol w:w="170"/>
        <w:gridCol w:w="170"/>
        <w:gridCol w:w="770"/>
        <w:gridCol w:w="170"/>
        <w:gridCol w:w="170"/>
        <w:gridCol w:w="1242"/>
        <w:gridCol w:w="170"/>
        <w:gridCol w:w="170"/>
        <w:gridCol w:w="1242"/>
        <w:gridCol w:w="170"/>
        <w:gridCol w:w="170"/>
        <w:gridCol w:w="882"/>
        <w:gridCol w:w="219"/>
      </w:tblGrid>
      <w:tr>
        <w:trPr/>
        <w:tc>
          <w:tcPr>
            <w:tcW w:w="185" w:type="dxa"/>
            <w:tcBorders/>
            <w:shd w:fill="819F7C" w:val="clear"/>
            <w:vAlign w:val="center"/>
          </w:tcPr>
          <w:p>
            <w:pPr>
              <w:pStyle w:val="TableContents"/>
              <w:bidi w:val="0"/>
              <w:spacing w:before="0" w:after="0"/>
              <w:jc w:val="left"/>
              <w:rPr/>
            </w:pPr>
            <w:r>
              <w:rPr/>
              <w:t> </w:t>
            </w:r>
          </w:p>
        </w:tc>
        <w:tc>
          <w:tcPr>
            <w:tcW w:w="225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37"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82" w:type="dxa"/>
            <w:tcBorders/>
            <w:shd w:fill="819F7C" w:val="clear"/>
            <w:vAlign w:val="center"/>
          </w:tcPr>
          <w:p>
            <w:pPr>
              <w:pStyle w:val="TableContents"/>
              <w:bidi w:val="0"/>
              <w:spacing w:before="0" w:after="0"/>
              <w:jc w:val="left"/>
              <w:rPr/>
            </w:pPr>
            <w:r>
              <w:rPr/>
              <w:t> </w:t>
            </w:r>
          </w:p>
        </w:tc>
        <w:tc>
          <w:tcPr>
            <w:tcW w:w="219"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258"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Name and Principal </w:t>
            </w:r>
          </w:p>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37"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Fiscal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Incentive Plan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4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8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9"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2258"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Seamus Grady </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Executive Officer</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1,380,000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9,450,666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453,383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13,602,449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7,950,249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2,208,654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435,232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11,944,135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1,250,000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7,799,780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1,944,313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88,098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11,082,191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258"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Dr. Harpal Gill </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President and Chief Operating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1,125,000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5,190,345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1,223,670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9,294,015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5,100,381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1,671,098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2,156,467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10,027,946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4,874,564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1,648,777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1,342,592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8,925,933 </w:t>
            </w:r>
          </w:p>
        </w:tc>
        <w:tc>
          <w:tcPr>
            <w:tcW w:w="219"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2258"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Csaba Sverha</w:t>
            </w:r>
            <w:r>
              <w:rPr>
                <w:rFonts w:ascii="Arial;Helvetica;sans-serif" w:hAnsi="Arial;Helvetica;sans-serif"/>
                <w:b w:val="false"/>
                <w:color w:val="000000"/>
                <w:position w:val="5"/>
                <w:sz w:val="13"/>
                <w:sz w:val="16"/>
              </w:rPr>
              <w:t>(5)</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Executive Vice President, Chief Financial Officer</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3,120,024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295,168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5,066,574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3,000,687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730,375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273,635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4,629,697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2258"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537" w:type="dxa"/>
            <w:tcBorders/>
            <w:shd w:fill="E5E9E3" w:val="clear"/>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590,000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2,699,722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600,045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42" w:type="dxa"/>
            <w:tcBorders/>
            <w:shd w:fill="E5E9E3" w:val="clear"/>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229,114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82"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4,118,881 </w:t>
            </w:r>
          </w:p>
        </w:tc>
        <w:tc>
          <w:tcPr>
            <w:tcW w:w="219"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258"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Edward T. Archer</w:t>
            </w:r>
          </w:p>
          <w:p>
            <w:pPr>
              <w:pStyle w:val="TableContents"/>
              <w:bidi w:val="0"/>
              <w:spacing w:before="0" w:after="283"/>
              <w:ind w:left="19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Executive Vice President, Sales &amp; Marketing</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b/>
                <w:color w:val="578255"/>
                <w:sz w:val="16"/>
              </w:rPr>
            </w:pPr>
            <w:r>
              <w:rPr>
                <w:rFonts w:ascii="Arial;Helvetica;sans-serif" w:hAnsi="Arial;Helvetica;sans-serif"/>
                <w:b/>
                <w:color w:val="578255"/>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2,520,786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b/>
                <w:color w:val="578255"/>
                <w:sz w:val="16"/>
              </w:rPr>
            </w:pPr>
            <w:r>
              <w:rPr>
                <w:rFonts w:ascii="Arial;Helvetica;sans-serif" w:hAnsi="Arial;Helvetica;sans-serif"/>
                <w:b/>
                <w:color w:val="578255"/>
                <w:sz w:val="16"/>
              </w:rPr>
              <w:t>84,581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b/>
                <w:color w:val="578255"/>
                <w:sz w:val="16"/>
              </w:rPr>
            </w:pPr>
            <w:r>
              <w:rPr>
                <w:rFonts w:ascii="Arial;Helvetica;sans-serif" w:hAnsi="Arial;Helvetica;sans-serif"/>
                <w:b/>
                <w:color w:val="578255"/>
                <w:sz w:val="16"/>
              </w:rPr>
              <w:t xml:space="preserve">3,696,167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2,400,549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516,521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87,907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3,524,977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5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98"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2,249,689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488,172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399" w:right="0" w:hanging="0"/>
              <w:jc w:val="left"/>
              <w:rPr>
                <w:rFonts w:ascii="Arial;Helvetica;sans-serif" w:hAnsi="Arial;Helvetica;sans-serif"/>
                <w:color w:val="000000"/>
                <w:sz w:val="16"/>
              </w:rPr>
            </w:pPr>
            <w:r>
              <w:rPr>
                <w:rFonts w:ascii="Arial;Helvetica;sans-serif" w:hAnsi="Arial;Helvetica;sans-serif"/>
                <w:color w:val="000000"/>
                <w:sz w:val="16"/>
              </w:rPr>
              <w:t>87,498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3,335,359</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in this column include the aggregate grant date fair value (computed in accordance with FASB ASC Topic 718) of time-based RSU awards granted during the designated fiscal year. The assumptions used in the valuation of these awards are set forth in the notes to our consolidated financial statements, which are included in our Annual Report on Form 10-K for our fiscal year ended June 26, 2026, filed with the SEC on August 18, 2026. These amounts do not necessarily correspond to the actual value that may be recognized by the Named Officer.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amounts in this column also include the value at the grant date of performance-based RSUs (PSUs) granted during the designated fiscal year based upon the probable outcome of the performance conditions for such awards, consistent with the estimate of aggregate compensation cost to be recognized over the service period determined as of the grant date under FASB ASC Topic 718, excluding the effect of estimated forfeitures. </w:t>
            </w:r>
          </w:p>
        </w:tc>
      </w:tr>
    </w:tbl>
    <w:p>
      <w:pPr>
        <w:pStyle w:val="TextBody"/>
        <w:bidi w:val="0"/>
        <w:spacing w:before="60" w:after="283"/>
        <w:ind w:left="380" w:right="0" w:hanging="0"/>
        <w:jc w:val="both"/>
        <w:rPr>
          <w:rFonts w:ascii="Arial;Helvetica;sans-serif" w:hAnsi="Arial;Helvetica;sans-serif"/>
          <w:color w:val="000000"/>
          <w:sz w:val="15"/>
        </w:rPr>
      </w:pPr>
      <w:r>
        <w:rPr>
          <w:rFonts w:ascii="Arial;Helvetica;sans-serif" w:hAnsi="Arial;Helvetica;sans-serif"/>
          <w:color w:val="000000"/>
          <w:sz w:val="15"/>
        </w:rPr>
        <w:t xml:space="preserve">On August 12, 2025, the Compensation Committee approved the grant, effective as of August 21, 2025 (the third trading day following the Company’s fiscal 2025 fourth-quarter earnings release), of PSUs and “Stretch” PSUs to each of our Named Officers that will vest, if at all, following a 2-year cumulative performance period covering fiscal 2026 and fiscal 2027. As of the date of grant, consistent with the estimate determined as of the grant date under FASB ASC Topic 718, the probable outcome of the performance conditions for these grants was 100% achievement. Accordingly, the fair value reported for the PSUs and “Stretch” PSUs granted in fiscal 2026 assumes that the highest level of performance conditions will be achieved and the grants will vest at their maximum level of 100%, as shown in the following table: </w:t>
      </w:r>
    </w:p>
    <w:tbl>
      <w:tblPr>
        <w:tblW w:w="5160" w:type="dxa"/>
        <w:jc w:val="left"/>
        <w:tblInd w:w="60" w:type="dxa"/>
        <w:tblLayout w:type="fixed"/>
        <w:tblCellMar>
          <w:top w:w="0" w:type="dxa"/>
          <w:left w:w="0" w:type="dxa"/>
          <w:bottom w:w="0" w:type="dxa"/>
          <w:right w:w="0" w:type="dxa"/>
        </w:tblCellMar>
      </w:tblPr>
      <w:tblGrid>
        <w:gridCol w:w="185"/>
        <w:gridCol w:w="1340"/>
        <w:gridCol w:w="170"/>
        <w:gridCol w:w="170"/>
        <w:gridCol w:w="3080"/>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08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08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Maximum Value of PSUs and </w:t>
            </w:r>
          </w:p>
          <w:p>
            <w:pPr>
              <w:pStyle w:val="TableContents"/>
              <w:bidi w:val="0"/>
              <w:spacing w:before="0" w:after="283"/>
              <w:jc w:val="right"/>
              <w:rPr>
                <w:color w:val="FFFFFF"/>
              </w:rPr>
            </w:pPr>
            <w:r>
              <w:rPr>
                <w:color w:val="FFFFFF"/>
              </w:rPr>
              <w:t>“</w:t>
            </w:r>
            <w:r>
              <w:rPr>
                <w:rFonts w:ascii="Arial;Helvetica;sans-serif" w:hAnsi="Arial;Helvetica;sans-serif"/>
                <w:b/>
                <w:color w:val="FFFFFF"/>
                <w:sz w:val="16"/>
              </w:rPr>
              <w:t>Stretch” PSUs Granted in Fiscal 2026</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(FY26-27 Performance Period)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080" w:type="dxa"/>
            <w:tcBorders/>
            <w:shd w:fill="E5E9E3" w:val="clear"/>
            <w:vAlign w:val="center"/>
          </w:tcPr>
          <w:p>
            <w:pPr>
              <w:pStyle w:val="TableContents"/>
              <w:bidi w:val="0"/>
              <w:spacing w:before="0" w:after="283"/>
              <w:ind w:left="2202" w:right="0" w:hanging="0"/>
              <w:jc w:val="left"/>
              <w:rPr>
                <w:rFonts w:ascii="Arial;Helvetica;sans-serif" w:hAnsi="Arial;Helvetica;sans-serif"/>
                <w:color w:val="000000"/>
                <w:sz w:val="16"/>
              </w:rPr>
            </w:pPr>
            <w:r>
              <w:rPr>
                <w:rFonts w:ascii="Arial;Helvetica;sans-serif" w:hAnsi="Arial;Helvetica;sans-serif"/>
                <w:color w:val="000000"/>
                <w:sz w:val="16"/>
              </w:rPr>
              <w:t xml:space="preserve">6,300,444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2202" w:right="0" w:hanging="0"/>
              <w:jc w:val="left"/>
              <w:rPr>
                <w:rFonts w:ascii="Arial;Helvetica;sans-serif" w:hAnsi="Arial;Helvetica;sans-serif"/>
                <w:color w:val="000000"/>
                <w:sz w:val="16"/>
              </w:rPr>
            </w:pPr>
            <w:r>
              <w:rPr>
                <w:rFonts w:ascii="Arial;Helvetica;sans-serif" w:hAnsi="Arial;Helvetica;sans-serif"/>
                <w:color w:val="000000"/>
                <w:sz w:val="16"/>
              </w:rPr>
              <w:t xml:space="preserve">3,460,230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3080" w:type="dxa"/>
            <w:tcBorders/>
            <w:shd w:fill="E5E9E3" w:val="clear"/>
            <w:vAlign w:val="center"/>
          </w:tcPr>
          <w:p>
            <w:pPr>
              <w:pStyle w:val="TableContents"/>
              <w:bidi w:val="0"/>
              <w:spacing w:before="0" w:after="283"/>
              <w:ind w:left="2202" w:right="0" w:hanging="0"/>
              <w:jc w:val="left"/>
              <w:rPr>
                <w:rFonts w:ascii="Arial;Helvetica;sans-serif" w:hAnsi="Arial;Helvetica;sans-serif"/>
                <w:color w:val="000000"/>
                <w:sz w:val="16"/>
              </w:rPr>
            </w:pPr>
            <w:r>
              <w:rPr>
                <w:rFonts w:ascii="Arial;Helvetica;sans-serif" w:hAnsi="Arial;Helvetica;sans-serif"/>
                <w:color w:val="000000"/>
                <w:sz w:val="16"/>
              </w:rPr>
              <w:t xml:space="preserve">2,080,016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2202" w:right="0" w:hanging="0"/>
              <w:jc w:val="left"/>
              <w:rPr>
                <w:rFonts w:ascii="Arial;Helvetica;sans-serif" w:hAnsi="Arial;Helvetica;sans-serif"/>
                <w:color w:val="000000"/>
                <w:sz w:val="16"/>
              </w:rPr>
            </w:pPr>
            <w:r>
              <w:rPr>
                <w:rFonts w:ascii="Arial;Helvetica;sans-serif" w:hAnsi="Arial;Helvetica;sans-serif"/>
                <w:color w:val="000000"/>
                <w:sz w:val="16"/>
              </w:rPr>
              <w:t>1,680,524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4"/>
        <w:gridCol w:w="9951"/>
      </w:tblGrid>
      <w:tr>
        <w:trPr/>
        <w:tc>
          <w:tcPr>
            <w:tcW w:w="19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The amounts in this column reflect cash bonuses earned under our cash-based incentive plan for the applicable fiscal year. Amounts earned under our Fiscal 2026 Bonus Plan are reported as compensation for fiscal 2026 but were paid in fiscal 2027. Amounts earned under our Fiscal 2025 Bonus Plan are reported as compensation for fiscal 2025 but were paid in fiscal 2026. Amounts earned under our fiscal 2024 cash-based incentive plan are reported as compensation for fiscal 2024 but were paid in fiscal 2025. For more information, see the “</w:t>
            </w:r>
            <w:r>
              <w:rPr>
                <w:rFonts w:ascii="Arial;Helvetica;sans-serif" w:hAnsi="Arial;Helvetica;sans-serif"/>
                <w:i/>
                <w:color w:val="000000"/>
                <w:sz w:val="15"/>
              </w:rPr>
              <w:t>Grants of Plan-Based Awards in Fiscal 2026</w:t>
            </w:r>
            <w:r>
              <w:rPr>
                <w:rFonts w:ascii="Arial;Helvetica;sans-serif" w:hAnsi="Arial;Helvetica;sans-serif"/>
                <w:color w:val="000000"/>
                <w:sz w:val="15"/>
              </w:rPr>
              <w:t xml:space="preserve">” table below. </w:t>
            </w:r>
          </w:p>
        </w:tc>
      </w:tr>
    </w:tbl>
    <w:tbl>
      <w:tblPr>
        <w:tblW w:w="6130" w:type="dxa"/>
        <w:jc w:val="left"/>
        <w:tblInd w:w="6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59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For more information, see the “</w:t>
            </w:r>
            <w:r>
              <w:rPr>
                <w:rFonts w:ascii="Arial;Helvetica;sans-serif" w:hAnsi="Arial;Helvetica;sans-serif"/>
                <w:i/>
                <w:color w:val="000000"/>
                <w:sz w:val="15"/>
              </w:rPr>
              <w:t>All Other Compensation for Fiscal 2026</w:t>
            </w:r>
            <w:r>
              <w:rPr>
                <w:rFonts w:ascii="Arial;Helvetica;sans-serif" w:hAnsi="Arial;Helvetica;sans-serif"/>
                <w:color w:val="000000"/>
                <w:sz w:val="15"/>
              </w:rPr>
              <w:t xml:space="preserve">” table below. </w:t>
            </w:r>
          </w:p>
        </w:tc>
      </w:tr>
    </w:tbl>
    <w:tbl>
      <w:tblPr>
        <w:tblW w:w="10145" w:type="dxa"/>
        <w:jc w:val="left"/>
        <w:tblInd w:w="60" w:type="dxa"/>
        <w:tblLayout w:type="fixed"/>
        <w:tblCellMar>
          <w:top w:w="0" w:type="dxa"/>
          <w:left w:w="0" w:type="dxa"/>
          <w:bottom w:w="0" w:type="dxa"/>
          <w:right w:w="0" w:type="dxa"/>
        </w:tblCellMar>
      </w:tblPr>
      <w:tblGrid>
        <w:gridCol w:w="192"/>
        <w:gridCol w:w="9953"/>
      </w:tblGrid>
      <w:tr>
        <w:trPr/>
        <w:tc>
          <w:tcPr>
            <w:tcW w:w="19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3"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Mr. Sverha is based in Thailand. Mr. Sverha’s fiscal 2024 and fiscal 2025 salary, non-equity incentive plan compensation, and certain amounts reported in the “All Other Compensation” column were approved in U.S. dollars, but paid in his home country currency of Thai baht. Mr. Sverha’s fiscal 2026 salary, non-equity incentive plan compensation, and certain amounts reported in the “All Other Compensation” column were approved and paid in his home country currency of Thai baht. Fiscal 2026 amounts were converted from Thai baht to U.S. dollars using the Fabrinet Corporate Group THB to USD Exchange Rate, which was the Bank of Thailand’s middle rate (midpoint of the bid and ask rates) as of June 26, 2025, of 32.48 Thai baht to 1 U.S. dollar.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9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41" descr=""/>
                          <pic:cNvPicPr>
                            <a:picLocks noChangeAspect="1" noChangeArrowheads="1"/>
                          </pic:cNvPicPr>
                        </pic:nvPicPr>
                        <pic:blipFill>
                          <a:blip r:embed="rId17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1" w:name="ny20081940x1_def14a_110-executive_pg15"/>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All Other Compensation for Fiscal 2026 </w:t>
      </w:r>
    </w:p>
    <w:tbl>
      <w:tblPr>
        <w:tblW w:w="10145" w:type="dxa"/>
        <w:jc w:val="left"/>
        <w:tblInd w:w="60" w:type="dxa"/>
        <w:tblLayout w:type="fixed"/>
        <w:tblCellMar>
          <w:top w:w="0" w:type="dxa"/>
          <w:left w:w="0" w:type="dxa"/>
          <w:bottom w:w="0" w:type="dxa"/>
          <w:right w:w="0" w:type="dxa"/>
        </w:tblCellMar>
      </w:tblPr>
      <w:tblGrid>
        <w:gridCol w:w="185"/>
        <w:gridCol w:w="820"/>
        <w:gridCol w:w="170"/>
        <w:gridCol w:w="170"/>
        <w:gridCol w:w="1236"/>
        <w:gridCol w:w="170"/>
        <w:gridCol w:w="170"/>
        <w:gridCol w:w="725"/>
        <w:gridCol w:w="170"/>
        <w:gridCol w:w="170"/>
        <w:gridCol w:w="1041"/>
        <w:gridCol w:w="170"/>
        <w:gridCol w:w="170"/>
        <w:gridCol w:w="756"/>
        <w:gridCol w:w="170"/>
        <w:gridCol w:w="170"/>
        <w:gridCol w:w="846"/>
        <w:gridCol w:w="170"/>
        <w:gridCol w:w="170"/>
        <w:gridCol w:w="1166"/>
        <w:gridCol w:w="170"/>
        <w:gridCol w:w="170"/>
        <w:gridCol w:w="771"/>
        <w:gridCol w:w="219"/>
      </w:tblGrid>
      <w:tr>
        <w:trPr/>
        <w:tc>
          <w:tcPr>
            <w:tcW w:w="185" w:type="dxa"/>
            <w:tcBorders/>
            <w:shd w:fill="819F7C" w:val="clear"/>
            <w:vAlign w:val="center"/>
          </w:tcPr>
          <w:p>
            <w:pPr>
              <w:pStyle w:val="TableContents"/>
              <w:bidi w:val="0"/>
              <w:spacing w:before="0" w:after="0"/>
              <w:jc w:val="left"/>
              <w:rPr/>
            </w:pPr>
            <w:r>
              <w:rPr/>
              <w:t> </w:t>
            </w:r>
          </w:p>
        </w:tc>
        <w:tc>
          <w:tcPr>
            <w:tcW w:w="8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1"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4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1" w:type="dxa"/>
            <w:tcBorders/>
            <w:shd w:fill="819F7C" w:val="clear"/>
            <w:vAlign w:val="center"/>
          </w:tcPr>
          <w:p>
            <w:pPr>
              <w:pStyle w:val="TableContents"/>
              <w:bidi w:val="0"/>
              <w:spacing w:before="0" w:after="0"/>
              <w:jc w:val="left"/>
              <w:rPr/>
            </w:pPr>
            <w:r>
              <w:rPr/>
              <w:t> </w:t>
            </w:r>
          </w:p>
        </w:tc>
        <w:tc>
          <w:tcPr>
            <w:tcW w:w="219"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2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3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Transportation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Housing</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41"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Tax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Equalization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5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Foreign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Service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Premium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4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Health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Insurance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Premiums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6"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Paid 401(k)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Provident Fund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Contributions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71"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9"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2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41,797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1" w:type="dxa"/>
            <w:tcBorders/>
            <w:shd w:fill="E5E9E3" w:val="clear"/>
            <w:vAlign w:val="center"/>
          </w:tcPr>
          <w:p>
            <w:pPr>
              <w:pStyle w:val="TableContents"/>
              <w:bidi w:val="0"/>
              <w:spacing w:before="0" w:after="283"/>
              <w:ind w:left="36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6"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46" w:type="dxa"/>
            <w:tcBorders/>
            <w:shd w:fill="E5E9E3" w:val="clear"/>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89,986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6" w:type="dxa"/>
            <w:tcBorders/>
            <w:shd w:fill="E5E9E3" w:val="cle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21,600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453,383 </w:t>
            </w:r>
          </w:p>
        </w:tc>
        <w:tc>
          <w:tcPr>
            <w:tcW w:w="219"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90,707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364" w:right="0" w:hanging="0"/>
              <w:jc w:val="left"/>
              <w:rPr>
                <w:rFonts w:ascii="Arial;Helvetica;sans-serif" w:hAnsi="Arial;Helvetica;sans-serif"/>
                <w:color w:val="000000"/>
                <w:sz w:val="16"/>
              </w:rPr>
            </w:pPr>
            <w:r>
              <w:rPr>
                <w:rFonts w:ascii="Arial;Helvetica;sans-serif" w:hAnsi="Arial;Helvetica;sans-serif"/>
                <w:color w:val="000000"/>
                <w:sz w:val="16"/>
              </w:rPr>
              <w:t>722,979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40,577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6" w:type="dxa"/>
            <w:tcBorders/>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24,407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1,223,670 </w:t>
            </w:r>
          </w:p>
        </w:tc>
        <w:tc>
          <w:tcPr>
            <w:tcW w:w="219"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2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36" w:type="dxa"/>
            <w:tcBorders/>
            <w:shd w:fill="E5E9E3"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45,209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62" w:right="0" w:hanging="0"/>
              <w:jc w:val="left"/>
              <w:rPr>
                <w:rFonts w:ascii="Arial;Helvetica;sans-serif" w:hAnsi="Arial;Helvetica;sans-serif"/>
                <w:color w:val="000000"/>
                <w:sz w:val="16"/>
              </w:rPr>
            </w:pPr>
            <w:r>
              <w:rPr>
                <w:rFonts w:ascii="Arial;Helvetica;sans-serif" w:hAnsi="Arial;Helvetica;sans-serif"/>
                <w:color w:val="000000"/>
                <w:sz w:val="16"/>
              </w:rPr>
              <w:t>120,000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41" w:type="dxa"/>
            <w:tcBorders/>
            <w:shd w:fill="E5E9E3" w:val="clear"/>
            <w:vAlign w:val="center"/>
          </w:tcPr>
          <w:p>
            <w:pPr>
              <w:pStyle w:val="TableContents"/>
              <w:bidi w:val="0"/>
              <w:spacing w:before="0" w:after="283"/>
              <w:ind w:left="36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56" w:type="dxa"/>
            <w:tcBorders/>
            <w:shd w:fill="E5E9E3" w:val="clear"/>
            <w:vAlign w:val="center"/>
          </w:tcPr>
          <w:p>
            <w:pPr>
              <w:pStyle w:val="TableContents"/>
              <w:bidi w:val="0"/>
              <w:spacing w:before="0" w:after="283"/>
              <w:ind w:left="107"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46" w:type="dxa"/>
            <w:tcBorders/>
            <w:shd w:fill="E5E9E3" w:val="clear"/>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61,906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6" w:type="dxa"/>
            <w:tcBorders/>
            <w:shd w:fill="E5E9E3" w:val="cle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68,053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71"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295,168 </w:t>
            </w:r>
          </w:p>
        </w:tc>
        <w:tc>
          <w:tcPr>
            <w:tcW w:w="219"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18,056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283"/>
              <w:ind w:left="3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1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284" w:right="0" w:hanging="0"/>
              <w:jc w:val="left"/>
              <w:rPr>
                <w:rFonts w:ascii="Arial;Helvetica;sans-serif" w:hAnsi="Arial;Helvetica;sans-serif"/>
                <w:color w:val="000000"/>
                <w:sz w:val="16"/>
              </w:rPr>
            </w:pPr>
            <w:r>
              <w:rPr>
                <w:rFonts w:ascii="Arial;Helvetica;sans-serif" w:hAnsi="Arial;Helvetica;sans-serif"/>
                <w:color w:val="000000"/>
                <w:sz w:val="16"/>
              </w:rPr>
              <w:t>44,924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6" w:type="dxa"/>
            <w:tcBorders/>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21,601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84,581</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For Mr. Grady, represents (i) an annual automobile allowance of $12,000 ($17,824, inclusive of tax gross-up) and (ii) $23,973 of expenses related to a car and driver in Thailand. For Dr. Gill, represents (i) an annual travel allowance of $25,000 ($47,304, inclusive of tax gross-up), (ii) an annual automobile allowance of $12,000, and (iii) $31,403 of expenses related to a car and driver in Thailand. For Mr. Sverha, represents expenses related to a car and driver in Thailand. For Mr. Archer, represents an annual automobile allowance of $12,000 ($18,056, inclusive of tax gross-up). </w:t>
            </w:r>
          </w:p>
        </w:tc>
      </w:tr>
    </w:tbl>
    <w:tbl>
      <w:tblPr>
        <w:tblW w:w="6640" w:type="dxa"/>
        <w:jc w:val="left"/>
        <w:tblInd w:w="60" w:type="dxa"/>
        <w:tblLayout w:type="fixed"/>
        <w:tblCellMar>
          <w:top w:w="0" w:type="dxa"/>
          <w:left w:w="0" w:type="dxa"/>
          <w:bottom w:w="0" w:type="dxa"/>
          <w:right w:w="0" w:type="dxa"/>
        </w:tblCellMar>
      </w:tblPr>
      <w:tblGrid>
        <w:gridCol w:w="230"/>
        <w:gridCol w:w="641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64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an annual cash allowance for housing and related living expenses in Thailand.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foreign tax liability payments by Fabrinet on Dr. Gill’s behalf to satisfy his applicable non-U.S. taxes for calendar years 2024 and 2025. Tax equalization benefits for any future years may differ substantially from this amount. Consistent with corporate policy, we pay on behalf of all U.S. citizens who are working on our behalf in Asia on an expatriate basis a tax equalization payment that is intended to put the employee in the same position, from a tax-liability perspective, that he or she would be in if they were still located in the United States. </w:t>
            </w:r>
          </w:p>
        </w:tc>
      </w:tr>
    </w:tbl>
    <w:tbl>
      <w:tblPr>
        <w:tblW w:w="10145" w:type="dxa"/>
        <w:jc w:val="left"/>
        <w:tblInd w:w="60" w:type="dxa"/>
        <w:tblLayout w:type="fixed"/>
        <w:tblCellMar>
          <w:top w:w="0" w:type="dxa"/>
          <w:left w:w="0" w:type="dxa"/>
          <w:bottom w:w="0" w:type="dxa"/>
          <w:right w:w="0" w:type="dxa"/>
        </w:tblCellMar>
      </w:tblPr>
      <w:tblGrid>
        <w:gridCol w:w="208"/>
        <w:gridCol w:w="993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Represents additional cash compensation in the amount of 20% of Dr. Gill’s annual base salary, with a tax gross-up, to incentivize him to continue working for us in Thailand and ameliorate the resulting hardship to his family, which is located in the United States.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29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42" descr=""/>
                          <pic:cNvPicPr>
                            <a:picLocks noChangeAspect="1" noChangeArrowheads="1"/>
                          </pic:cNvPicPr>
                        </pic:nvPicPr>
                        <pic:blipFill>
                          <a:blip r:embed="rId17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2" w:name="ny20081940x1_def14a_110-executive_pg16"/>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3" w:name="tEC5"/>
      <w:bookmarkEnd w:id="203"/>
      <w:r>
        <w:rPr>
          <w:rFonts w:ascii="Arial;Helvetica;sans-serif" w:hAnsi="Arial;Helvetica;sans-serif"/>
          <w:b/>
          <w:color w:val="000000"/>
          <w:sz w:val="28"/>
        </w:rPr>
        <w:t xml:space="preserve">Grants of Plan-Based Awards in Fiscal 2026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concerning each grant of an award made to a Named Officer in fiscal 2026 under any plan. No option awards were granted to a Named Officer in fiscal 2026. </w:t>
      </w:r>
    </w:p>
    <w:tbl>
      <w:tblPr>
        <w:tblW w:w="11370" w:type="dxa"/>
        <w:jc w:val="left"/>
        <w:tblInd w:w="60" w:type="dxa"/>
        <w:tblLayout w:type="fixed"/>
        <w:tblCellMar>
          <w:top w:w="0" w:type="dxa"/>
          <w:left w:w="0" w:type="dxa"/>
          <w:bottom w:w="0" w:type="dxa"/>
          <w:right w:w="0" w:type="dxa"/>
        </w:tblCellMar>
      </w:tblPr>
      <w:tblGrid>
        <w:gridCol w:w="185"/>
        <w:gridCol w:w="665"/>
        <w:gridCol w:w="170"/>
        <w:gridCol w:w="170"/>
        <w:gridCol w:w="410"/>
        <w:gridCol w:w="170"/>
        <w:gridCol w:w="170"/>
        <w:gridCol w:w="620"/>
        <w:gridCol w:w="170"/>
        <w:gridCol w:w="170"/>
        <w:gridCol w:w="500"/>
        <w:gridCol w:w="170"/>
        <w:gridCol w:w="170"/>
        <w:gridCol w:w="680"/>
        <w:gridCol w:w="170"/>
        <w:gridCol w:w="170"/>
        <w:gridCol w:w="665"/>
        <w:gridCol w:w="170"/>
        <w:gridCol w:w="170"/>
        <w:gridCol w:w="665"/>
        <w:gridCol w:w="170"/>
        <w:gridCol w:w="170"/>
        <w:gridCol w:w="680"/>
        <w:gridCol w:w="170"/>
        <w:gridCol w:w="170"/>
        <w:gridCol w:w="470"/>
        <w:gridCol w:w="170"/>
        <w:gridCol w:w="170"/>
        <w:gridCol w:w="665"/>
        <w:gridCol w:w="170"/>
        <w:gridCol w:w="170"/>
        <w:gridCol w:w="545"/>
        <w:gridCol w:w="170"/>
        <w:gridCol w:w="170"/>
        <w:gridCol w:w="665"/>
        <w:gridCol w:w="215"/>
      </w:tblGrid>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90"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95" w:type="dxa"/>
            <w:gridSpan w:val="7"/>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4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90" w:type="dxa"/>
            <w:gridSpan w:val="7"/>
            <w:tcBorders>
              <w:bottom w:val="single" w:sz="8" w:space="0" w:color="FFFFFF"/>
            </w:tcBorders>
            <w:shd w:fill="819F7C" w:val="clear"/>
            <w:tcMar>
              <w:bottom w:w="8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Estimated Possible Payouts Under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Non-Equity Incentive Plan Awards</w:t>
            </w:r>
            <w:r>
              <w:rPr>
                <w:rFonts w:ascii="Arial;Helvetica;sans-serif" w:hAnsi="Arial;Helvetica;sans-serif"/>
                <w:b/>
                <w:color w:val="FFFFFF"/>
                <w:position w:val="5"/>
                <w:sz w:val="11"/>
                <w:sz w:val="14"/>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495" w:type="dxa"/>
            <w:gridSpan w:val="7"/>
            <w:tcBorders>
              <w:bottom w:val="single" w:sz="8" w:space="0" w:color="FFFFFF"/>
            </w:tcBorders>
            <w:shd w:fill="819F7C" w:val="clear"/>
            <w:tcMar>
              <w:bottom w:w="8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Estimated Possible Payouts Under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Incentive Plan Awards</w:t>
            </w:r>
            <w:r>
              <w:rPr>
                <w:rFonts w:ascii="Arial;Helvetica;sans-serif" w:hAnsi="Arial;Helvetica;sans-serif"/>
                <w:b/>
                <w:color w:val="FFFFFF"/>
                <w:position w:val="5"/>
                <w:sz w:val="11"/>
                <w:sz w:val="14"/>
              </w:rPr>
              <w:t>(2)</w:t>
            </w:r>
          </w:p>
        </w:tc>
        <w:tc>
          <w:tcPr>
            <w:tcW w:w="170" w:type="dxa"/>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54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All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66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Date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1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Grant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2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Approval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0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Type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8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470"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54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665"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vMerge w:val="restart"/>
            <w:tcBorders/>
            <w:shd w:fill="E5E9E3" w:val="clear"/>
            <w:vAlign w:val="center"/>
          </w:tcPr>
          <w:p>
            <w:pPr>
              <w:pStyle w:val="TableContents"/>
              <w:bidi w:val="0"/>
              <w:spacing w:before="0" w:after="0"/>
              <w:jc w:val="left"/>
              <w:rPr/>
            </w:pPr>
            <w:r>
              <w:rPr/>
              <w:t> </w:t>
            </w:r>
          </w:p>
        </w:tc>
        <w:tc>
          <w:tcPr>
            <w:tcW w:w="665"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Seamus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FY26</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193,200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1,932,000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rFonts w:ascii="Arial;Helvetica;sans-serif" w:hAnsi="Arial;Helvetica;sans-serif"/>
                <w:color w:val="000000"/>
                <w:sz w:val="14"/>
              </w:rPr>
            </w:pPr>
            <w:r>
              <w:rPr>
                <w:rFonts w:ascii="Arial;Helvetica;sans-serif" w:hAnsi="Arial;Helvetica;sans-serif"/>
                <w:color w:val="000000"/>
                <w:sz w:val="14"/>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3,150,222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rFonts w:ascii="Arial;Helvetica;sans-serif" w:hAnsi="Arial;Helvetica;sans-serif"/>
                <w:color w:val="000000"/>
                <w:sz w:val="14"/>
              </w:rPr>
            </w:pPr>
            <w:r>
              <w:rPr>
                <w:rFonts w:ascii="Arial;Helvetica;sans-serif" w:hAnsi="Arial;Helvetica;sans-serif"/>
                <w:color w:val="000000"/>
                <w:sz w:val="14"/>
              </w:rPr>
              <w:t>1,137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3,150,222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3,150,222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6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Dr. Harpal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FY26</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146,250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1,462,500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rFonts w:ascii="Arial;Helvetica;sans-serif" w:hAnsi="Arial;Helvetica;sans-serif"/>
                <w:color w:val="000000"/>
                <w:sz w:val="14"/>
              </w:rPr>
            </w:pPr>
            <w:r>
              <w:rPr>
                <w:rFonts w:ascii="Arial;Helvetica;sans-serif" w:hAnsi="Arial;Helvetica;sans-serif"/>
                <w:color w:val="000000"/>
                <w:sz w:val="14"/>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1,730,115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rFonts w:ascii="Arial;Helvetica;sans-serif" w:hAnsi="Arial;Helvetica;sans-serif"/>
                <w:color w:val="000000"/>
                <w:sz w:val="14"/>
              </w:rPr>
            </w:pPr>
            <w:r>
              <w:rPr>
                <w:rFonts w:ascii="Arial;Helvetica;sans-serif" w:hAnsi="Arial;Helvetica;sans-serif"/>
                <w:color w:val="000000"/>
                <w:sz w:val="14"/>
              </w:rPr>
              <w:t>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1,730,115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1,730,115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665"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 xml:space="preserve">Csaba </w:t>
            </w:r>
          </w:p>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FY26</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75,063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rFonts w:ascii="Arial;Helvetica;sans-serif" w:hAnsi="Arial;Helvetica;sans-serif"/>
                <w:color w:val="000000"/>
                <w:sz w:val="14"/>
              </w:rPr>
            </w:pPr>
            <w:r>
              <w:rPr>
                <w:rFonts w:ascii="Arial;Helvetica;sans-serif" w:hAnsi="Arial;Helvetica;sans-serif"/>
                <w:color w:val="000000"/>
                <w:sz w:val="14"/>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1,040,008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rFonts w:ascii="Arial;Helvetica;sans-serif" w:hAnsi="Arial;Helvetica;sans-serif"/>
                <w:color w:val="000000"/>
                <w:sz w:val="14"/>
              </w:rPr>
            </w:pPr>
            <w:r>
              <w:rPr>
                <w:rFonts w:ascii="Arial;Helvetica;sans-serif" w:hAnsi="Arial;Helvetica;sans-serif"/>
                <w:color w:val="000000"/>
                <w:sz w:val="14"/>
              </w:rPr>
              <w:t>375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1,040,008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665"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41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2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00" w:type="dxa"/>
            <w:tcBorders/>
            <w:shd w:fill="E5E9E3"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24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4"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80" w:type="dxa"/>
            <w:tcBorders/>
            <w:shd w:fill="E5E9E3" w:val="clear"/>
            <w:vAlign w:val="center"/>
          </w:tcPr>
          <w:p>
            <w:pPr>
              <w:pStyle w:val="TableContents"/>
              <w:bidi w:val="0"/>
              <w:spacing w:before="0" w:after="283"/>
              <w:ind w:left="43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470" w:type="dxa"/>
            <w:tcBorders/>
            <w:shd w:fill="E5E9E3" w:val="clear"/>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545" w:type="dxa"/>
            <w:tcBorders/>
            <w:shd w:fill="E5E9E3" w:val="clear"/>
            <w:vAlign w:val="center"/>
          </w:tcPr>
          <w:p>
            <w:pPr>
              <w:pStyle w:val="TableContents"/>
              <w:bidi w:val="0"/>
              <w:spacing w:before="0" w:after="283"/>
              <w:ind w:left="282"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1,040,008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6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Edward T.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FY26</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 xml:space="preserve">Bonus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rFonts w:ascii="Arial;Helvetica;sans-serif" w:hAnsi="Arial;Helvetica;sans-serif"/>
                <w:color w:val="000000"/>
                <w:sz w:val="14"/>
              </w:rPr>
            </w:pPr>
            <w:r>
              <w:rPr>
                <w:rFonts w:ascii="Arial;Helvetica;sans-serif" w:hAnsi="Arial;Helvetica;sans-serif"/>
                <w:color w:val="000000"/>
                <w:sz w:val="14"/>
              </w:rPr>
              <w:t>45,900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rFonts w:ascii="Arial;Helvetica;sans-serif" w:hAnsi="Arial;Helvetica;sans-serif"/>
                <w:color w:val="000000"/>
                <w:sz w:val="14"/>
              </w:rPr>
            </w:pPr>
            <w:r>
              <w:rPr>
                <w:rFonts w:ascii="Arial;Helvetica;sans-serif" w:hAnsi="Arial;Helvetica;sans-serif"/>
                <w:color w:val="000000"/>
                <w:sz w:val="14"/>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rFonts w:ascii="Arial;Helvetica;sans-serif" w:hAnsi="Arial;Helvetica;sans-serif"/>
                <w:color w:val="000000"/>
                <w:sz w:val="14"/>
              </w:rPr>
            </w:pPr>
            <w:r>
              <w:rPr>
                <w:rFonts w:ascii="Arial;Helvetica;sans-serif" w:hAnsi="Arial;Helvetica;sans-serif"/>
                <w:color w:val="000000"/>
                <w:sz w:val="14"/>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RSU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rFonts w:ascii="Arial;Helvetica;sans-serif" w:hAnsi="Arial;Helvetica;sans-serif"/>
                <w:color w:val="000000"/>
                <w:sz w:val="14"/>
              </w:rPr>
            </w:pPr>
            <w:r>
              <w:rPr>
                <w:rFonts w:ascii="Arial;Helvetica;sans-serif" w:hAnsi="Arial;Helvetica;sans-serif"/>
                <w:color w:val="000000"/>
                <w:sz w:val="14"/>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840,262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rFonts w:ascii="Arial;Helvetica;sans-serif" w:hAnsi="Arial;Helvetica;sans-serif"/>
                <w:color w:val="000000"/>
                <w:sz w:val="14"/>
              </w:rPr>
            </w:pPr>
            <w:r>
              <w:rPr>
                <w:rFonts w:ascii="Arial;Helvetica;sans-serif" w:hAnsi="Arial;Helvetica;sans-serif"/>
                <w:color w:val="000000"/>
                <w:sz w:val="14"/>
              </w:rPr>
              <w:t>303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 xml:space="preserve">840,262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Stretch” </w:t>
            </w:r>
          </w:p>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PSU</w:t>
            </w:r>
            <w:r>
              <w:rPr>
                <w:rFonts w:ascii="Arial;Helvetica;sans-serif" w:hAnsi="Arial;Helvetica;sans-serif"/>
                <w:color w:val="000000"/>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4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10" w:right="0" w:hanging="0"/>
              <w:jc w:val="left"/>
              <w:rPr>
                <w:rFonts w:ascii="Arial;Helvetica;sans-serif" w:hAnsi="Arial;Helvetica;sans-serif"/>
                <w:color w:val="000000"/>
                <w:sz w:val="14"/>
              </w:rPr>
            </w:pPr>
            <w:r>
              <w:rPr>
                <w:rFonts w:ascii="Arial;Helvetica;sans-serif" w:hAnsi="Arial;Helvetica;sans-serif"/>
                <w:color w:val="000000"/>
                <w:sz w:val="14"/>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38" w:right="0" w:hanging="0"/>
              <w:jc w:val="left"/>
              <w:rPr>
                <w:rFonts w:ascii="Arial;Helvetica;sans-serif" w:hAnsi="Arial;Helvetica;sans-serif"/>
                <w:color w:val="000000"/>
                <w:sz w:val="14"/>
              </w:rPr>
            </w:pPr>
            <w:r>
              <w:rPr>
                <w:rFonts w:ascii="Arial;Helvetica;sans-serif" w:hAnsi="Arial;Helvetica;sans-serif"/>
                <w:color w:val="000000"/>
                <w:sz w:val="14"/>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Arial;Helvetica;sans-serif" w:hAnsi="Arial;Helvetica;sans-serif"/>
                <w:color w:val="000000"/>
                <w:sz w:val="14"/>
              </w:rPr>
            </w:pPr>
            <w:r>
              <w:rPr>
                <w:rFonts w:ascii="Arial;Helvetica;sans-serif" w:hAnsi="Arial;Helvetica;sans-serif"/>
                <w:color w:val="000000"/>
                <w:sz w:val="14"/>
              </w:rPr>
              <w:t>840,262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89"/>
        <w:gridCol w:w="9956"/>
      </w:tblGrid>
      <w:tr>
        <w:trPr/>
        <w:tc>
          <w:tcPr>
            <w:tcW w:w="18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5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Amounts reported represent the potential threshold, target and maximum cash incentive award amounts depending on the level of performance achieved under the Fiscal 2026 Bonus Plan, as described in “</w:t>
            </w:r>
            <w:r>
              <w:rPr>
                <w:rFonts w:ascii="Arial;Helvetica;sans-serif" w:hAnsi="Arial;Helvetica;sans-serif"/>
                <w:i/>
                <w:color w:val="000000"/>
                <w:sz w:val="15"/>
              </w:rPr>
              <w:t>Executive Compensation—Compensation Discussion and Analysis—Executive Compensation Program Elements—Short-Term Cash Incentive Awards</w:t>
            </w:r>
            <w:r>
              <w:rPr>
                <w:rFonts w:ascii="Arial;Helvetica;sans-serif" w:hAnsi="Arial;Helvetica;sans-serif"/>
                <w:color w:val="000000"/>
                <w:sz w:val="15"/>
              </w:rPr>
              <w:t>” above. Such amounts ranged from 10% of the target payout, representing the lowest payout that would have been awarded upon achievement of a certain level of performance against one of the two financial goals under the Fiscal 2026 Bonus Plan, to 120% of the target payout, which represented the maximum payout possible under the Fiscal 2026 Bonus Plan. In August 2026, the Compensation Committee determined that we exceeded the maximum pre-established performance targets under the Fiscal 2026 Bonus Plan and awarded the maximum bonus amounts, equal to 120% of each participant’s target bonus opportunity. The actual bonus amounts that were awarded are reflected in the “Non-Equity Incentive Plan Compensation” column of the “</w:t>
            </w:r>
            <w:r>
              <w:rPr>
                <w:rFonts w:ascii="Arial;Helvetica;sans-serif" w:hAnsi="Arial;Helvetica;sans-serif"/>
                <w:i/>
                <w:color w:val="000000"/>
                <w:sz w:val="15"/>
              </w:rPr>
              <w:t>Summary Compensation Table</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0"/>
        <w:gridCol w:w="995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5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Amounts reported represent the potential threshold, target and maximum number of shares the Named Officer could earn pursuant to his PSU and “Stretch” PSU awards based on achievement of two-year corporate performance objectives covering fiscal 2026 and fiscal 2027. If we achieve a threshold performance level of 90% of one of two target financial goals, the PSUs will vest as to 20% of the PSUs allocated to that financial goal (i.e., 10% of the total number of PSUs). There is no threshold payout amount under the “Stretch” PSUs because </w:t>
            </w:r>
            <w:r>
              <w:rPr>
                <w:rFonts w:ascii="Arial;Helvetica;sans-serif" w:hAnsi="Arial;Helvetica;sans-serif"/>
                <w:b/>
                <w:color w:val="000000"/>
                <w:sz w:val="15"/>
              </w:rPr>
              <w:t xml:space="preserve">we must exceed at least one of the target financial goals under the PSUs in order for any portion of the “Stretch” PSUs to vest. There is no overlap between the performance measures for PSUs and “Stretch” PSUs. </w:t>
            </w:r>
            <w:r>
              <w:rPr>
                <w:rFonts w:ascii="Arial;Helvetica;sans-serif" w:hAnsi="Arial;Helvetica;sans-serif"/>
                <w:color w:val="000000"/>
                <w:sz w:val="15"/>
              </w:rPr>
              <w:t>For more information, see “</w:t>
            </w:r>
            <w:r>
              <w:rPr>
                <w:rFonts w:ascii="Arial;Helvetica;sans-serif" w:hAnsi="Arial;Helvetica;sans-serif"/>
                <w:i/>
                <w:color w:val="000000"/>
                <w:sz w:val="15"/>
              </w:rPr>
              <w:t>Executive Compensation—Compensation Discussion and Analysis—Executive Compensation Program Elements—Long-Term Equity Incentive Awards</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aggregate grant date fair value of each equity award computed in accordance with FASB ASC Topic 718. Amounts reported for PSUs and “Stretch” PSUs are based upon the probable outcome of the performance conditions, consistent with the estimate of aggregate compensation cost to be recognized over the service period determined as of the grant date under FASB ASC Topic 718, excluding the effects of estimated forfeitures. As of the date of grant, the probable outcome of the performance conditions for these grants was 100% achievement. The reported amounts do not necessarily correspond to the actual value that may be recognized by the Named Officer. </w:t>
            </w:r>
          </w:p>
        </w:tc>
      </w:tr>
    </w:tbl>
    <w:tbl>
      <w:tblPr>
        <w:tblW w:w="3610" w:type="dxa"/>
        <w:jc w:val="left"/>
        <w:tblInd w:w="6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338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Granted under our 2020 Equity Incentive Plan.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29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43" descr=""/>
                          <pic:cNvPicPr>
                            <a:picLocks noChangeAspect="1" noChangeArrowheads="1"/>
                          </pic:cNvPicPr>
                        </pic:nvPicPr>
                        <pic:blipFill>
                          <a:blip r:embed="rId18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4" w:name="ny20081940x1_def14a_110-executive_pg17"/>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5" w:name="tEC6"/>
      <w:bookmarkEnd w:id="205"/>
      <w:r>
        <w:rPr>
          <w:rFonts w:ascii="Arial;Helvetica;sans-serif" w:hAnsi="Arial;Helvetica;sans-serif"/>
          <w:b/>
          <w:color w:val="000000"/>
          <w:sz w:val="28"/>
        </w:rPr>
        <w:t xml:space="preserve">Outstanding Equity Awards at Fiscal 2026 Year-End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regarding the outstanding equity awards held by each Named Officer as of the end of fiscal 2026. </w:t>
      </w:r>
    </w:p>
    <w:tbl>
      <w:tblPr>
        <w:tblW w:w="9315" w:type="dxa"/>
        <w:jc w:val="left"/>
        <w:tblInd w:w="60" w:type="dxa"/>
        <w:tblLayout w:type="fixed"/>
        <w:tblCellMar>
          <w:top w:w="0" w:type="dxa"/>
          <w:left w:w="0" w:type="dxa"/>
          <w:bottom w:w="0" w:type="dxa"/>
          <w:right w:w="0" w:type="dxa"/>
        </w:tblCellMar>
      </w:tblPr>
      <w:tblGrid>
        <w:gridCol w:w="185"/>
        <w:gridCol w:w="1340"/>
        <w:gridCol w:w="170"/>
        <w:gridCol w:w="170"/>
        <w:gridCol w:w="935"/>
        <w:gridCol w:w="170"/>
        <w:gridCol w:w="170"/>
        <w:gridCol w:w="950"/>
        <w:gridCol w:w="170"/>
        <w:gridCol w:w="170"/>
        <w:gridCol w:w="1100"/>
        <w:gridCol w:w="170"/>
        <w:gridCol w:w="170"/>
        <w:gridCol w:w="1445"/>
        <w:gridCol w:w="170"/>
        <w:gridCol w:w="170"/>
        <w:gridCol w:w="1445"/>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60" w:type="dxa"/>
            <w:gridSpan w:val="10"/>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5960" w:type="dxa"/>
            <w:gridSpan w:val="10"/>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Market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4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Unearned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Have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Not 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45"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Market Value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Unearned 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or Units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That Have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Not Vested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34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11,371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5,967,387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11,371</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5,967,387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11,371</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5,967,387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6,748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3,541,283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10,121</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5,311,400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10,121</w:t>
            </w:r>
            <w:r>
              <w:rPr>
                <w:rFonts w:ascii="Arial;Helvetica;sans-serif" w:hAnsi="Arial;Helvetica;sans-serif"/>
                <w:color w:val="000000"/>
                <w:position w:val="5"/>
                <w:sz w:val="13"/>
                <w:sz w:val="16"/>
              </w:rPr>
              <w:t>(9)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5,311,400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5,454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2,862,205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4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6,245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3,277,314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6,245</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3,277,314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6,245</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3,277,314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4,329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2,271,816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6,493</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3,407,461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6,493</w:t>
            </w:r>
            <w:r>
              <w:rPr>
                <w:rFonts w:ascii="Arial;Helvetica;sans-serif" w:hAnsi="Arial;Helvetica;san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3,407,461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3,409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1,789,009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134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3,754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1,970,062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3,754</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1,970,062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3,754</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1,970,062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2,547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1,336,640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3,820</w:t>
            </w:r>
            <w:r>
              <w:rPr>
                <w:rFonts w:ascii="Arial;Helvetica;sans-serif" w:hAnsi="Arial;Helvetica;sans-serif"/>
                <w:color w:val="000000"/>
                <w:position w:val="5"/>
                <w:sz w:val="13"/>
                <w:sz w:val="16"/>
              </w:rPr>
              <w:t>(8)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2,004,698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3,820</w:t>
            </w:r>
            <w:r>
              <w:rPr>
                <w:rFonts w:ascii="Arial;Helvetica;sans-serif" w:hAnsi="Arial;Helvetica;sans-serif"/>
                <w:color w:val="000000"/>
                <w:position w:val="5"/>
                <w:sz w:val="13"/>
                <w:sz w:val="16"/>
              </w:rPr>
              <w:t>(9)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2,004,698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134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0" w:type="dxa"/>
            <w:tcBorders/>
            <w:shd w:fill="E5E9E3" w:val="clear"/>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1,888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00" w:type="dxa"/>
            <w:tcBorders/>
            <w:shd w:fill="E5E9E3" w:val="clear"/>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990,804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826"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45" w:type="dxa"/>
            <w:tcBorders/>
            <w:shd w:fill="E5E9E3" w:val="clear"/>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4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3,033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1,591,688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3,033</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1,591,688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8/21/2025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3,033</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1,591,688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2,038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1,069,522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3,056</w:t>
            </w:r>
            <w:r>
              <w:rPr>
                <w:rFonts w:ascii="Arial;Helvetica;sans-serif" w:hAnsi="Arial;Helvetica;san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1,603,758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8/22/2024</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rFonts w:ascii="Arial;Helvetica;sans-serif" w:hAnsi="Arial;Helvetica;sans-serif"/>
                <w:color w:val="000000"/>
                <w:sz w:val="16"/>
              </w:rPr>
            </w:pPr>
            <w:r>
              <w:rPr>
                <w:rFonts w:ascii="Arial;Helvetica;sans-serif" w:hAnsi="Arial;Helvetica;sans-serif"/>
                <w:color w:val="000000"/>
                <w:sz w:val="16"/>
              </w:rPr>
              <w:t>3,056</w:t>
            </w:r>
            <w:r>
              <w:rPr>
                <w:rFonts w:ascii="Arial;Helvetica;sans-serif" w:hAnsi="Arial;Helvetica;san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rFonts w:ascii="Arial;Helvetica;sans-serif" w:hAnsi="Arial;Helvetica;sans-serif"/>
                <w:color w:val="000000"/>
                <w:sz w:val="16"/>
              </w:rPr>
            </w:pPr>
            <w:r>
              <w:rPr>
                <w:rFonts w:ascii="Arial;Helvetica;sans-serif" w:hAnsi="Arial;Helvetica;sans-serif"/>
                <w:color w:val="000000"/>
                <w:sz w:val="16"/>
              </w:rPr>
              <w:t xml:space="preserve">1,603,758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8/24/2023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40" w:right="0" w:hanging="0"/>
              <w:jc w:val="left"/>
              <w:rPr>
                <w:rFonts w:ascii="Arial;Helvetica;sans-serif" w:hAnsi="Arial;Helvetica;sans-serif"/>
                <w:color w:val="000000"/>
                <w:sz w:val="16"/>
              </w:rPr>
            </w:pPr>
            <w:r>
              <w:rPr>
                <w:rFonts w:ascii="Arial;Helvetica;sans-serif" w:hAnsi="Arial;Helvetica;sans-serif"/>
                <w:color w:val="000000"/>
                <w:sz w:val="16"/>
              </w:rPr>
              <w:t>1,573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66" w:right="0" w:hanging="0"/>
              <w:jc w:val="left"/>
              <w:rPr>
                <w:rFonts w:ascii="Arial;Helvetica;sans-serif" w:hAnsi="Arial;Helvetica;sans-serif"/>
                <w:color w:val="000000"/>
                <w:sz w:val="16"/>
              </w:rPr>
            </w:pPr>
            <w:r>
              <w:rPr>
                <w:rFonts w:ascii="Arial;Helvetica;sans-serif" w:hAnsi="Arial;Helvetica;sans-serif"/>
                <w:color w:val="000000"/>
                <w:sz w:val="16"/>
              </w:rPr>
              <w:t>825,495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8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604"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05"/>
        <w:gridCol w:w="9940"/>
      </w:tblGrid>
      <w:tr>
        <w:trPr/>
        <w:tc>
          <w:tcPr>
            <w:tcW w:w="2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Stock awards in this column consist of unvested time-based RSUs. Unless otherwise noted, all time-based RSUs are scheduled to vest over a three-year period at a rate of one-third on each anniversary of the grant date, subject to continued service with us through the applicable vesting date. </w:t>
            </w:r>
          </w:p>
        </w:tc>
      </w:tr>
    </w:tbl>
    <w:tbl>
      <w:tblPr>
        <w:tblW w:w="10145" w:type="dxa"/>
        <w:jc w:val="left"/>
        <w:tblInd w:w="60" w:type="dxa"/>
        <w:tblLayout w:type="fixed"/>
        <w:tblCellMar>
          <w:top w:w="0" w:type="dxa"/>
          <w:left w:w="0" w:type="dxa"/>
          <w:bottom w:w="0" w:type="dxa"/>
          <w:right w:w="0" w:type="dxa"/>
        </w:tblCellMar>
      </w:tblPr>
      <w:tblGrid>
        <w:gridCol w:w="214"/>
        <w:gridCol w:w="9931"/>
      </w:tblGrid>
      <w:tr>
        <w:trPr/>
        <w:tc>
          <w:tcPr>
            <w:tcW w:w="21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31"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Values reported were determined by multiplying the number of unvested time-based RSUs by $524.79, the closing price on the NYSE of our ordinary shares on June 26, 2026, the last business day of fiscal 2026. </w:t>
            </w:r>
          </w:p>
        </w:tc>
      </w:tr>
    </w:tbl>
    <w:tbl>
      <w:tblPr>
        <w:tblW w:w="8035" w:type="dxa"/>
        <w:jc w:val="left"/>
        <w:tblInd w:w="6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78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Amounts reported assume achievement in full of performance measures under PSU and “Stretch” PSU awards. </w:t>
            </w:r>
          </w:p>
        </w:tc>
      </w:tr>
    </w:tbl>
    <w:tbl>
      <w:tblPr>
        <w:tblW w:w="10145" w:type="dxa"/>
        <w:jc w:val="left"/>
        <w:tblInd w:w="60" w:type="dxa"/>
        <w:tblLayout w:type="fixed"/>
        <w:tblCellMar>
          <w:top w:w="0" w:type="dxa"/>
          <w:left w:w="0" w:type="dxa"/>
          <w:bottom w:w="0" w:type="dxa"/>
          <w:right w:w="0" w:type="dxa"/>
        </w:tblCellMar>
      </w:tblPr>
      <w:tblGrid>
        <w:gridCol w:w="207"/>
        <w:gridCol w:w="9938"/>
      </w:tblGrid>
      <w:tr>
        <w:trPr/>
        <w:tc>
          <w:tcPr>
            <w:tcW w:w="20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Values reported determined by multiplying the number of unvested PSUs and “Stretch” PSUs (assuming achievement in full of performance measures) by $524.79, the closing price on the NYSE of our ordinary shares on June 26, 2026, the last business day of fiscal 2026. </w:t>
            </w:r>
          </w:p>
        </w:tc>
      </w:tr>
    </w:tbl>
    <w:tbl>
      <w:tblPr>
        <w:tblW w:w="8890" w:type="dxa"/>
        <w:jc w:val="left"/>
        <w:tblInd w:w="60" w:type="dxa"/>
        <w:tblLayout w:type="fixed"/>
        <w:tblCellMar>
          <w:top w:w="0" w:type="dxa"/>
          <w:left w:w="0" w:type="dxa"/>
          <w:bottom w:w="0" w:type="dxa"/>
          <w:right w:w="0" w:type="dxa"/>
        </w:tblCellMar>
      </w:tblPr>
      <w:tblGrid>
        <w:gridCol w:w="230"/>
        <w:gridCol w:w="866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86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The performance cycle for this award began on June 28, 2025 and ends on June 25, 2027 (the “</w:t>
            </w:r>
            <w:r>
              <w:rPr>
                <w:rFonts w:ascii="Arial;Helvetica;sans-serif" w:hAnsi="Arial;Helvetica;sans-serif"/>
                <w:b/>
                <w:color w:val="000000"/>
                <w:sz w:val="15"/>
              </w:rPr>
              <w:t>fiscal 2026-2027 cycle</w:t>
            </w:r>
            <w:r>
              <w:rPr>
                <w:rFonts w:ascii="Arial;Helvetica;sans-serif" w:hAnsi="Arial;Helvetica;sans-serif"/>
                <w:color w:val="000000"/>
                <w:sz w:val="15"/>
              </w:rPr>
              <w:t xml:space="preserve">”). </w:t>
            </w:r>
          </w:p>
        </w:tc>
      </w:tr>
    </w:tbl>
    <w:tbl>
      <w:tblPr>
        <w:tblW w:w="10145" w:type="dxa"/>
        <w:jc w:val="left"/>
        <w:tblInd w:w="60" w:type="dxa"/>
        <w:tblLayout w:type="fixed"/>
        <w:tblCellMar>
          <w:top w:w="0" w:type="dxa"/>
          <w:left w:w="0" w:type="dxa"/>
          <w:bottom w:w="0" w:type="dxa"/>
          <w:right w:w="0" w:type="dxa"/>
        </w:tblCellMar>
      </w:tblPr>
      <w:tblGrid>
        <w:gridCol w:w="219"/>
        <w:gridCol w:w="9926"/>
      </w:tblGrid>
      <w:tr>
        <w:trPr/>
        <w:tc>
          <w:tcPr>
            <w:tcW w:w="21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2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This award will vest, if at all, following the end of the fiscal 2026-2027 cycle, on the date the Compensation Committee certifies achievement of the applicable performance criteria. </w:t>
            </w:r>
          </w:p>
        </w:tc>
      </w:tr>
    </w:tbl>
    <w:tbl>
      <w:tblPr>
        <w:tblW w:w="8995" w:type="dxa"/>
        <w:jc w:val="left"/>
        <w:tblInd w:w="60" w:type="dxa"/>
        <w:tblLayout w:type="fixed"/>
        <w:tblCellMar>
          <w:top w:w="0" w:type="dxa"/>
          <w:left w:w="0" w:type="dxa"/>
          <w:bottom w:w="0" w:type="dxa"/>
          <w:right w:w="0" w:type="dxa"/>
        </w:tblCellMar>
      </w:tblPr>
      <w:tblGrid>
        <w:gridCol w:w="230"/>
        <w:gridCol w:w="876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876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The performance cycle for this award began on June 29, 2024 and ended on June 26, 2026 (the “</w:t>
            </w:r>
            <w:r>
              <w:rPr>
                <w:rFonts w:ascii="Arial;Helvetica;sans-serif" w:hAnsi="Arial;Helvetica;sans-serif"/>
                <w:b/>
                <w:color w:val="000000"/>
                <w:sz w:val="15"/>
              </w:rPr>
              <w:t>fiscal 2025-2026 cycle</w:t>
            </w:r>
            <w:r>
              <w:rPr>
                <w:rFonts w:ascii="Arial;Helvetica;sans-serif" w:hAnsi="Arial;Helvetica;sans-serif"/>
                <w:color w:val="000000"/>
                <w:sz w:val="15"/>
              </w:rPr>
              <w:t xml:space="preserve">”). </w:t>
            </w:r>
          </w:p>
        </w:tc>
      </w:tr>
    </w:tbl>
    <w:tbl>
      <w:tblPr>
        <w:tblW w:w="10145" w:type="dxa"/>
        <w:jc w:val="left"/>
        <w:tblInd w:w="60" w:type="dxa"/>
        <w:tblLayout w:type="fixed"/>
        <w:tblCellMar>
          <w:top w:w="0" w:type="dxa"/>
          <w:left w:w="0" w:type="dxa"/>
          <w:bottom w:w="0" w:type="dxa"/>
          <w:right w:w="0" w:type="dxa"/>
        </w:tblCellMar>
      </w:tblPr>
      <w:tblGrid>
        <w:gridCol w:w="217"/>
        <w:gridCol w:w="9928"/>
      </w:tblGrid>
      <w:tr>
        <w:trPr/>
        <w:tc>
          <w:tcPr>
            <w:tcW w:w="2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992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August 2026, 100% of the shares subject to this award vested following the Compensation Committee’s certification of achievement of the performance criteria for the fiscal 2025-2026 cycle. </w:t>
            </w:r>
          </w:p>
        </w:tc>
      </w:tr>
    </w:tbl>
    <w:tbl>
      <w:tblPr>
        <w:tblW w:w="10145" w:type="dxa"/>
        <w:jc w:val="left"/>
        <w:tblInd w:w="60" w:type="dxa"/>
        <w:tblLayout w:type="fixed"/>
        <w:tblCellMar>
          <w:top w:w="0" w:type="dxa"/>
          <w:left w:w="0" w:type="dxa"/>
          <w:bottom w:w="0" w:type="dxa"/>
          <w:right w:w="0" w:type="dxa"/>
        </w:tblCellMar>
      </w:tblPr>
      <w:tblGrid>
        <w:gridCol w:w="209"/>
        <w:gridCol w:w="9936"/>
      </w:tblGrid>
      <w:tr>
        <w:trPr/>
        <w:tc>
          <w:tcPr>
            <w:tcW w:w="20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9936"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August 2026, 97.9% of the shares subject to this award vested and 2.1% of the shares subject to this award were forfeited following the Compensation Committee’s certification of achievement of the performance criteria for the fiscal 2025-2026 cycle.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0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44" descr=""/>
                          <pic:cNvPicPr>
                            <a:picLocks noChangeAspect="1" noChangeArrowheads="1"/>
                          </pic:cNvPicPr>
                        </pic:nvPicPr>
                        <pic:blipFill>
                          <a:blip r:embed="rId18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6" w:name="ny20081940x1_def14a_110-executive_pg18"/>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7" w:name="tEC7"/>
      <w:bookmarkEnd w:id="207"/>
      <w:r>
        <w:rPr>
          <w:rFonts w:ascii="Arial;Helvetica;sans-serif" w:hAnsi="Arial;Helvetica;sans-serif"/>
          <w:b/>
          <w:color w:val="000000"/>
          <w:sz w:val="28"/>
        </w:rPr>
        <w:t xml:space="preserve">Option Exercises and Shares Vested in Fiscal 2026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information concerning the exercise of options and the vesting of stock awards in fiscal 2026 for each of our Named Officers. </w:t>
      </w:r>
    </w:p>
    <w:tbl>
      <w:tblPr>
        <w:tblW w:w="8400" w:type="dxa"/>
        <w:jc w:val="left"/>
        <w:tblInd w:w="60" w:type="dxa"/>
        <w:tblLayout w:type="fixed"/>
        <w:tblCellMar>
          <w:top w:w="0" w:type="dxa"/>
          <w:left w:w="0" w:type="dxa"/>
          <w:bottom w:w="0" w:type="dxa"/>
          <w:right w:w="0" w:type="dxa"/>
        </w:tblCellMar>
      </w:tblPr>
      <w:tblGrid>
        <w:gridCol w:w="185"/>
        <w:gridCol w:w="1340"/>
        <w:gridCol w:w="170"/>
        <w:gridCol w:w="170"/>
        <w:gridCol w:w="1400"/>
        <w:gridCol w:w="170"/>
        <w:gridCol w:w="170"/>
        <w:gridCol w:w="1250"/>
        <w:gridCol w:w="170"/>
        <w:gridCol w:w="170"/>
        <w:gridCol w:w="1400"/>
        <w:gridCol w:w="170"/>
        <w:gridCol w:w="170"/>
        <w:gridCol w:w="1250"/>
        <w:gridCol w:w="215"/>
      </w:tblGrid>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bottom w:val="single" w:sz="8" w:space="0" w:color="FFFFFF"/>
            </w:tcBorders>
            <w:shd w:fill="819F7C" w:val="clear"/>
            <w:tcMar>
              <w:bottom w:w="7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990" w:type="dxa"/>
            <w:gridSpan w:val="4"/>
            <w:tcBorders>
              <w:bottom w:val="single" w:sz="8" w:space="0" w:color="FFFFFF"/>
            </w:tcBorders>
            <w:shd w:fill="819F7C" w:val="clear"/>
            <w:tcMar>
              <w:bottom w:w="7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0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5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1105"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95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48,650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16,319,161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9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30,780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10,319,904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1105"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951"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00" w:type="dxa"/>
            <w:tcBorders/>
            <w:shd w:fill="E5E9E3" w:val="clear"/>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16,902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50" w:type="dxa"/>
            <w:tcBorders/>
            <w:shd w:fill="E5E9E3" w:val="clear"/>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 xml:space="preserve">5,665,621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9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76" w:right="0" w:hanging="0"/>
              <w:jc w:val="left"/>
              <w:rPr>
                <w:rFonts w:ascii="Arial;Helvetica;sans-serif" w:hAnsi="Arial;Helvetica;sans-serif"/>
                <w:color w:val="000000"/>
                <w:sz w:val="16"/>
              </w:rPr>
            </w:pPr>
            <w:r>
              <w:rPr>
                <w:rFonts w:ascii="Arial;Helvetica;sans-serif" w:hAnsi="Arial;Helvetica;sans-serif"/>
                <w:color w:val="000000"/>
                <w:sz w:val="16"/>
              </w:rPr>
              <w:t>14,160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Arial;Helvetica;sans-serif" w:hAnsi="Arial;Helvetica;sans-serif"/>
                <w:color w:val="000000"/>
                <w:sz w:val="16"/>
              </w:rPr>
            </w:pPr>
            <w:r>
              <w:rPr>
                <w:rFonts w:ascii="Arial;Helvetica;sans-serif" w:hAnsi="Arial;Helvetica;sans-serif"/>
                <w:color w:val="000000"/>
                <w:sz w:val="16"/>
              </w:rPr>
              <w:t>4,747,292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0"/>
        <w:gridCol w:w="993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3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value realized on vesting was determined by multiplying (i) the number of our ordinary shares acquired upon vesting of stock-based awards, by (ii) the closing price per share of our ordinary shares on the NYSE on the applicable vesting date.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0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45" descr=""/>
                          <pic:cNvPicPr>
                            <a:picLocks noChangeAspect="1" noChangeArrowheads="1"/>
                          </pic:cNvPicPr>
                        </pic:nvPicPr>
                        <pic:blipFill>
                          <a:blip r:embed="rId18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8" w:name="ny20081940x1_def14a_110-executive_pg19"/>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90" w:after="283"/>
        <w:ind w:left="60" w:right="0" w:hanging="0"/>
        <w:jc w:val="left"/>
        <w:rPr>
          <w:rFonts w:ascii="Arial;Helvetica;sans-serif" w:hAnsi="Arial;Helvetica;sans-serif"/>
          <w:b/>
          <w:color w:val="000000"/>
          <w:sz w:val="28"/>
        </w:rPr>
      </w:pPr>
      <w:bookmarkStart w:id="209" w:name="tEC8"/>
      <w:bookmarkEnd w:id="209"/>
      <w:r>
        <w:rPr>
          <w:rFonts w:ascii="Arial;Helvetica;sans-serif" w:hAnsi="Arial;Helvetica;sans-serif"/>
          <w:b/>
          <w:color w:val="000000"/>
          <w:sz w:val="28"/>
        </w:rPr>
        <w:t xml:space="preserve">Potential Payments Upon Termination or Change of Control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3124200" cy="6722110"/>
                <wp:effectExtent l="0" t="0" r="0" b="0"/>
                <wp:wrapSquare wrapText="right"/>
                <wp:docPr id="302" name="Frame121"/>
                <a:graphic xmlns:a="http://schemas.openxmlformats.org/drawingml/2006/main">
                  <a:graphicData uri="http://schemas.microsoft.com/office/word/2010/wordprocessingShape">
                    <wps:wsp>
                      <wps:cNvSpPr txBox="1"/>
                      <wps:spPr>
                        <a:xfrm>
                          <a:off x="0" y="0"/>
                          <a:ext cx="3124200" cy="6722110"/>
                        </a:xfrm>
                        <a:prstGeom prst="rect"/>
                        <a:solidFill>
                          <a:srgbClr val="FFFFFF"/>
                        </a:solidFill>
                      </wps:spPr>
                      <wps:txbx>
                        <w:txbxContent>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Seamus Grady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a change in control and severance agreement effective as of February 26, 2019, as amended effective August 10, 2022 (the “</w:t>
                            </w:r>
                            <w:r>
                              <w:rPr>
                                <w:rFonts w:ascii="Arial;Helvetica;sans-serif" w:hAnsi="Arial;Helvetica;sans-serif"/>
                                <w:b/>
                                <w:color w:val="000000"/>
                                <w:sz w:val="20"/>
                              </w:rPr>
                              <w:t>Grady Agreement</w:t>
                            </w:r>
                            <w:r>
                              <w:rPr>
                                <w:rFonts w:ascii="Arial;Helvetica;sans-serif" w:hAnsi="Arial;Helvetica;sans-serif"/>
                                <w:color w:val="000000"/>
                                <w:sz w:val="20"/>
                              </w:rPr>
                              <w:t xml:space="preserve">”), Mr. Grady may receive certain benefits in connection with an involuntary termination of employment, including in connection with a change of control of Fabrinet. The Grady Agreement automatically renews annually unless either party provides notice of non-renewal at least 90 days before the date of the scheduled renewal. The Grady Agreement supersedes the severance payments and benefits set forth in Mr. Grady’s offer letter dated September 20, 2017.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the Grady Agreement, if Mr. Grady’s employment is terminated by us without “cause” and other than due to his death or disability, or by him for “good reason” (each, a “</w:t>
                            </w:r>
                            <w:r>
                              <w:rPr>
                                <w:rFonts w:ascii="Arial;Helvetica;sans-serif" w:hAnsi="Arial;Helvetica;sans-serif"/>
                                <w:b/>
                                <w:color w:val="000000"/>
                                <w:sz w:val="20"/>
                              </w:rPr>
                              <w:t>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Change in Control Period</w:t>
                            </w:r>
                            <w:r>
                              <w:rPr>
                                <w:rFonts w:ascii="Arial;Helvetica;sans-serif" w:hAnsi="Arial;Helvetica;sans-serif"/>
                                <w:color w:val="000000"/>
                                <w:sz w:val="20"/>
                              </w:rPr>
                              <w:t>”), then subject to Mr. Grady entering into and not revoking a separation agreement and release of claims (a “</w:t>
                            </w:r>
                            <w:r>
                              <w:rPr>
                                <w:rFonts w:ascii="Arial;Helvetica;sans-serif" w:hAnsi="Arial;Helvetica;sans-serif"/>
                                <w:b/>
                                <w:color w:val="000000"/>
                                <w:sz w:val="20"/>
                              </w:rPr>
                              <w:t>Release Agreement</w:t>
                            </w:r>
                            <w:r>
                              <w:rPr>
                                <w:rFonts w:ascii="Arial;Helvetica;sans-serif" w:hAnsi="Arial;Helvetica;sans-serif"/>
                                <w:color w:val="000000"/>
                                <w:sz w:val="20"/>
                              </w:rPr>
                              <w:t xml:space="preserve">”), Mr. Grady will receive the same severance payments and benefits as was set forth in his offer letter, consisting of: </w:t>
                            </w:r>
                          </w:p>
                          <w:tbl>
                            <w:tblPr>
                              <w:tblW w:w="9130" w:type="dxa"/>
                              <w:jc w:val="left"/>
                              <w:tblInd w:w="60" w:type="dxa"/>
                              <w:tblLayout w:type="fixed"/>
                              <w:tblCellMar>
                                <w:top w:w="0" w:type="dxa"/>
                                <w:left w:w="0" w:type="dxa"/>
                                <w:bottom w:w="0" w:type="dxa"/>
                                <w:right w:w="0" w:type="dxa"/>
                              </w:tblCellMar>
                            </w:tblPr>
                            <w:tblGrid>
                              <w:gridCol w:w="455"/>
                              <w:gridCol w:w="86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46" descr=""/>
                                                <pic:cNvPicPr>
                                                  <a:picLocks noChangeAspect="1" noChangeArrowheads="1"/>
                                                </pic:cNvPicPr>
                                              </pic:nvPicPr>
                                              <pic:blipFill>
                                                <a:blip r:embed="rId183"/>
                                                <a:stretch>
                                                  <a:fillRect/>
                                                </a:stretch>
                                              </pic:blipFill>
                                              <pic:spPr bwMode="auto">
                                                <a:xfrm>
                                                  <a:off x="0" y="0"/>
                                                  <a:ext cx="104775" cy="104775"/>
                                                </a:xfrm>
                                                <a:prstGeom prst="rect">
                                                  <a:avLst/>
                                                </a:prstGeom>
                                              </pic:spPr>
                                            </pic:pic>
                                          </a:graphicData>
                                        </a:graphic>
                                      </wp:inline>
                                    </w:drawing>
                                  </w:r>
                                  <w:r>
                                    <w:rPr>
                                      <w:color w:val="578255"/>
                                    </w:rPr>
                                    <w:t> </w:t>
                                  </w:r>
                                </w:p>
                              </w:tc>
                              <w:tc>
                                <w:tcPr>
                                  <w:tcW w:w="86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his annual base salary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47" descr=""/>
                                                <pic:cNvPicPr>
                                                  <a:picLocks noChangeAspect="1" noChangeArrowheads="1"/>
                                                </pic:cNvPicPr>
                                              </pic:nvPicPr>
                                              <pic:blipFill>
                                                <a:blip r:embed="rId184"/>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8170" w:type="dxa"/>
                              <w:jc w:val="left"/>
                              <w:tblInd w:w="60" w:type="dxa"/>
                              <w:tblLayout w:type="fixed"/>
                              <w:tblCellMar>
                                <w:top w:w="0" w:type="dxa"/>
                                <w:left w:w="0" w:type="dxa"/>
                                <w:bottom w:w="0" w:type="dxa"/>
                                <w:right w:w="0" w:type="dxa"/>
                              </w:tblCellMar>
                            </w:tblPr>
                            <w:tblGrid>
                              <w:gridCol w:w="455"/>
                              <w:gridCol w:w="771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48" descr=""/>
                                                <pic:cNvPicPr>
                                                  <a:picLocks noChangeAspect="1" noChangeArrowheads="1"/>
                                                </pic:cNvPicPr>
                                              </pic:nvPicPr>
                                              <pic:blipFill>
                                                <a:blip r:embed="rId185"/>
                                                <a:stretch>
                                                  <a:fillRect/>
                                                </a:stretch>
                                              </pic:blipFill>
                                              <pic:spPr bwMode="auto">
                                                <a:xfrm>
                                                  <a:off x="0" y="0"/>
                                                  <a:ext cx="104775" cy="104775"/>
                                                </a:xfrm>
                                                <a:prstGeom prst="rect">
                                                  <a:avLst/>
                                                </a:prstGeom>
                                              </pic:spPr>
                                            </pic:pic>
                                          </a:graphicData>
                                        </a:graphic>
                                      </wp:inline>
                                    </w:drawing>
                                  </w:r>
                                  <w:r>
                                    <w:rPr>
                                      <w:color w:val="578255"/>
                                    </w:rPr>
                                    <w:t> </w:t>
                                  </w:r>
                                </w:p>
                              </w:tc>
                              <w:tc>
                                <w:tcPr>
                                  <w:tcW w:w="77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49" descr=""/>
                                                <pic:cNvPicPr>
                                                  <a:picLocks noChangeAspect="1" noChangeArrowheads="1"/>
                                                </pic:cNvPicPr>
                                              </pic:nvPicPr>
                                              <pic:blipFill>
                                                <a:blip r:embed="rId186"/>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2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Seamus Grady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a change in control and severance agreement effective as of February 26, 2019, as amended effective August 10, 2022 (the “</w:t>
                      </w:r>
                      <w:r>
                        <w:rPr>
                          <w:rFonts w:ascii="Arial;Helvetica;sans-serif" w:hAnsi="Arial;Helvetica;sans-serif"/>
                          <w:b/>
                          <w:color w:val="000000"/>
                          <w:sz w:val="20"/>
                        </w:rPr>
                        <w:t>Grady Agreement</w:t>
                      </w:r>
                      <w:r>
                        <w:rPr>
                          <w:rFonts w:ascii="Arial;Helvetica;sans-serif" w:hAnsi="Arial;Helvetica;sans-serif"/>
                          <w:color w:val="000000"/>
                          <w:sz w:val="20"/>
                        </w:rPr>
                        <w:t xml:space="preserve">”), Mr. Grady may receive certain benefits in connection with an involuntary termination of employment, including in connection with a change of control of Fabrinet. The Grady Agreement automatically renews annually unless either party provides notice of non-renewal at least 90 days before the date of the scheduled renewal. The Grady Agreement supersedes the severance payments and benefits set forth in Mr. Grady’s offer letter dated September 20, 2017.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the Grady Agreement, if Mr. Grady’s employment is terminated by us without “cause” and other than due to his death or disability, or by him for “good reason” (each, a “</w:t>
                      </w:r>
                      <w:r>
                        <w:rPr>
                          <w:rFonts w:ascii="Arial;Helvetica;sans-serif" w:hAnsi="Arial;Helvetica;sans-serif"/>
                          <w:b/>
                          <w:color w:val="000000"/>
                          <w:sz w:val="20"/>
                        </w:rPr>
                        <w:t>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Change in Control Period</w:t>
                      </w:r>
                      <w:r>
                        <w:rPr>
                          <w:rFonts w:ascii="Arial;Helvetica;sans-serif" w:hAnsi="Arial;Helvetica;sans-serif"/>
                          <w:color w:val="000000"/>
                          <w:sz w:val="20"/>
                        </w:rPr>
                        <w:t>”), then subject to Mr. Grady entering into and not revoking a separation agreement and release of claims (a “</w:t>
                      </w:r>
                      <w:r>
                        <w:rPr>
                          <w:rFonts w:ascii="Arial;Helvetica;sans-serif" w:hAnsi="Arial;Helvetica;sans-serif"/>
                          <w:b/>
                          <w:color w:val="000000"/>
                          <w:sz w:val="20"/>
                        </w:rPr>
                        <w:t>Release Agreement</w:t>
                      </w:r>
                      <w:r>
                        <w:rPr>
                          <w:rFonts w:ascii="Arial;Helvetica;sans-serif" w:hAnsi="Arial;Helvetica;sans-serif"/>
                          <w:color w:val="000000"/>
                          <w:sz w:val="20"/>
                        </w:rPr>
                        <w:t xml:space="preserve">”), Mr. Grady will receive the same severance payments and benefits as was set forth in his offer letter, consisting of: </w:t>
                      </w:r>
                    </w:p>
                    <w:tbl>
                      <w:tblPr>
                        <w:tblW w:w="9130" w:type="dxa"/>
                        <w:jc w:val="left"/>
                        <w:tblInd w:w="60" w:type="dxa"/>
                        <w:tblLayout w:type="fixed"/>
                        <w:tblCellMar>
                          <w:top w:w="0" w:type="dxa"/>
                          <w:left w:w="0" w:type="dxa"/>
                          <w:bottom w:w="0" w:type="dxa"/>
                          <w:right w:w="0" w:type="dxa"/>
                        </w:tblCellMar>
                      </w:tblPr>
                      <w:tblGrid>
                        <w:gridCol w:w="455"/>
                        <w:gridCol w:w="867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46" descr=""/>
                                          <pic:cNvPicPr>
                                            <a:picLocks noChangeAspect="1" noChangeArrowheads="1"/>
                                          </pic:cNvPicPr>
                                        </pic:nvPicPr>
                                        <pic:blipFill>
                                          <a:blip r:embed="rId187"/>
                                          <a:stretch>
                                            <a:fillRect/>
                                          </a:stretch>
                                        </pic:blipFill>
                                        <pic:spPr bwMode="auto">
                                          <a:xfrm>
                                            <a:off x="0" y="0"/>
                                            <a:ext cx="104775" cy="104775"/>
                                          </a:xfrm>
                                          <a:prstGeom prst="rect">
                                            <a:avLst/>
                                          </a:prstGeom>
                                        </pic:spPr>
                                      </pic:pic>
                                    </a:graphicData>
                                  </a:graphic>
                                </wp:inline>
                              </w:drawing>
                            </w:r>
                            <w:r>
                              <w:rPr>
                                <w:color w:val="578255"/>
                              </w:rPr>
                              <w:t> </w:t>
                            </w:r>
                          </w:p>
                        </w:tc>
                        <w:tc>
                          <w:tcPr>
                            <w:tcW w:w="86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his annual base salary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47" descr=""/>
                                          <pic:cNvPicPr>
                                            <a:picLocks noChangeAspect="1" noChangeArrowheads="1"/>
                                          </pic:cNvPicPr>
                                        </pic:nvPicPr>
                                        <pic:blipFill>
                                          <a:blip r:embed="rId188"/>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8170" w:type="dxa"/>
                        <w:jc w:val="left"/>
                        <w:tblInd w:w="60" w:type="dxa"/>
                        <w:tblLayout w:type="fixed"/>
                        <w:tblCellMar>
                          <w:top w:w="0" w:type="dxa"/>
                          <w:left w:w="0" w:type="dxa"/>
                          <w:bottom w:w="0" w:type="dxa"/>
                          <w:right w:w="0" w:type="dxa"/>
                        </w:tblCellMar>
                      </w:tblPr>
                      <w:tblGrid>
                        <w:gridCol w:w="455"/>
                        <w:gridCol w:w="7715"/>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0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48" descr=""/>
                                          <pic:cNvPicPr>
                                            <a:picLocks noChangeAspect="1" noChangeArrowheads="1"/>
                                          </pic:cNvPicPr>
                                        </pic:nvPicPr>
                                        <pic:blipFill>
                                          <a:blip r:embed="rId189"/>
                                          <a:stretch>
                                            <a:fillRect/>
                                          </a:stretch>
                                        </pic:blipFill>
                                        <pic:spPr bwMode="auto">
                                          <a:xfrm>
                                            <a:off x="0" y="0"/>
                                            <a:ext cx="104775" cy="104775"/>
                                          </a:xfrm>
                                          <a:prstGeom prst="rect">
                                            <a:avLst/>
                                          </a:prstGeom>
                                        </pic:spPr>
                                      </pic:pic>
                                    </a:graphicData>
                                  </a:graphic>
                                </wp:inline>
                              </w:drawing>
                            </w:r>
                            <w:r>
                              <w:rPr>
                                <w:color w:val="578255"/>
                              </w:rPr>
                              <w:t> </w:t>
                            </w:r>
                          </w:p>
                        </w:tc>
                        <w:tc>
                          <w:tcPr>
                            <w:tcW w:w="771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49" descr=""/>
                                          <pic:cNvPicPr>
                                            <a:picLocks noChangeAspect="1" noChangeArrowheads="1"/>
                                          </pic:cNvPicPr>
                                        </pic:nvPicPr>
                                        <pic:blipFill>
                                          <a:blip r:embed="rId190"/>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325">
                <wp:simplePos x="0" y="0"/>
                <wp:positionH relativeFrom="column">
                  <wp:align>left</wp:align>
                </wp:positionH>
                <wp:positionV relativeFrom="line">
                  <wp:posOffset>635</wp:posOffset>
                </wp:positionV>
                <wp:extent cx="3124200" cy="7900035"/>
                <wp:effectExtent l="0" t="0" r="0" b="0"/>
                <wp:wrapSquare wrapText="right"/>
                <wp:docPr id="311" name="Frame122"/>
                <a:graphic xmlns:a="http://schemas.openxmlformats.org/drawingml/2006/main">
                  <a:graphicData uri="http://schemas.microsoft.com/office/word/2010/wordprocessingShape">
                    <wps:wsp>
                      <wps:cNvSpPr txBox="1"/>
                      <wps:spPr>
                        <a:xfrm>
                          <a:off x="0" y="0"/>
                          <a:ext cx="3124200" cy="790003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“cause” generally means Mr. Grady’s (i) commission of a felony or any crime involving moral turpitude, (ii) willful breach of his duties to us, including, but not limited to, theft from us and failure to fully disclose a personal pecuniary interest in a transaction involving us, or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“good reason” generally means, without Mr. Grady’s written consent, (i) a material diminution in Mr. Grady’s authority, duties, or responsibilities (including following any change in control) or (ii) a material breach by us of Mr. Grady’s offer letter or the Grady Agreement. However, to qualify as a termination of his employment for good reason, Mr. Grady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a “change in control” of Fabrinet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 </w:t>
                            </w:r>
                          </w:p>
                        </w:txbxContent>
                      </wps:txbx>
                      <wps:bodyPr anchor="t" lIns="0" tIns="0" rIns="0" bIns="0">
                        <a:noAutofit/>
                      </wps:bodyPr>
                    </wps:wsp>
                  </a:graphicData>
                </a:graphic>
              </wp:anchor>
            </w:drawing>
          </mc:Choice>
          <mc:Fallback>
            <w:pict>
              <v:rect style="position:absolute;rotation:-0;width:246pt;height:622.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“cause” generally means Mr. Grady’s (i) commission of a felony or any crime involving moral turpitude, (ii) willful breach of his duties to us, including, but not limited to, theft from us and failure to fully disclose a personal pecuniary interest in a transaction involving us, or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“good reason” generally means, without Mr. Grady’s written consent, (i) a material diminution in Mr. Grady’s authority, duties, or responsibilities (including following any change in control) or (ii) a material breach by us of Mr. Grady’s offer letter or the Grady Agreement. However, to qualify as a termination of his employment for good reason, Mr. Grady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Grady Agreement, a “change in control” of Fabrinet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 </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1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50" descr=""/>
                          <pic:cNvPicPr>
                            <a:picLocks noChangeAspect="1" noChangeArrowheads="1"/>
                          </pic:cNvPicPr>
                        </pic:nvPicPr>
                        <pic:blipFill>
                          <a:blip r:embed="rId19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0" w:name="ny20081940x1_def14a_110-executive_pg20"/>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24200" cy="6908800"/>
                <wp:effectExtent l="0" t="0" r="0" b="0"/>
                <wp:wrapSquare wrapText="right"/>
                <wp:docPr id="313" name="Frame123"/>
                <a:graphic xmlns:a="http://schemas.openxmlformats.org/drawingml/2006/main">
                  <a:graphicData uri="http://schemas.microsoft.com/office/word/2010/wordprocessingShape">
                    <wps:wsp>
                      <wps:cNvSpPr txBox="1"/>
                      <wps:spPr>
                        <a:xfrm>
                          <a:off x="0" y="0"/>
                          <a:ext cx="3124200" cy="690880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Grady Agreement provides that if any payments or benefits under the Grady Agreement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his receipt, on an after-tax basis, of the greater payments and benefits. The Grady Agreement does not provide for any Code Section 280G-related tax gross-up payments from us. </w:t>
                            </w:r>
                          </w:p>
                          <w:p>
                            <w:pPr>
                              <w:pStyle w:val="TextBody"/>
                              <w:bidi w:val="0"/>
                              <w:spacing w:before="41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Qualifying Termination during the Change in Control Period, then subject to Mr. Grady entering into and not revoking a Release Agreement, and in lieu of the severance payments and benefits described above, Mr. Grady will receive: </w:t>
                            </w:r>
                          </w:p>
                          <w:tbl>
                            <w:tblPr>
                              <w:tblW w:w="10145" w:type="dxa"/>
                              <w:jc w:val="left"/>
                              <w:tblInd w:w="60" w:type="dxa"/>
                              <w:tblLayout w:type="fixed"/>
                              <w:tblCellMar>
                                <w:top w:w="0" w:type="dxa"/>
                                <w:left w:w="0" w:type="dxa"/>
                                <w:bottom w:w="0" w:type="dxa"/>
                                <w:right w:w="0" w:type="dxa"/>
                              </w:tblCellMar>
                            </w:tblPr>
                            <w:tblGrid>
                              <w:gridCol w:w="382"/>
                              <w:gridCol w:w="9763"/>
                            </w:tblGrid>
                            <w:tr>
                              <w:trPr/>
                              <w:tc>
                                <w:tcPr>
                                  <w:tcW w:w="38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51" descr=""/>
                                                <pic:cNvPicPr>
                                                  <a:picLocks noChangeAspect="1" noChangeArrowheads="1"/>
                                                </pic:cNvPicPr>
                                              </pic:nvPicPr>
                                              <pic:blipFill>
                                                <a:blip r:embed="rId192"/>
                                                <a:stretch>
                                                  <a:fillRect/>
                                                </a:stretch>
                                              </pic:blipFill>
                                              <pic:spPr bwMode="auto">
                                                <a:xfrm>
                                                  <a:off x="0" y="0"/>
                                                  <a:ext cx="104775" cy="104775"/>
                                                </a:xfrm>
                                                <a:prstGeom prst="rect">
                                                  <a:avLst/>
                                                </a:prstGeom>
                                              </pic:spPr>
                                            </pic:pic>
                                          </a:graphicData>
                                        </a:graphic>
                                      </wp:inline>
                                    </w:drawing>
                                  </w:r>
                                  <w:r>
                                    <w:rPr>
                                      <w:color w:val="578255"/>
                                    </w:rPr>
                                    <w:t> </w:t>
                                  </w:r>
                                </w:p>
                              </w:tc>
                              <w:tc>
                                <w:tcPr>
                                  <w:tcW w:w="97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base salary as of the date of employment termination (or, if greater, his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52" descr=""/>
                                                <pic:cNvPicPr>
                                                  <a:picLocks noChangeAspect="1" noChangeArrowheads="1"/>
                                                </pic:cNvPicPr>
                                              </pic:nvPicPr>
                                              <pic:blipFill>
                                                <a:blip r:embed="rId193"/>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53" descr=""/>
                                                <pic:cNvPicPr>
                                                  <a:picLocks noChangeAspect="1" noChangeArrowheads="1"/>
                                                </pic:cNvPicPr>
                                              </pic:nvPicPr>
                                              <pic:blipFill>
                                                <a:blip r:embed="rId194"/>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target bonus opportunity in effect as of the date of employment termination (or, if greater, his annual target bonus opportunity as in effect immediately before the change in control);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54" descr=""/>
                                                <pic:cNvPicPr>
                                                  <a:picLocks noChangeAspect="1" noChangeArrowheads="1"/>
                                                </pic:cNvPicPr>
                                              </pic:nvPicPr>
                                              <pic:blipFill>
                                                <a:blip r:embed="rId195"/>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9"/>
                              <w:gridCol w:w="9766"/>
                            </w:tblGrid>
                            <w:tr>
                              <w:trPr/>
                              <w:tc>
                                <w:tcPr>
                                  <w:tcW w:w="37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55" descr=""/>
                                                <pic:cNvPicPr>
                                                  <a:picLocks noChangeAspect="1" noChangeArrowheads="1"/>
                                                </pic:cNvPicPr>
                                              </pic:nvPicPr>
                                              <pic:blipFill>
                                                <a:blip r:embed="rId196"/>
                                                <a:stretch>
                                                  <a:fillRect/>
                                                </a:stretch>
                                              </pic:blipFill>
                                              <pic:spPr bwMode="auto">
                                                <a:xfrm>
                                                  <a:off x="0" y="0"/>
                                                  <a:ext cx="104775" cy="104775"/>
                                                </a:xfrm>
                                                <a:prstGeom prst="rect">
                                                  <a:avLst/>
                                                </a:prstGeom>
                                              </pic:spPr>
                                            </pic:pic>
                                          </a:graphicData>
                                        </a:graphic>
                                      </wp:inline>
                                    </w:drawing>
                                  </w:r>
                                  <w:r>
                                    <w:rPr>
                                      <w:color w:val="578255"/>
                                    </w:rPr>
                                    <w:t> </w:t>
                                  </w:r>
                                </w:p>
                              </w:tc>
                              <w:tc>
                                <w:tcPr>
                                  <w:tcW w:w="976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unvested and outstanding time-based equity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1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56" descr=""/>
                                                <pic:cNvPicPr>
                                                  <a:picLocks noChangeAspect="1" noChangeArrowheads="1"/>
                                                </pic:cNvPicPr>
                                              </pic:nvPicPr>
                                              <pic:blipFill>
                                                <a:blip r:embed="rId197"/>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in the event of a change in control of Fabrinet, any then-outstanding and unvested equity awards held by Mr. Grady that are subject to the achievement of any performance-based or similar vesting criteria will be </w:t>
                            </w:r>
                          </w:p>
                        </w:txbxContent>
                      </wps:txbx>
                      <wps:bodyPr anchor="t" lIns="0" tIns="0" rIns="0" bIns="0">
                        <a:noAutofit/>
                      </wps:bodyPr>
                    </wps:wsp>
                  </a:graphicData>
                </a:graphic>
              </wp:anchor>
            </w:drawing>
          </mc:Choice>
          <mc:Fallback>
            <w:pict>
              <v:rect style="position:absolute;rotation:-0;width:246pt;height:5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Grady Agreement provides that if any payments or benefits under the Grady Agreement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his receipt, on an after-tax basis, of the greater payments and benefits. The Grady Agreement does not provide for any Code Section 280G-related tax gross-up payments from us. </w:t>
                      </w:r>
                    </w:p>
                    <w:p>
                      <w:pPr>
                        <w:pStyle w:val="TextBody"/>
                        <w:bidi w:val="0"/>
                        <w:spacing w:before="41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of a Qualifying Termination during the Change in Control Period, then subject to Mr. Grady entering into and not revoking a Release Agreement, and in lieu of the severance payments and benefits described above, Mr. Grady will receive: </w:t>
                      </w:r>
                    </w:p>
                    <w:tbl>
                      <w:tblPr>
                        <w:tblW w:w="10145" w:type="dxa"/>
                        <w:jc w:val="left"/>
                        <w:tblInd w:w="60" w:type="dxa"/>
                        <w:tblLayout w:type="fixed"/>
                        <w:tblCellMar>
                          <w:top w:w="0" w:type="dxa"/>
                          <w:left w:w="0" w:type="dxa"/>
                          <w:bottom w:w="0" w:type="dxa"/>
                          <w:right w:w="0" w:type="dxa"/>
                        </w:tblCellMar>
                      </w:tblPr>
                      <w:tblGrid>
                        <w:gridCol w:w="382"/>
                        <w:gridCol w:w="9763"/>
                      </w:tblGrid>
                      <w:tr>
                        <w:trPr/>
                        <w:tc>
                          <w:tcPr>
                            <w:tcW w:w="38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51" descr=""/>
                                          <pic:cNvPicPr>
                                            <a:picLocks noChangeAspect="1" noChangeArrowheads="1"/>
                                          </pic:cNvPicPr>
                                        </pic:nvPicPr>
                                        <pic:blipFill>
                                          <a:blip r:embed="rId198"/>
                                          <a:stretch>
                                            <a:fillRect/>
                                          </a:stretch>
                                        </pic:blipFill>
                                        <pic:spPr bwMode="auto">
                                          <a:xfrm>
                                            <a:off x="0" y="0"/>
                                            <a:ext cx="104775" cy="104775"/>
                                          </a:xfrm>
                                          <a:prstGeom prst="rect">
                                            <a:avLst/>
                                          </a:prstGeom>
                                        </pic:spPr>
                                      </pic:pic>
                                    </a:graphicData>
                                  </a:graphic>
                                </wp:inline>
                              </w:drawing>
                            </w:r>
                            <w:r>
                              <w:rPr>
                                <w:color w:val="578255"/>
                              </w:rPr>
                              <w:t> </w:t>
                            </w:r>
                          </w:p>
                        </w:tc>
                        <w:tc>
                          <w:tcPr>
                            <w:tcW w:w="976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base salary as of the date of employment termination (or, if greater, his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52" descr=""/>
                                          <pic:cNvPicPr>
                                            <a:picLocks noChangeAspect="1" noChangeArrowheads="1"/>
                                          </pic:cNvPicPr>
                                        </pic:nvPicPr>
                                        <pic:blipFill>
                                          <a:blip r:embed="rId199"/>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53" descr=""/>
                                          <pic:cNvPicPr>
                                            <a:picLocks noChangeAspect="1" noChangeArrowheads="1"/>
                                          </pic:cNvPicPr>
                                        </pic:nvPicPr>
                                        <pic:blipFill>
                                          <a:blip r:embed="rId200"/>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200% of his annual target bonus opportunity in effect as of the date of employment termination (or, if greater, his annual target bonus opportunity as in effect immediately before the change in control);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54" descr=""/>
                                          <pic:cNvPicPr>
                                            <a:picLocks noChangeAspect="1" noChangeArrowheads="1"/>
                                          </pic:cNvPicPr>
                                        </pic:nvPicPr>
                                        <pic:blipFill>
                                          <a:blip r:embed="rId201"/>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9"/>
                        <w:gridCol w:w="9766"/>
                      </w:tblGrid>
                      <w:tr>
                        <w:trPr/>
                        <w:tc>
                          <w:tcPr>
                            <w:tcW w:w="37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55" descr=""/>
                                          <pic:cNvPicPr>
                                            <a:picLocks noChangeAspect="1" noChangeArrowheads="1"/>
                                          </pic:cNvPicPr>
                                        </pic:nvPicPr>
                                        <pic:blipFill>
                                          <a:blip r:embed="rId202"/>
                                          <a:stretch>
                                            <a:fillRect/>
                                          </a:stretch>
                                        </pic:blipFill>
                                        <pic:spPr bwMode="auto">
                                          <a:xfrm>
                                            <a:off x="0" y="0"/>
                                            <a:ext cx="104775" cy="104775"/>
                                          </a:xfrm>
                                          <a:prstGeom prst="rect">
                                            <a:avLst/>
                                          </a:prstGeom>
                                        </pic:spPr>
                                      </pic:pic>
                                    </a:graphicData>
                                  </a:graphic>
                                </wp:inline>
                              </w:drawing>
                            </w:r>
                            <w:r>
                              <w:rPr>
                                <w:color w:val="578255"/>
                              </w:rPr>
                              <w:t> </w:t>
                            </w:r>
                          </w:p>
                        </w:tc>
                        <w:tc>
                          <w:tcPr>
                            <w:tcW w:w="976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unvested and outstanding time-based equity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52"/>
                        <w:gridCol w:w="9793"/>
                      </w:tblGrid>
                      <w:tr>
                        <w:trPr/>
                        <w:tc>
                          <w:tcPr>
                            <w:tcW w:w="352"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56" descr=""/>
                                          <pic:cNvPicPr>
                                            <a:picLocks noChangeAspect="1" noChangeArrowheads="1"/>
                                          </pic:cNvPicPr>
                                        </pic:nvPicPr>
                                        <pic:blipFill>
                                          <a:blip r:embed="rId203"/>
                                          <a:stretch>
                                            <a:fillRect/>
                                          </a:stretch>
                                        </pic:blipFill>
                                        <pic:spPr bwMode="auto">
                                          <a:xfrm>
                                            <a:off x="0" y="0"/>
                                            <a:ext cx="104775" cy="104775"/>
                                          </a:xfrm>
                                          <a:prstGeom prst="rect">
                                            <a:avLst/>
                                          </a:prstGeom>
                                        </pic:spPr>
                                      </pic:pic>
                                    </a:graphicData>
                                  </a:graphic>
                                </wp:inline>
                              </w:drawing>
                            </w:r>
                            <w:r>
                              <w:rPr>
                                <w:color w:val="578255"/>
                              </w:rPr>
                              <w:t> </w:t>
                            </w:r>
                          </w:p>
                        </w:tc>
                        <w:tc>
                          <w:tcPr>
                            <w:tcW w:w="979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Mr. Grady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in the event of a change in control of Fabrinet, any then-outstanding and unvested equity awards held by Mr. Grady that are subject to the achievement of any performance-based or similar vesting criteria will be </w:t>
                      </w:r>
                    </w:p>
                  </w:txbxContent>
                </v:textbox>
                <w10:wrap type="square" side="right"/>
              </v:rect>
            </w:pict>
          </mc:Fallback>
        </mc:AlternateContent>
      </w:r>
      <w:r>
        <mc:AlternateContent>
          <mc:Choice Requires="wps">
            <w:drawing>
              <wp:anchor behindDoc="0" distT="0" distB="0" distL="228600" distR="0" simplePos="0" locked="0" layoutInCell="1" allowOverlap="1" relativeHeight="121">
                <wp:simplePos x="0" y="0"/>
                <wp:positionH relativeFrom="column">
                  <wp:align>left</wp:align>
                </wp:positionH>
                <wp:positionV relativeFrom="line">
                  <wp:posOffset>635</wp:posOffset>
                </wp:positionV>
                <wp:extent cx="3124200" cy="6480175"/>
                <wp:effectExtent l="0" t="0" r="0" b="0"/>
                <wp:wrapSquare wrapText="right"/>
                <wp:docPr id="326" name="Frame124"/>
                <a:graphic xmlns:a="http://schemas.openxmlformats.org/drawingml/2006/main">
                  <a:graphicData uri="http://schemas.microsoft.com/office/word/2010/wordprocessingShape">
                    <wps:wsp>
                      <wps:cNvSpPr txBox="1"/>
                      <wps:spPr>
                        <a:xfrm>
                          <a:off x="0" y="0"/>
                          <a:ext cx="3124200" cy="648017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Dr. Harpal Gill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Dr. Gill’s amended and restated offer letter dated as of December 19, 2024 (the “</w:t>
                            </w:r>
                            <w:r>
                              <w:rPr>
                                <w:rFonts w:ascii="Arial;Helvetica;sans-serif" w:hAnsi="Arial;Helvetica;sans-serif"/>
                                <w:b/>
                                <w:color w:val="000000"/>
                                <w:sz w:val="20"/>
                              </w:rPr>
                              <w:t>Amended Gill Offer Letter</w:t>
                            </w:r>
                            <w:r>
                              <w:rPr>
                                <w:rFonts w:ascii="Arial;Helvetica;sans-serif" w:hAnsi="Arial;Helvetica;sans-serif"/>
                                <w:color w:val="000000"/>
                                <w:sz w:val="20"/>
                              </w:rPr>
                              <w:t xml:space="preserve">”), Dr. Gill and Fabrinet are each free to terminate Dr. Gill’s employment at any time, effective one year after providing written notice, provided that Dr. Gill’s employment can be terminated at any time for cause without advance written notice.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 termination of Dr. Gill’s employment by us without “good cause” (and other than due to Dr. Gill’s death or disability) or by Dr. Gill for any reason, and provided that Dr. Gill provides the transition services and any required services following appointment of a successor chief operating officer (as applicable) specified in the Amended Gill Offer Letter,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57" descr=""/>
                                                <pic:cNvPicPr>
                                                  <a:picLocks noChangeAspect="1" noChangeArrowheads="1"/>
                                                </pic:cNvPicPr>
                                              </pic:nvPicPr>
                                              <pic:blipFill>
                                                <a:blip r:embed="rId204"/>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58" descr=""/>
                                                <pic:cNvPicPr>
                                                  <a:picLocks noChangeAspect="1" noChangeArrowheads="1"/>
                                                </pic:cNvPicPr>
                                              </pic:nvPicPr>
                                              <pic:blipFill>
                                                <a:blip r:embed="rId205"/>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2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59" descr=""/>
                                                <pic:cNvPicPr>
                                                  <a:picLocks noChangeAspect="1" noChangeArrowheads="1"/>
                                                </pic:cNvPicPr>
                                              </pic:nvPicPr>
                                              <pic:blipFill>
                                                <a:blip r:embed="rId206"/>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1"/>
                              <w:gridCol w:w="9774"/>
                            </w:tblGrid>
                            <w:tr>
                              <w:trPr/>
                              <w:tc>
                                <w:tcPr>
                                  <w:tcW w:w="37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60" descr=""/>
                                                <pic:cNvPicPr>
                                                  <a:picLocks noChangeAspect="1" noChangeArrowheads="1"/>
                                                </pic:cNvPicPr>
                                              </pic:nvPicPr>
                                              <pic:blipFill>
                                                <a:blip r:embed="rId207"/>
                                                <a:stretch>
                                                  <a:fillRect/>
                                                </a:stretch>
                                              </pic:blipFill>
                                              <pic:spPr bwMode="auto">
                                                <a:xfrm>
                                                  <a:off x="0" y="0"/>
                                                  <a:ext cx="104775" cy="104775"/>
                                                </a:xfrm>
                                                <a:prstGeom prst="rect">
                                                  <a:avLst/>
                                                </a:prstGeom>
                                              </pic:spPr>
                                            </pic:pic>
                                          </a:graphicData>
                                        </a:graphic>
                                      </wp:inline>
                                    </w:drawing>
                                  </w:r>
                                  <w:r>
                                    <w:rPr>
                                      <w:color w:val="578255"/>
                                    </w:rPr>
                                    <w:t> </w:t>
                                  </w:r>
                                </w:p>
                              </w:tc>
                              <w:tc>
                                <w:tcPr>
                                  <w:tcW w:w="977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w:t>
                                  </w:r>
                                </w:p>
                              </w:tc>
                            </w:tr>
                          </w:tbl>
                          <w:tbl>
                            <w:tblPr>
                              <w:tblW w:w="10145" w:type="dxa"/>
                              <w:jc w:val="left"/>
                              <w:tblInd w:w="60" w:type="dxa"/>
                              <w:tblLayout w:type="fixed"/>
                              <w:tblCellMar>
                                <w:top w:w="0" w:type="dxa"/>
                                <w:left w:w="0" w:type="dxa"/>
                                <w:bottom w:w="0" w:type="dxa"/>
                                <w:right w:w="0" w:type="dxa"/>
                              </w:tblCellMar>
                            </w:tblPr>
                            <w:tblGrid>
                              <w:gridCol w:w="330"/>
                              <w:gridCol w:w="9815"/>
                            </w:tblGrid>
                            <w:tr>
                              <w:trPr/>
                              <w:tc>
                                <w:tcPr>
                                  <w:tcW w:w="33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61" descr=""/>
                                                <pic:cNvPicPr>
                                                  <a:picLocks noChangeAspect="1" noChangeArrowheads="1"/>
                                                </pic:cNvPicPr>
                                              </pic:nvPicPr>
                                              <pic:blipFill>
                                                <a:blip r:embed="rId208"/>
                                                <a:stretch>
                                                  <a:fillRect/>
                                                </a:stretch>
                                              </pic:blipFill>
                                              <pic:spPr bwMode="auto">
                                                <a:xfrm>
                                                  <a:off x="0" y="0"/>
                                                  <a:ext cx="104775" cy="104775"/>
                                                </a:xfrm>
                                                <a:prstGeom prst="rect">
                                                  <a:avLst/>
                                                </a:prstGeom>
                                              </pic:spPr>
                                            </pic:pic>
                                          </a:graphicData>
                                        </a:graphic>
                                      </wp:inline>
                                    </w:drawing>
                                  </w:r>
                                  <w:r>
                                    <w:rPr>
                                      <w:color w:val="578255"/>
                                    </w:rPr>
                                    <w:t> </w:t>
                                  </w:r>
                                </w:p>
                              </w:tc>
                              <w:tc>
                                <w:tcPr>
                                  <w:tcW w:w="981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and </w:t>
                                  </w:r>
                                </w:p>
                              </w:tc>
                            </w:tr>
                          </w:tbl>
                          <w:tbl>
                            <w:tblPr>
                              <w:tblW w:w="10145" w:type="dxa"/>
                              <w:jc w:val="left"/>
                              <w:tblInd w:w="60" w:type="dxa"/>
                              <w:tblLayout w:type="fixed"/>
                              <w:tblCellMar>
                                <w:top w:w="0" w:type="dxa"/>
                                <w:left w:w="0" w:type="dxa"/>
                                <w:bottom w:w="0" w:type="dxa"/>
                                <w:right w:w="0" w:type="dxa"/>
                              </w:tblCellMar>
                            </w:tblPr>
                            <w:tblGrid>
                              <w:gridCol w:w="366"/>
                              <w:gridCol w:w="9779"/>
                            </w:tblGrid>
                            <w:tr>
                              <w:trPr/>
                              <w:tc>
                                <w:tcPr>
                                  <w:tcW w:w="36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62" descr=""/>
                                                <pic:cNvPicPr>
                                                  <a:picLocks noChangeAspect="1" noChangeArrowheads="1"/>
                                                </pic:cNvPicPr>
                                              </pic:nvPicPr>
                                              <pic:blipFill>
                                                <a:blip r:embed="rId209"/>
                                                <a:stretch>
                                                  <a:fillRect/>
                                                </a:stretch>
                                              </pic:blipFill>
                                              <pic:spPr bwMode="auto">
                                                <a:xfrm>
                                                  <a:off x="0" y="0"/>
                                                  <a:ext cx="104775" cy="104775"/>
                                                </a:xfrm>
                                                <a:prstGeom prst="rect">
                                                  <a:avLst/>
                                                </a:prstGeom>
                                              </pic:spPr>
                                            </pic:pic>
                                          </a:graphicData>
                                        </a:graphic>
                                      </wp:inline>
                                    </w:drawing>
                                  </w:r>
                                  <w:r>
                                    <w:rPr>
                                      <w:color w:val="578255"/>
                                    </w:rPr>
                                    <w:t> </w:t>
                                  </w:r>
                                </w:p>
                              </w:tc>
                              <w:tc>
                                <w:tcPr>
                                  <w:tcW w:w="97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continued tax equalization benefits under our expatriate policy, as in effect on the date of employment termination,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510.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p>
                      <w:pPr>
                        <w:pStyle w:val="TextBody"/>
                        <w:bidi w:val="0"/>
                        <w:spacing w:before="28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Arrangement with Dr. Harpal Gill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Pursuant to Dr. Gill’s amended and restated offer letter dated as of December 19, 2024 (the “</w:t>
                      </w:r>
                      <w:r>
                        <w:rPr>
                          <w:rFonts w:ascii="Arial;Helvetica;sans-serif" w:hAnsi="Arial;Helvetica;sans-serif"/>
                          <w:b/>
                          <w:color w:val="000000"/>
                          <w:sz w:val="20"/>
                        </w:rPr>
                        <w:t>Amended Gill Offer Letter</w:t>
                      </w:r>
                      <w:r>
                        <w:rPr>
                          <w:rFonts w:ascii="Arial;Helvetica;sans-serif" w:hAnsi="Arial;Helvetica;sans-serif"/>
                          <w:color w:val="000000"/>
                          <w:sz w:val="20"/>
                        </w:rPr>
                        <w:t xml:space="preserve">”), Dr. Gill and Fabrinet are each free to terminate Dr. Gill’s employment at any time, effective one year after providing written notice, provided that Dr. Gill’s employment can be terminated at any time for cause without advance written notice.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 termination of Dr. Gill’s employment by us without “good cause” (and other than due to Dr. Gill’s death or disability) or by Dr. Gill for any reason, and provided that Dr. Gill provides the transition services and any required services following appointment of a successor chief operating officer (as applicable) specified in the Amended Gill Offer Letter,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57" descr=""/>
                                          <pic:cNvPicPr>
                                            <a:picLocks noChangeAspect="1" noChangeArrowheads="1"/>
                                          </pic:cNvPicPr>
                                        </pic:nvPicPr>
                                        <pic:blipFill>
                                          <a:blip r:embed="rId210"/>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58" descr=""/>
                                          <pic:cNvPicPr>
                                            <a:picLocks noChangeAspect="1" noChangeArrowheads="1"/>
                                          </pic:cNvPicPr>
                                        </pic:nvPicPr>
                                        <pic:blipFill>
                                          <a:blip r:embed="rId211"/>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59" descr=""/>
                                          <pic:cNvPicPr>
                                            <a:picLocks noChangeAspect="1" noChangeArrowheads="1"/>
                                          </pic:cNvPicPr>
                                        </pic:nvPicPr>
                                        <pic:blipFill>
                                          <a:blip r:embed="rId212"/>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1"/>
                        <w:gridCol w:w="9774"/>
                      </w:tblGrid>
                      <w:tr>
                        <w:trPr/>
                        <w:tc>
                          <w:tcPr>
                            <w:tcW w:w="37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60" descr=""/>
                                          <pic:cNvPicPr>
                                            <a:picLocks noChangeAspect="1" noChangeArrowheads="1"/>
                                          </pic:cNvPicPr>
                                        </pic:nvPicPr>
                                        <pic:blipFill>
                                          <a:blip r:embed="rId213"/>
                                          <a:stretch>
                                            <a:fillRect/>
                                          </a:stretch>
                                        </pic:blipFill>
                                        <pic:spPr bwMode="auto">
                                          <a:xfrm>
                                            <a:off x="0" y="0"/>
                                            <a:ext cx="104775" cy="104775"/>
                                          </a:xfrm>
                                          <a:prstGeom prst="rect">
                                            <a:avLst/>
                                          </a:prstGeom>
                                        </pic:spPr>
                                      </pic:pic>
                                    </a:graphicData>
                                  </a:graphic>
                                </wp:inline>
                              </w:drawing>
                            </w:r>
                            <w:r>
                              <w:rPr>
                                <w:color w:val="578255"/>
                              </w:rPr>
                              <w:t> </w:t>
                            </w:r>
                          </w:p>
                        </w:tc>
                        <w:tc>
                          <w:tcPr>
                            <w:tcW w:w="977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w:t>
                            </w:r>
                          </w:p>
                        </w:tc>
                      </w:tr>
                    </w:tbl>
                    <w:tbl>
                      <w:tblPr>
                        <w:tblW w:w="10145" w:type="dxa"/>
                        <w:jc w:val="left"/>
                        <w:tblInd w:w="60" w:type="dxa"/>
                        <w:tblLayout w:type="fixed"/>
                        <w:tblCellMar>
                          <w:top w:w="0" w:type="dxa"/>
                          <w:left w:w="0" w:type="dxa"/>
                          <w:bottom w:w="0" w:type="dxa"/>
                          <w:right w:w="0" w:type="dxa"/>
                        </w:tblCellMar>
                      </w:tblPr>
                      <w:tblGrid>
                        <w:gridCol w:w="330"/>
                        <w:gridCol w:w="9815"/>
                      </w:tblGrid>
                      <w:tr>
                        <w:trPr/>
                        <w:tc>
                          <w:tcPr>
                            <w:tcW w:w="33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61" descr=""/>
                                          <pic:cNvPicPr>
                                            <a:picLocks noChangeAspect="1" noChangeArrowheads="1"/>
                                          </pic:cNvPicPr>
                                        </pic:nvPicPr>
                                        <pic:blipFill>
                                          <a:blip r:embed="rId214"/>
                                          <a:stretch>
                                            <a:fillRect/>
                                          </a:stretch>
                                        </pic:blipFill>
                                        <pic:spPr bwMode="auto">
                                          <a:xfrm>
                                            <a:off x="0" y="0"/>
                                            <a:ext cx="104775" cy="104775"/>
                                          </a:xfrm>
                                          <a:prstGeom prst="rect">
                                            <a:avLst/>
                                          </a:prstGeom>
                                        </pic:spPr>
                                      </pic:pic>
                                    </a:graphicData>
                                  </a:graphic>
                                </wp:inline>
                              </w:drawing>
                            </w:r>
                            <w:r>
                              <w:rPr>
                                <w:color w:val="578255"/>
                              </w:rPr>
                              <w:t> </w:t>
                            </w:r>
                          </w:p>
                        </w:tc>
                        <w:tc>
                          <w:tcPr>
                            <w:tcW w:w="9815"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and </w:t>
                            </w:r>
                          </w:p>
                        </w:tc>
                      </w:tr>
                    </w:tbl>
                    <w:tbl>
                      <w:tblPr>
                        <w:tblW w:w="10145" w:type="dxa"/>
                        <w:jc w:val="left"/>
                        <w:tblInd w:w="60" w:type="dxa"/>
                        <w:tblLayout w:type="fixed"/>
                        <w:tblCellMar>
                          <w:top w:w="0" w:type="dxa"/>
                          <w:left w:w="0" w:type="dxa"/>
                          <w:bottom w:w="0" w:type="dxa"/>
                          <w:right w:w="0" w:type="dxa"/>
                        </w:tblCellMar>
                      </w:tblPr>
                      <w:tblGrid>
                        <w:gridCol w:w="366"/>
                        <w:gridCol w:w="9779"/>
                      </w:tblGrid>
                      <w:tr>
                        <w:trPr/>
                        <w:tc>
                          <w:tcPr>
                            <w:tcW w:w="366"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3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62" descr=""/>
                                          <pic:cNvPicPr>
                                            <a:picLocks noChangeAspect="1" noChangeArrowheads="1"/>
                                          </pic:cNvPicPr>
                                        </pic:nvPicPr>
                                        <pic:blipFill>
                                          <a:blip r:embed="rId215"/>
                                          <a:stretch>
                                            <a:fillRect/>
                                          </a:stretch>
                                        </pic:blipFill>
                                        <pic:spPr bwMode="auto">
                                          <a:xfrm>
                                            <a:off x="0" y="0"/>
                                            <a:ext cx="104775" cy="104775"/>
                                          </a:xfrm>
                                          <a:prstGeom prst="rect">
                                            <a:avLst/>
                                          </a:prstGeom>
                                        </pic:spPr>
                                      </pic:pic>
                                    </a:graphicData>
                                  </a:graphic>
                                </wp:inline>
                              </w:drawing>
                            </w:r>
                            <w:r>
                              <w:rPr>
                                <w:color w:val="578255"/>
                              </w:rPr>
                              <w:t> </w:t>
                            </w:r>
                          </w:p>
                        </w:tc>
                        <w:tc>
                          <w:tcPr>
                            <w:tcW w:w="977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continued tax equalization benefits under our expatriate policy, as in effect on the date of employment termination,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3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63" descr=""/>
                          <pic:cNvPicPr>
                            <a:picLocks noChangeAspect="1" noChangeArrowheads="1"/>
                          </pic:cNvPicPr>
                        </pic:nvPicPr>
                        <pic:blipFill>
                          <a:blip r:embed="rId216"/>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1" w:name="ny20081940x1_def14a_110-executive_pg21"/>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124200" cy="4752340"/>
                <wp:effectExtent l="0" t="0" r="0" b="0"/>
                <wp:wrapSquare wrapText="right"/>
                <wp:docPr id="340" name="Frame125"/>
                <a:graphic xmlns:a="http://schemas.openxmlformats.org/drawingml/2006/main">
                  <a:graphicData uri="http://schemas.microsoft.com/office/word/2010/wordprocessingShape">
                    <wps:wsp>
                      <wps:cNvSpPr txBox="1"/>
                      <wps:spPr>
                        <a:xfrm>
                          <a:off x="0" y="0"/>
                          <a:ext cx="3124200" cy="47523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Dr. Gill’s employment is terminated on account of Dr. Gill’s death or disability,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64" descr=""/>
                                                <pic:cNvPicPr>
                                                  <a:picLocks noChangeAspect="1" noChangeArrowheads="1"/>
                                                </pic:cNvPicPr>
                                              </pic:nvPicPr>
                                              <pic:blipFill>
                                                <a:blip r:embed="rId217"/>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65" descr=""/>
                                                <pic:cNvPicPr>
                                                  <a:picLocks noChangeAspect="1" noChangeArrowheads="1"/>
                                                </pic:cNvPicPr>
                                              </pic:nvPicPr>
                                              <pic:blipFill>
                                                <a:blip r:embed="rId218"/>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66" descr=""/>
                                                <pic:cNvPicPr>
                                                  <a:picLocks noChangeAspect="1" noChangeArrowheads="1"/>
                                                </pic:cNvPicPr>
                                              </pic:nvPicPr>
                                              <pic:blipFill>
                                                <a:blip r:embed="rId219"/>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7" descr=""/>
                                                <pic:cNvPicPr>
                                                  <a:picLocks noChangeAspect="1" noChangeArrowheads="1"/>
                                                </pic:cNvPicPr>
                                              </pic:nvPicPr>
                                              <pic:blipFill>
                                                <a:blip r:embed="rId220"/>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31"/>
                              <w:gridCol w:w="9814"/>
                            </w:tblGrid>
                            <w:tr>
                              <w:trPr/>
                              <w:tc>
                                <w:tcPr>
                                  <w:tcW w:w="33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68" descr=""/>
                                                <pic:cNvPicPr>
                                                  <a:picLocks noChangeAspect="1" noChangeArrowheads="1"/>
                                                </pic:cNvPicPr>
                                              </pic:nvPicPr>
                                              <pic:blipFill>
                                                <a:blip r:embed="rId221"/>
                                                <a:stretch>
                                                  <a:fillRect/>
                                                </a:stretch>
                                              </pic:blipFill>
                                              <pic:spPr bwMode="auto">
                                                <a:xfrm>
                                                  <a:off x="0" y="0"/>
                                                  <a:ext cx="104775" cy="104775"/>
                                                </a:xfrm>
                                                <a:prstGeom prst="rect">
                                                  <a:avLst/>
                                                </a:prstGeom>
                                              </pic:spPr>
                                            </pic:pic>
                                          </a:graphicData>
                                        </a:graphic>
                                      </wp:inline>
                                    </w:drawing>
                                  </w:r>
                                  <w:r>
                                    <w:rPr>
                                      <w:color w:val="578255"/>
                                    </w:rPr>
                                    <w:t> </w:t>
                                  </w:r>
                                </w:p>
                              </w:tc>
                              <w:tc>
                                <w:tcPr>
                                  <w:tcW w:w="9814"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Dr. Gill’s offer letter, “good cause” generally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Fabrinet or any other party to whom he owes an obligation of nondisclosure as a result of his relationship with us, (v) willful breach of any obligations under any written agreement or covenant with us, or (vi) continued failure to perform employment duties after receipt of a written demand for performance from us and opportunity to cure such failure over a 30-day period. </w:t>
                            </w:r>
                          </w:p>
                        </w:txbxContent>
                      </wps:txbx>
                      <wps:bodyPr anchor="t" lIns="0" tIns="0" rIns="0" bIns="0">
                        <a:noAutofit/>
                      </wps:bodyPr>
                    </wps:wsp>
                  </a:graphicData>
                </a:graphic>
              </wp:anchor>
            </w:drawing>
          </mc:Choice>
          <mc:Fallback>
            <w:pict>
              <v:rect style="position:absolute;rotation:-0;width:246pt;height:37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Dr. Gill’s employment is terminated on account of Dr. Gill’s death or disability, Dr. Gill will receive the following severance benefits: </w:t>
                      </w:r>
                    </w:p>
                    <w:tbl>
                      <w:tblPr>
                        <w:tblW w:w="10145" w:type="dxa"/>
                        <w:jc w:val="left"/>
                        <w:tblInd w:w="60" w:type="dxa"/>
                        <w:tblLayout w:type="fixed"/>
                        <w:tblCellMar>
                          <w:top w:w="0" w:type="dxa"/>
                          <w:left w:w="0" w:type="dxa"/>
                          <w:bottom w:w="0" w:type="dxa"/>
                          <w:right w:w="0" w:type="dxa"/>
                        </w:tblCellMar>
                      </w:tblPr>
                      <w:tblGrid>
                        <w:gridCol w:w="367"/>
                        <w:gridCol w:w="9778"/>
                      </w:tblGrid>
                      <w:tr>
                        <w:trPr/>
                        <w:tc>
                          <w:tcPr>
                            <w:tcW w:w="367"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64" descr=""/>
                                          <pic:cNvPicPr>
                                            <a:picLocks noChangeAspect="1" noChangeArrowheads="1"/>
                                          </pic:cNvPicPr>
                                        </pic:nvPicPr>
                                        <pic:blipFill>
                                          <a:blip r:embed="rId222"/>
                                          <a:stretch>
                                            <a:fillRect/>
                                          </a:stretch>
                                        </pic:blipFill>
                                        <pic:spPr bwMode="auto">
                                          <a:xfrm>
                                            <a:off x="0" y="0"/>
                                            <a:ext cx="104775" cy="104775"/>
                                          </a:xfrm>
                                          <a:prstGeom prst="rect">
                                            <a:avLst/>
                                          </a:prstGeom>
                                        </pic:spPr>
                                      </pic:pic>
                                    </a:graphicData>
                                  </a:graphic>
                                </wp:inline>
                              </w:drawing>
                            </w:r>
                            <w:r>
                              <w:rPr>
                                <w:color w:val="578255"/>
                              </w:rPr>
                              <w:t> </w:t>
                            </w:r>
                          </w:p>
                        </w:tc>
                        <w:tc>
                          <w:tcPr>
                            <w:tcW w:w="9778"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one month’s base salary as of the date of employment termination multiplied by the total number of full and fractional years of his employment with us as of the date of employment termination;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65" descr=""/>
                                          <pic:cNvPicPr>
                                            <a:picLocks noChangeAspect="1" noChangeArrowheads="1"/>
                                          </pic:cNvPicPr>
                                        </pic:nvPicPr>
                                        <pic:blipFill>
                                          <a:blip r:embed="rId223"/>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7795" w:type="dxa"/>
                        <w:jc w:val="left"/>
                        <w:tblInd w:w="60" w:type="dxa"/>
                        <w:tblLayout w:type="fixed"/>
                        <w:tblCellMar>
                          <w:top w:w="0" w:type="dxa"/>
                          <w:left w:w="0" w:type="dxa"/>
                          <w:bottom w:w="0" w:type="dxa"/>
                          <w:right w:w="0" w:type="dxa"/>
                        </w:tblCellMar>
                      </w:tblPr>
                      <w:tblGrid>
                        <w:gridCol w:w="455"/>
                        <w:gridCol w:w="734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66" descr=""/>
                                          <pic:cNvPicPr>
                                            <a:picLocks noChangeAspect="1" noChangeArrowheads="1"/>
                                          </pic:cNvPicPr>
                                        </pic:nvPicPr>
                                        <pic:blipFill>
                                          <a:blip r:embed="rId224"/>
                                          <a:stretch>
                                            <a:fillRect/>
                                          </a:stretch>
                                        </pic:blipFill>
                                        <pic:spPr bwMode="auto">
                                          <a:xfrm>
                                            <a:off x="0" y="0"/>
                                            <a:ext cx="104775" cy="104775"/>
                                          </a:xfrm>
                                          <a:prstGeom prst="rect">
                                            <a:avLst/>
                                          </a:prstGeom>
                                        </pic:spPr>
                                      </pic:pic>
                                    </a:graphicData>
                                  </a:graphic>
                                </wp:inline>
                              </w:drawing>
                            </w:r>
                            <w:r>
                              <w:rPr>
                                <w:color w:val="578255"/>
                              </w:rPr>
                              <w:t> </w:t>
                            </w:r>
                          </w:p>
                        </w:tc>
                        <w:tc>
                          <w:tcPr>
                            <w:tcW w:w="73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two times his cost of COBRA coverage for twelve months; </w:t>
                            </w:r>
                          </w:p>
                        </w:tc>
                      </w:tr>
                    </w:tbl>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4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67" descr=""/>
                                          <pic:cNvPicPr>
                                            <a:picLocks noChangeAspect="1" noChangeArrowheads="1"/>
                                          </pic:cNvPicPr>
                                        </pic:nvPicPr>
                                        <pic:blipFill>
                                          <a:blip r:embed="rId225"/>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100% vesting acceleration of any then-outstanding and unvested time-based restricted stock unit awards (i.e., awards subject to vest based on continued service but not any other performance requirements); and </w:t>
                            </w:r>
                          </w:p>
                        </w:tc>
                      </w:tr>
                    </w:tbl>
                    <w:tbl>
                      <w:tblPr>
                        <w:tblW w:w="10145" w:type="dxa"/>
                        <w:jc w:val="left"/>
                        <w:tblInd w:w="60" w:type="dxa"/>
                        <w:tblLayout w:type="fixed"/>
                        <w:tblCellMar>
                          <w:top w:w="0" w:type="dxa"/>
                          <w:left w:w="0" w:type="dxa"/>
                          <w:bottom w:w="0" w:type="dxa"/>
                          <w:right w:w="0" w:type="dxa"/>
                        </w:tblCellMar>
                      </w:tblPr>
                      <w:tblGrid>
                        <w:gridCol w:w="331"/>
                        <w:gridCol w:w="9814"/>
                      </w:tblGrid>
                      <w:tr>
                        <w:trPr/>
                        <w:tc>
                          <w:tcPr>
                            <w:tcW w:w="33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8" descr=""/>
                                          <pic:cNvPicPr>
                                            <a:picLocks noChangeAspect="1" noChangeArrowheads="1"/>
                                          </pic:cNvPicPr>
                                        </pic:nvPicPr>
                                        <pic:blipFill>
                                          <a:blip r:embed="rId226"/>
                                          <a:stretch>
                                            <a:fillRect/>
                                          </a:stretch>
                                        </pic:blipFill>
                                        <pic:spPr bwMode="auto">
                                          <a:xfrm>
                                            <a:off x="0" y="0"/>
                                            <a:ext cx="104775" cy="104775"/>
                                          </a:xfrm>
                                          <a:prstGeom prst="rect">
                                            <a:avLst/>
                                          </a:prstGeom>
                                        </pic:spPr>
                                      </pic:pic>
                                    </a:graphicData>
                                  </a:graphic>
                                </wp:inline>
                              </w:drawing>
                            </w:r>
                            <w:r>
                              <w:rPr>
                                <w:color w:val="578255"/>
                              </w:rPr>
                              <w:t> </w:t>
                            </w:r>
                          </w:p>
                        </w:tc>
                        <w:tc>
                          <w:tcPr>
                            <w:tcW w:w="9814"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Dr. Gill’s offer letter, “good cause” generally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Fabrinet or any other party to whom he owes an obligation of nondisclosure as a result of his relationship with us, (v) willful breach of any obligations under any written agreement or covenant with us, or (vi) continued failure to perform employment duties after receipt of a written demand for performance from us and opportunity to cure such failure over a 30-day period. </w:t>
                      </w:r>
                    </w:p>
                  </w:txbxContent>
                </v:textbox>
                <w10:wrap type="square" side="right"/>
              </v:rect>
            </w:pict>
          </mc:Fallback>
        </mc:AlternateContent>
      </w:r>
      <w:r>
        <mc:AlternateContent>
          <mc:Choice Requires="wps">
            <w:drawing>
              <wp:anchor behindDoc="0" distT="0" distB="0" distL="228600" distR="0" simplePos="0" locked="0" layoutInCell="1" allowOverlap="1" relativeHeight="68">
                <wp:simplePos x="0" y="0"/>
                <wp:positionH relativeFrom="column">
                  <wp:align>left</wp:align>
                </wp:positionH>
                <wp:positionV relativeFrom="line">
                  <wp:posOffset>635</wp:posOffset>
                </wp:positionV>
                <wp:extent cx="3124200" cy="6207760"/>
                <wp:effectExtent l="0" t="0" r="0" b="0"/>
                <wp:wrapSquare wrapText="right"/>
                <wp:docPr id="351" name="Frame126"/>
                <a:graphic xmlns:a="http://schemas.openxmlformats.org/drawingml/2006/main">
                  <a:graphicData uri="http://schemas.microsoft.com/office/word/2010/wordprocessingShape">
                    <wps:wsp>
                      <wps:cNvSpPr txBox="1"/>
                      <wps:spPr>
                        <a:xfrm>
                          <a:off x="0" y="0"/>
                          <a:ext cx="3124200" cy="6207760"/>
                        </a:xfrm>
                        <a:prstGeom prst="rect"/>
                        <a:solidFill>
                          <a:srgbClr val="FFFFFF"/>
                        </a:solidFill>
                      </wps:spPr>
                      <wps:txb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Executive Change in Control and Severance Plan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2021, we adopted our Executive Change in Control and Severance Plan (the “</w:t>
                            </w:r>
                            <w:r>
                              <w:rPr>
                                <w:rFonts w:ascii="Arial;Helvetica;sans-serif" w:hAnsi="Arial;Helvetica;sans-serif"/>
                                <w:b/>
                                <w:color w:val="000000"/>
                                <w:sz w:val="20"/>
                              </w:rPr>
                              <w:t>Severance Plan</w:t>
                            </w:r>
                            <w:r>
                              <w:rPr>
                                <w:rFonts w:ascii="Arial;Helvetica;sans-serif" w:hAnsi="Arial;Helvetica;sans-serif"/>
                                <w:color w:val="000000"/>
                                <w:sz w:val="20"/>
                              </w:rPr>
                              <w:t xml:space="preserve">”), which provides benefits to designated executive officers in connection with an involuntary termination of employment, including in connection with a change in control of Fabrinet. Currently, Mr. Sverha and Mr. Archer are the only Named Officers who are eligible to participate in the Severance Plan.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If a participant’s employment with us is terminated by us without “cause” and other than due to the participant’s death or disability, or by the participant for “good reason” (each, a “</w:t>
                            </w:r>
                            <w:r>
                              <w:rPr>
                                <w:rFonts w:ascii="Arial;Helvetica;sans-serif" w:hAnsi="Arial;Helvetica;sans-serif"/>
                                <w:b/>
                                <w:color w:val="000000"/>
                                <w:sz w:val="20"/>
                              </w:rPr>
                              <w:t>Plan 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Plan Change in Control Period</w:t>
                            </w:r>
                            <w:r>
                              <w:rPr>
                                <w:rFonts w:ascii="Arial;Helvetica;sans-serif" w:hAnsi="Arial;Helvetica;sans-serif"/>
                                <w:color w:val="000000"/>
                                <w:sz w:val="20"/>
                              </w:rPr>
                              <w:t>”), then, subject to the participant timely signing and not revoking a separation agreement and release of claims (the “</w:t>
                            </w:r>
                            <w:r>
                              <w:rPr>
                                <w:rFonts w:ascii="Arial;Helvetica;sans-serif" w:hAnsi="Arial;Helvetica;sans-serif"/>
                                <w:b/>
                                <w:color w:val="000000"/>
                                <w:sz w:val="20"/>
                              </w:rPr>
                              <w:t>Release Condition</w:t>
                            </w:r>
                            <w:r>
                              <w:rPr>
                                <w:rFonts w:ascii="Arial;Helvetica;sans-serif" w:hAnsi="Arial;Helvetica;sans-serif"/>
                                <w:color w:val="000000"/>
                                <w:sz w:val="20"/>
                              </w:rPr>
                              <w:t xml:space="preserve">”),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454"/>
                              <w:gridCol w:w="9691"/>
                            </w:tblGrid>
                            <w:tr>
                              <w:trPr/>
                              <w:tc>
                                <w:tcPr>
                                  <w:tcW w:w="454"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69" descr=""/>
                                                <pic:cNvPicPr>
                                                  <a:picLocks noChangeAspect="1" noChangeArrowheads="1"/>
                                                </pic:cNvPicPr>
                                              </pic:nvPicPr>
                                              <pic:blipFill>
                                                <a:blip r:embed="rId227"/>
                                                <a:stretch>
                                                  <a:fillRect/>
                                                </a:stretch>
                                              </pic:blipFill>
                                              <pic:spPr bwMode="auto">
                                                <a:xfrm>
                                                  <a:off x="0" y="0"/>
                                                  <a:ext cx="104775" cy="104775"/>
                                                </a:xfrm>
                                                <a:prstGeom prst="rect">
                                                  <a:avLst/>
                                                </a:prstGeom>
                                              </pic:spPr>
                                            </pic:pic>
                                          </a:graphicData>
                                        </a:graphic>
                                      </wp:inline>
                                    </w:drawing>
                                  </w:r>
                                  <w:r>
                                    <w:rPr>
                                      <w:color w:val="578255"/>
                                    </w:rPr>
                                    <w:t> </w:t>
                                  </w:r>
                                </w:p>
                              </w:tc>
                              <w:tc>
                                <w:tcPr>
                                  <w:tcW w:w="969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50% of the participant’s annual base salary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448"/>
                              <w:gridCol w:w="9697"/>
                            </w:tblGrid>
                            <w:tr>
                              <w:trPr/>
                              <w:tc>
                                <w:tcPr>
                                  <w:tcW w:w="44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70" descr=""/>
                                                <pic:cNvPicPr>
                                                  <a:picLocks noChangeAspect="1" noChangeArrowheads="1"/>
                                                </pic:cNvPicPr>
                                              </pic:nvPicPr>
                                              <pic:blipFill>
                                                <a:blip r:embed="rId228"/>
                                                <a:stretch>
                                                  <a:fillRect/>
                                                </a:stretch>
                                              </pic:blipFill>
                                              <pic:spPr bwMode="auto">
                                                <a:xfrm>
                                                  <a:off x="0" y="0"/>
                                                  <a:ext cx="104775" cy="104775"/>
                                                </a:xfrm>
                                                <a:prstGeom prst="rect">
                                                  <a:avLst/>
                                                </a:prstGeom>
                                              </pic:spPr>
                                            </pic:pic>
                                          </a:graphicData>
                                        </a:graphic>
                                      </wp:inline>
                                    </w:drawing>
                                  </w:r>
                                  <w:r>
                                    <w:rPr>
                                      <w:color w:val="578255"/>
                                    </w:rPr>
                                    <w:t> </w:t>
                                  </w:r>
                                </w:p>
                              </w:tc>
                              <w:tc>
                                <w:tcPr>
                                  <w:tcW w:w="969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the participant’s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88"/>
                              <w:gridCol w:w="9757"/>
                            </w:tblGrid>
                            <w:tr>
                              <w:trPr/>
                              <w:tc>
                                <w:tcPr>
                                  <w:tcW w:w="38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71" descr=""/>
                                                <pic:cNvPicPr>
                                                  <a:picLocks noChangeAspect="1" noChangeArrowheads="1"/>
                                                </pic:cNvPicPr>
                                              </pic:nvPicPr>
                                              <pic:blipFill>
                                                <a:blip r:embed="rId229"/>
                                                <a:stretch>
                                                  <a:fillRect/>
                                                </a:stretch>
                                              </pic:blipFill>
                                              <pic:spPr bwMode="auto">
                                                <a:xfrm>
                                                  <a:off x="0" y="0"/>
                                                  <a:ext cx="104775" cy="104775"/>
                                                </a:xfrm>
                                                <a:prstGeom prst="rect">
                                                  <a:avLst/>
                                                </a:prstGeom>
                                              </pic:spPr>
                                            </pic:pic>
                                          </a:graphicData>
                                        </a:graphic>
                                      </wp:inline>
                                    </w:drawing>
                                  </w:r>
                                  <w:r>
                                    <w:rPr>
                                      <w:color w:val="578255"/>
                                    </w:rPr>
                                    <w:t> </w:t>
                                  </w:r>
                                </w:p>
                              </w:tc>
                              <w:tc>
                                <w:tcPr>
                                  <w:tcW w:w="975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72" descr=""/>
                                                <pic:cNvPicPr>
                                                  <a:picLocks noChangeAspect="1" noChangeArrowheads="1"/>
                                                </pic:cNvPicPr>
                                              </pic:nvPicPr>
                                              <pic:blipFill>
                                                <a:blip r:embed="rId230"/>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wps:txbx>
                      <wps:bodyPr anchor="t" lIns="0" tIns="0" rIns="0" bIns="0">
                        <a:noAutofit/>
                      </wps:bodyPr>
                    </wps:wsp>
                  </a:graphicData>
                </a:graphic>
              </wp:anchor>
            </w:drawing>
          </mc:Choice>
          <mc:Fallback>
            <w:pict>
              <v:rect style="position:absolute;rotation:-0;width:246pt;height:488.8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Executive Change in Control and Severance Plan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August 2021, we adopted our Executive Change in Control and Severance Plan (the “</w:t>
                      </w:r>
                      <w:r>
                        <w:rPr>
                          <w:rFonts w:ascii="Arial;Helvetica;sans-serif" w:hAnsi="Arial;Helvetica;sans-serif"/>
                          <w:b/>
                          <w:color w:val="000000"/>
                          <w:sz w:val="20"/>
                        </w:rPr>
                        <w:t>Severance Plan</w:t>
                      </w:r>
                      <w:r>
                        <w:rPr>
                          <w:rFonts w:ascii="Arial;Helvetica;sans-serif" w:hAnsi="Arial;Helvetica;sans-serif"/>
                          <w:color w:val="000000"/>
                          <w:sz w:val="20"/>
                        </w:rPr>
                        <w:t xml:space="preserve">”), which provides benefits to designated executive officers in connection with an involuntary termination of employment, including in connection with a change in control of Fabrinet. Currently, Mr. Sverha and Mr. Archer are the only Named Officers who are eligible to participate in the Severance Plan. </w:t>
                      </w:r>
                    </w:p>
                    <w:p>
                      <w:pPr>
                        <w:pStyle w:val="TextBody"/>
                        <w:bidi w:val="0"/>
                        <w:spacing w:before="24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If a participant’s employment with us is terminated by us without “cause” and other than due to the participant’s death or disability, or by the participant for “good reason” (each, a “</w:t>
                      </w:r>
                      <w:r>
                        <w:rPr>
                          <w:rFonts w:ascii="Arial;Helvetica;sans-serif" w:hAnsi="Arial;Helvetica;sans-serif"/>
                          <w:b/>
                          <w:color w:val="000000"/>
                          <w:sz w:val="20"/>
                        </w:rPr>
                        <w:t>Plan Qualifying Termination</w:t>
                      </w:r>
                      <w:r>
                        <w:rPr>
                          <w:rFonts w:ascii="Arial;Helvetica;sans-serif" w:hAnsi="Arial;Helvetica;sans-serif"/>
                          <w:color w:val="000000"/>
                          <w:sz w:val="20"/>
                        </w:rPr>
                        <w:t>”), in each case other than during the period beginning three months prior to a change in control of Fabrinet through the one-year anniversary of any such change in control (the “</w:t>
                      </w:r>
                      <w:r>
                        <w:rPr>
                          <w:rFonts w:ascii="Arial;Helvetica;sans-serif" w:hAnsi="Arial;Helvetica;sans-serif"/>
                          <w:b/>
                          <w:color w:val="000000"/>
                          <w:sz w:val="20"/>
                        </w:rPr>
                        <w:t>Plan Change in Control Period</w:t>
                      </w:r>
                      <w:r>
                        <w:rPr>
                          <w:rFonts w:ascii="Arial;Helvetica;sans-serif" w:hAnsi="Arial;Helvetica;sans-serif"/>
                          <w:color w:val="000000"/>
                          <w:sz w:val="20"/>
                        </w:rPr>
                        <w:t>”), then, subject to the participant timely signing and not revoking a separation agreement and release of claims (the “</w:t>
                      </w:r>
                      <w:r>
                        <w:rPr>
                          <w:rFonts w:ascii="Arial;Helvetica;sans-serif" w:hAnsi="Arial;Helvetica;sans-serif"/>
                          <w:b/>
                          <w:color w:val="000000"/>
                          <w:sz w:val="20"/>
                        </w:rPr>
                        <w:t>Release Condition</w:t>
                      </w:r>
                      <w:r>
                        <w:rPr>
                          <w:rFonts w:ascii="Arial;Helvetica;sans-serif" w:hAnsi="Arial;Helvetica;sans-serif"/>
                          <w:color w:val="000000"/>
                          <w:sz w:val="20"/>
                        </w:rPr>
                        <w:t xml:space="preserve">”),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454"/>
                        <w:gridCol w:w="9691"/>
                      </w:tblGrid>
                      <w:tr>
                        <w:trPr/>
                        <w:tc>
                          <w:tcPr>
                            <w:tcW w:w="454"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69" descr=""/>
                                          <pic:cNvPicPr>
                                            <a:picLocks noChangeAspect="1" noChangeArrowheads="1"/>
                                          </pic:cNvPicPr>
                                        </pic:nvPicPr>
                                        <pic:blipFill>
                                          <a:blip r:embed="rId231"/>
                                          <a:stretch>
                                            <a:fillRect/>
                                          </a:stretch>
                                        </pic:blipFill>
                                        <pic:spPr bwMode="auto">
                                          <a:xfrm>
                                            <a:off x="0" y="0"/>
                                            <a:ext cx="104775" cy="104775"/>
                                          </a:xfrm>
                                          <a:prstGeom prst="rect">
                                            <a:avLst/>
                                          </a:prstGeom>
                                        </pic:spPr>
                                      </pic:pic>
                                    </a:graphicData>
                                  </a:graphic>
                                </wp:inline>
                              </w:drawing>
                            </w:r>
                            <w:r>
                              <w:rPr>
                                <w:color w:val="578255"/>
                              </w:rPr>
                              <w:t> </w:t>
                            </w:r>
                          </w:p>
                        </w:tc>
                        <w:tc>
                          <w:tcPr>
                            <w:tcW w:w="9691"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50% of the participant’s annual base salary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448"/>
                        <w:gridCol w:w="9697"/>
                      </w:tblGrid>
                      <w:tr>
                        <w:trPr/>
                        <w:tc>
                          <w:tcPr>
                            <w:tcW w:w="44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70" descr=""/>
                                          <pic:cNvPicPr>
                                            <a:picLocks noChangeAspect="1" noChangeArrowheads="1"/>
                                          </pic:cNvPicPr>
                                        </pic:nvPicPr>
                                        <pic:blipFill>
                                          <a:blip r:embed="rId232"/>
                                          <a:stretch>
                                            <a:fillRect/>
                                          </a:stretch>
                                        </pic:blipFill>
                                        <pic:spPr bwMode="auto">
                                          <a:xfrm>
                                            <a:off x="0" y="0"/>
                                            <a:ext cx="104775" cy="104775"/>
                                          </a:xfrm>
                                          <a:prstGeom prst="rect">
                                            <a:avLst/>
                                          </a:prstGeom>
                                        </pic:spPr>
                                      </pic:pic>
                                    </a:graphicData>
                                  </a:graphic>
                                </wp:inline>
                              </w:drawing>
                            </w:r>
                            <w:r>
                              <w:rPr>
                                <w:color w:val="578255"/>
                              </w:rPr>
                              <w:t> </w:t>
                            </w:r>
                          </w:p>
                        </w:tc>
                        <w:tc>
                          <w:tcPr>
                            <w:tcW w:w="969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equal to the participant’s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88"/>
                        <w:gridCol w:w="9757"/>
                      </w:tblGrid>
                      <w:tr>
                        <w:trPr/>
                        <w:tc>
                          <w:tcPr>
                            <w:tcW w:w="388"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71" descr=""/>
                                          <pic:cNvPicPr>
                                            <a:picLocks noChangeAspect="1" noChangeArrowheads="1"/>
                                          </pic:cNvPicPr>
                                        </pic:nvPicPr>
                                        <pic:blipFill>
                                          <a:blip r:embed="rId233"/>
                                          <a:stretch>
                                            <a:fillRect/>
                                          </a:stretch>
                                        </pic:blipFill>
                                        <pic:spPr bwMode="auto">
                                          <a:xfrm>
                                            <a:off x="0" y="0"/>
                                            <a:ext cx="104775" cy="104775"/>
                                          </a:xfrm>
                                          <a:prstGeom prst="rect">
                                            <a:avLst/>
                                          </a:prstGeom>
                                        </pic:spPr>
                                      </pic:pic>
                                    </a:graphicData>
                                  </a:graphic>
                                </wp:inline>
                              </w:drawing>
                            </w:r>
                            <w:r>
                              <w:rPr>
                                <w:color w:val="578255"/>
                              </w:rPr>
                              <w:t> </w:t>
                            </w:r>
                          </w:p>
                        </w:tc>
                        <w:tc>
                          <w:tcPr>
                            <w:tcW w:w="9757"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5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72" descr=""/>
                                          <pic:cNvPicPr>
                                            <a:picLocks noChangeAspect="1" noChangeArrowheads="1"/>
                                          </pic:cNvPicPr>
                                        </pic:nvPicPr>
                                        <pic:blipFill>
                                          <a:blip r:embed="rId234"/>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0" w:after="283"/>
                        <w:ind w:left="60" w:right="0" w:hanging="0"/>
                        <w:jc w:val="left"/>
                        <w:rPr/>
                      </w:pPr>
                      <w:r>
                        <w:rPr/>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6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73" descr=""/>
                          <pic:cNvPicPr>
                            <a:picLocks noChangeAspect="1" noChangeArrowheads="1"/>
                          </pic:cNvPicPr>
                        </pic:nvPicPr>
                        <pic:blipFill>
                          <a:blip r:embed="rId235"/>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2" w:name="ny20081940x1_def14a_110-executive_pg22"/>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24200" cy="4979035"/>
                <wp:effectExtent l="0" t="0" r="0" b="0"/>
                <wp:wrapSquare wrapText="right"/>
                <wp:docPr id="361" name="Frame127"/>
                <a:graphic xmlns:a="http://schemas.openxmlformats.org/drawingml/2006/main">
                  <a:graphicData uri="http://schemas.microsoft.com/office/word/2010/wordprocessingShape">
                    <wps:wsp>
                      <wps:cNvSpPr txBox="1"/>
                      <wps:spPr>
                        <a:xfrm>
                          <a:off x="0" y="0"/>
                          <a:ext cx="3124200" cy="4979035"/>
                        </a:xfrm>
                        <a:prstGeom prst="rect"/>
                        <a:solidFill>
                          <a:srgbClr val="FFFFFF"/>
                        </a:solidFill>
                      </wps:spPr>
                      <wps:txb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the Severance Plan, if a participant’s employment with us is terminated within the Plan Change in Control Period due to a Plan Qualifying Termination, then, subject to the Release Condition,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74" descr=""/>
                                                <pic:cNvPicPr>
                                                  <a:picLocks noChangeAspect="1" noChangeArrowheads="1"/>
                                                </pic:cNvPicPr>
                                              </pic:nvPicPr>
                                              <pic:blipFill>
                                                <a:blip r:embed="rId236"/>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base salary as of the date of employment termination (or, if greater, the participant’s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75" descr=""/>
                                                <pic:cNvPicPr>
                                                  <a:picLocks noChangeAspect="1" noChangeArrowheads="1"/>
                                                </pic:cNvPicPr>
                                              </pic:nvPicPr>
                                              <pic:blipFill>
                                                <a:blip r:embed="rId237"/>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59"/>
                              <w:gridCol w:w="9786"/>
                            </w:tblGrid>
                            <w:tr>
                              <w:trPr/>
                              <w:tc>
                                <w:tcPr>
                                  <w:tcW w:w="35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76" descr=""/>
                                                <pic:cNvPicPr>
                                                  <a:picLocks noChangeAspect="1" noChangeArrowheads="1"/>
                                                </pic:cNvPicPr>
                                              </pic:nvPicPr>
                                              <pic:blipFill>
                                                <a:blip r:embed="rId238"/>
                                                <a:stretch>
                                                  <a:fillRect/>
                                                </a:stretch>
                                              </pic:blipFill>
                                              <pic:spPr bwMode="auto">
                                                <a:xfrm>
                                                  <a:off x="0" y="0"/>
                                                  <a:ext cx="104775" cy="104775"/>
                                                </a:xfrm>
                                                <a:prstGeom prst="rect">
                                                  <a:avLst/>
                                                </a:prstGeom>
                                              </pic:spPr>
                                            </pic:pic>
                                          </a:graphicData>
                                        </a:graphic>
                                      </wp:inline>
                                    </w:drawing>
                                  </w:r>
                                  <w:r>
                                    <w:rPr>
                                      <w:color w:val="578255"/>
                                    </w:rPr>
                                    <w:t> </w:t>
                                  </w:r>
                                </w:p>
                              </w:tc>
                              <w:tc>
                                <w:tcPr>
                                  <w:tcW w:w="97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target bonus opportunity in effect as of the date of employment termination (or, if greater, the participant’s annual target bonus opportunity as in effect immediately before the change in control); </w:t>
                                  </w:r>
                                </w:p>
                              </w:tc>
                            </w:tr>
                          </w:tbl>
                          <w:tbl>
                            <w:tblPr>
                              <w:tblW w:w="10145" w:type="dxa"/>
                              <w:jc w:val="left"/>
                              <w:tblInd w:w="60" w:type="dxa"/>
                              <w:tblLayout w:type="fixed"/>
                              <w:tblCellMar>
                                <w:top w:w="0" w:type="dxa"/>
                                <w:left w:w="0" w:type="dxa"/>
                                <w:bottom w:w="0" w:type="dxa"/>
                                <w:right w:w="0" w:type="dxa"/>
                              </w:tblCellMar>
                            </w:tblPr>
                            <w:tblGrid>
                              <w:gridCol w:w="390"/>
                              <w:gridCol w:w="9755"/>
                            </w:tblGrid>
                            <w:tr>
                              <w:trPr/>
                              <w:tc>
                                <w:tcPr>
                                  <w:tcW w:w="39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7" descr=""/>
                                                <pic:cNvPicPr>
                                                  <a:picLocks noChangeAspect="1" noChangeArrowheads="1"/>
                                                </pic:cNvPicPr>
                                              </pic:nvPicPr>
                                              <pic:blipFill>
                                                <a:blip r:embed="rId239"/>
                                                <a:stretch>
                                                  <a:fillRect/>
                                                </a:stretch>
                                              </pic:blipFill>
                                              <pic:spPr bwMode="auto">
                                                <a:xfrm>
                                                  <a:off x="0" y="0"/>
                                                  <a:ext cx="104775" cy="104775"/>
                                                </a:xfrm>
                                                <a:prstGeom prst="rect">
                                                  <a:avLst/>
                                                </a:prstGeom>
                                              </pic:spPr>
                                            </pic:pic>
                                          </a:graphicData>
                                        </a:graphic>
                                      </wp:inline>
                                    </w:drawing>
                                  </w:r>
                                  <w:r>
                                    <w:rPr>
                                      <w:color w:val="578255"/>
                                    </w:rPr>
                                    <w:t> </w:t>
                                  </w:r>
                                </w:p>
                              </w:tc>
                              <w:tc>
                                <w:tcPr>
                                  <w:tcW w:w="97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w:t>
                                  </w:r>
                                </w:p>
                              </w:tc>
                            </w:tr>
                          </w:tbl>
                          <w:tbl>
                            <w:tblPr>
                              <w:tblW w:w="10145" w:type="dxa"/>
                              <w:jc w:val="left"/>
                              <w:tblInd w:w="60" w:type="dxa"/>
                              <w:tblLayout w:type="fixed"/>
                              <w:tblCellMar>
                                <w:top w:w="0" w:type="dxa"/>
                                <w:left w:w="0" w:type="dxa"/>
                                <w:bottom w:w="0" w:type="dxa"/>
                                <w:right w:w="0" w:type="dxa"/>
                              </w:tblCellMar>
                            </w:tblPr>
                            <w:tblGrid>
                              <w:gridCol w:w="369"/>
                              <w:gridCol w:w="9776"/>
                            </w:tblGrid>
                            <w:tr>
                              <w:trPr/>
                              <w:tc>
                                <w:tcPr>
                                  <w:tcW w:w="36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8" descr=""/>
                                                <pic:cNvPicPr>
                                                  <a:picLocks noChangeAspect="1" noChangeArrowheads="1"/>
                                                </pic:cNvPicPr>
                                              </pic:nvPicPr>
                                              <pic:blipFill>
                                                <a:blip r:embed="rId240"/>
                                                <a:stretch>
                                                  <a:fillRect/>
                                                </a:stretch>
                                              </pic:blipFill>
                                              <pic:spPr bwMode="auto">
                                                <a:xfrm>
                                                  <a:off x="0" y="0"/>
                                                  <a:ext cx="104775" cy="104775"/>
                                                </a:xfrm>
                                                <a:prstGeom prst="rect">
                                                  <a:avLst/>
                                                </a:prstGeom>
                                              </pic:spPr>
                                            </pic:pic>
                                          </a:graphicData>
                                        </a:graphic>
                                      </wp:inline>
                                    </w:drawing>
                                  </w:r>
                                  <w:r>
                                    <w:rPr>
                                      <w:color w:val="578255"/>
                                    </w:rPr>
                                    <w:t> </w:t>
                                  </w:r>
                                </w:p>
                              </w:tc>
                              <w:tc>
                                <w:tcPr>
                                  <w:tcW w:w="9776"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100% vesting acceleration of any unvested and outstanding time-based equity awards (i.e., awards subject to vest based on continued service but not any other performance requirements) (“</w:t>
                                  </w:r>
                                  <w:r>
                                    <w:rPr>
                                      <w:rFonts w:ascii="Arial;Helvetica;sans-serif" w:hAnsi="Arial;Helvetica;sans-serif"/>
                                      <w:b/>
                                      <w:color w:val="000000"/>
                                      <w:sz w:val="20"/>
                                    </w:rPr>
                                    <w:t>Time-Based Awards</w:t>
                                  </w:r>
                                  <w:r>
                                    <w:rPr>
                                      <w:rFonts w:ascii="Arial;Helvetica;sans-serif" w:hAnsi="Arial;Helvetica;sans-serif"/>
                                      <w:color w:val="000000"/>
                                      <w:sz w:val="20"/>
                                    </w:rPr>
                                    <w:t xml:space="preserv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9" descr=""/>
                                                <pic:cNvPicPr>
                                                  <a:picLocks noChangeAspect="1" noChangeArrowheads="1"/>
                                                </pic:cNvPicPr>
                                              </pic:nvPicPr>
                                              <pic:blipFill>
                                                <a:blip r:embed="rId241"/>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the event of a change in control of Fabrinet, any then-outstanding and unvested equity awards held by a participant that are subject to the achievement of any performance-based or similar vesting criteria will be 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xbxContent>
                      </wps:txbx>
                      <wps:bodyPr anchor="t" lIns="0" tIns="0" rIns="0" bIns="0">
                        <a:noAutofit/>
                      </wps:bodyPr>
                    </wps:wsp>
                  </a:graphicData>
                </a:graphic>
              </wp:anchor>
            </w:drawing>
          </mc:Choice>
          <mc:Fallback>
            <w:pict>
              <v:rect style="position:absolute;rotation:-0;width:246pt;height:39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the Severance Plan, if a participant’s employment with us is terminated within the Plan Change in Control Period due to a Plan Qualifying Termination, then, subject to the Release Condition, the participant will be entitled to receive the following severance benefits: </w:t>
                      </w:r>
                    </w:p>
                    <w:tbl>
                      <w:tblPr>
                        <w:tblW w:w="10145" w:type="dxa"/>
                        <w:jc w:val="left"/>
                        <w:tblInd w:w="60" w:type="dxa"/>
                        <w:tblLayout w:type="fixed"/>
                        <w:tblCellMar>
                          <w:top w:w="0" w:type="dxa"/>
                          <w:left w:w="0" w:type="dxa"/>
                          <w:bottom w:w="0" w:type="dxa"/>
                          <w:right w:w="0" w:type="dxa"/>
                        </w:tblCellMar>
                      </w:tblPr>
                      <w:tblGrid>
                        <w:gridCol w:w="370"/>
                        <w:gridCol w:w="9775"/>
                      </w:tblGrid>
                      <w:tr>
                        <w:trPr/>
                        <w:tc>
                          <w:tcPr>
                            <w:tcW w:w="37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74" descr=""/>
                                          <pic:cNvPicPr>
                                            <a:picLocks noChangeAspect="1" noChangeArrowheads="1"/>
                                          </pic:cNvPicPr>
                                        </pic:nvPicPr>
                                        <pic:blipFill>
                                          <a:blip r:embed="rId242"/>
                                          <a:stretch>
                                            <a:fillRect/>
                                          </a:stretch>
                                        </pic:blipFill>
                                        <pic:spPr bwMode="auto">
                                          <a:xfrm>
                                            <a:off x="0" y="0"/>
                                            <a:ext cx="104775" cy="104775"/>
                                          </a:xfrm>
                                          <a:prstGeom prst="rect">
                                            <a:avLst/>
                                          </a:prstGeom>
                                        </pic:spPr>
                                      </pic:pic>
                                    </a:graphicData>
                                  </a:graphic>
                                </wp:inline>
                              </w:drawing>
                            </w:r>
                            <w:r>
                              <w:rPr>
                                <w:color w:val="578255"/>
                              </w:rPr>
                              <w:t> </w:t>
                            </w:r>
                          </w:p>
                        </w:tc>
                        <w:tc>
                          <w:tcPr>
                            <w:tcW w:w="977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base salary as of the date of employment termination (or, if greater, the participant’s annual base salary as in effect immediately before the change in control); </w:t>
                            </w:r>
                          </w:p>
                        </w:tc>
                      </w:tr>
                    </w:tbl>
                    <w:tbl>
                      <w:tblPr>
                        <w:tblW w:w="8905" w:type="dxa"/>
                        <w:jc w:val="left"/>
                        <w:tblInd w:w="60" w:type="dxa"/>
                        <w:tblLayout w:type="fixed"/>
                        <w:tblCellMar>
                          <w:top w:w="0" w:type="dxa"/>
                          <w:left w:w="0" w:type="dxa"/>
                          <w:bottom w:w="0" w:type="dxa"/>
                          <w:right w:w="0" w:type="dxa"/>
                        </w:tblCellMar>
                      </w:tblPr>
                      <w:tblGrid>
                        <w:gridCol w:w="455"/>
                        <w:gridCol w:w="8450"/>
                      </w:tblGrid>
                      <w:tr>
                        <w:trPr/>
                        <w:tc>
                          <w:tcPr>
                            <w:tcW w:w="455"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6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75" descr=""/>
                                          <pic:cNvPicPr>
                                            <a:picLocks noChangeAspect="1" noChangeArrowheads="1"/>
                                          </pic:cNvPicPr>
                                        </pic:nvPicPr>
                                        <pic:blipFill>
                                          <a:blip r:embed="rId243"/>
                                          <a:stretch>
                                            <a:fillRect/>
                                          </a:stretch>
                                        </pic:blipFill>
                                        <pic:spPr bwMode="auto">
                                          <a:xfrm>
                                            <a:off x="0" y="0"/>
                                            <a:ext cx="104775" cy="104775"/>
                                          </a:xfrm>
                                          <a:prstGeom prst="rect">
                                            <a:avLst/>
                                          </a:prstGeom>
                                        </pic:spPr>
                                      </pic:pic>
                                    </a:graphicData>
                                  </a:graphic>
                                </wp:inline>
                              </w:drawing>
                            </w:r>
                            <w:r>
                              <w:rPr>
                                <w:color w:val="578255"/>
                              </w:rPr>
                              <w:t> </w:t>
                            </w:r>
                          </w:p>
                        </w:tc>
                        <w:tc>
                          <w:tcPr>
                            <w:tcW w:w="845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any earned but unpaid bonus as of the date of employment termination; </w:t>
                            </w:r>
                          </w:p>
                        </w:tc>
                      </w:tr>
                    </w:tbl>
                    <w:tbl>
                      <w:tblPr>
                        <w:tblW w:w="10145" w:type="dxa"/>
                        <w:jc w:val="left"/>
                        <w:tblInd w:w="60" w:type="dxa"/>
                        <w:tblLayout w:type="fixed"/>
                        <w:tblCellMar>
                          <w:top w:w="0" w:type="dxa"/>
                          <w:left w:w="0" w:type="dxa"/>
                          <w:bottom w:w="0" w:type="dxa"/>
                          <w:right w:w="0" w:type="dxa"/>
                        </w:tblCellMar>
                      </w:tblPr>
                      <w:tblGrid>
                        <w:gridCol w:w="359"/>
                        <w:gridCol w:w="9786"/>
                      </w:tblGrid>
                      <w:tr>
                        <w:trPr/>
                        <w:tc>
                          <w:tcPr>
                            <w:tcW w:w="35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7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76" descr=""/>
                                          <pic:cNvPicPr>
                                            <a:picLocks noChangeAspect="1" noChangeArrowheads="1"/>
                                          </pic:cNvPicPr>
                                        </pic:nvPicPr>
                                        <pic:blipFill>
                                          <a:blip r:embed="rId244"/>
                                          <a:stretch>
                                            <a:fillRect/>
                                          </a:stretch>
                                        </pic:blipFill>
                                        <pic:spPr bwMode="auto">
                                          <a:xfrm>
                                            <a:off x="0" y="0"/>
                                            <a:ext cx="104775" cy="104775"/>
                                          </a:xfrm>
                                          <a:prstGeom prst="rect">
                                            <a:avLst/>
                                          </a:prstGeom>
                                        </pic:spPr>
                                      </pic:pic>
                                    </a:graphicData>
                                  </a:graphic>
                                </wp:inline>
                              </w:drawing>
                            </w:r>
                            <w:r>
                              <w:rPr>
                                <w:color w:val="578255"/>
                              </w:rPr>
                              <w:t> </w:t>
                            </w:r>
                          </w:p>
                        </w:tc>
                        <w:tc>
                          <w:tcPr>
                            <w:tcW w:w="9786"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100% of the participant’s annual target bonus opportunity in effect as of the date of employment termination (or, if greater, the participant’s annual target bonus opportunity as in effect immediately before the change in control); </w:t>
                            </w:r>
                          </w:p>
                        </w:tc>
                      </w:tr>
                    </w:tbl>
                    <w:tbl>
                      <w:tblPr>
                        <w:tblW w:w="10145" w:type="dxa"/>
                        <w:jc w:val="left"/>
                        <w:tblInd w:w="60" w:type="dxa"/>
                        <w:tblLayout w:type="fixed"/>
                        <w:tblCellMar>
                          <w:top w:w="0" w:type="dxa"/>
                          <w:left w:w="0" w:type="dxa"/>
                          <w:bottom w:w="0" w:type="dxa"/>
                          <w:right w:w="0" w:type="dxa"/>
                        </w:tblCellMar>
                      </w:tblPr>
                      <w:tblGrid>
                        <w:gridCol w:w="390"/>
                        <w:gridCol w:w="9755"/>
                      </w:tblGrid>
                      <w:tr>
                        <w:trPr/>
                        <w:tc>
                          <w:tcPr>
                            <w:tcW w:w="390"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7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77" descr=""/>
                                          <pic:cNvPicPr>
                                            <a:picLocks noChangeAspect="1" noChangeArrowheads="1"/>
                                          </pic:cNvPicPr>
                                        </pic:nvPicPr>
                                        <pic:blipFill>
                                          <a:blip r:embed="rId245"/>
                                          <a:stretch>
                                            <a:fillRect/>
                                          </a:stretch>
                                        </pic:blipFill>
                                        <pic:spPr bwMode="auto">
                                          <a:xfrm>
                                            <a:off x="0" y="0"/>
                                            <a:ext cx="104775" cy="104775"/>
                                          </a:xfrm>
                                          <a:prstGeom prst="rect">
                                            <a:avLst/>
                                          </a:prstGeom>
                                        </pic:spPr>
                                      </pic:pic>
                                    </a:graphicData>
                                  </a:graphic>
                                </wp:inline>
                              </w:drawing>
                            </w:r>
                            <w:r>
                              <w:rPr>
                                <w:color w:val="578255"/>
                              </w:rPr>
                              <w:t> </w:t>
                            </w:r>
                          </w:p>
                        </w:tc>
                        <w:tc>
                          <w:tcPr>
                            <w:tcW w:w="97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 sum payment of 18 times the monthly premium for continued health coverage under COBRA for the participant and the participant’s eligible dependents, as applicable; </w:t>
                            </w:r>
                          </w:p>
                        </w:tc>
                      </w:tr>
                    </w:tbl>
                    <w:tbl>
                      <w:tblPr>
                        <w:tblW w:w="10145" w:type="dxa"/>
                        <w:jc w:val="left"/>
                        <w:tblInd w:w="60" w:type="dxa"/>
                        <w:tblLayout w:type="fixed"/>
                        <w:tblCellMar>
                          <w:top w:w="0" w:type="dxa"/>
                          <w:left w:w="0" w:type="dxa"/>
                          <w:bottom w:w="0" w:type="dxa"/>
                          <w:right w:w="0" w:type="dxa"/>
                        </w:tblCellMar>
                      </w:tblPr>
                      <w:tblGrid>
                        <w:gridCol w:w="369"/>
                        <w:gridCol w:w="9776"/>
                      </w:tblGrid>
                      <w:tr>
                        <w:trPr/>
                        <w:tc>
                          <w:tcPr>
                            <w:tcW w:w="369"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7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78" descr=""/>
                                          <pic:cNvPicPr>
                                            <a:picLocks noChangeAspect="1" noChangeArrowheads="1"/>
                                          </pic:cNvPicPr>
                                        </pic:nvPicPr>
                                        <pic:blipFill>
                                          <a:blip r:embed="rId246"/>
                                          <a:stretch>
                                            <a:fillRect/>
                                          </a:stretch>
                                        </pic:blipFill>
                                        <pic:spPr bwMode="auto">
                                          <a:xfrm>
                                            <a:off x="0" y="0"/>
                                            <a:ext cx="104775" cy="104775"/>
                                          </a:xfrm>
                                          <a:prstGeom prst="rect">
                                            <a:avLst/>
                                          </a:prstGeom>
                                        </pic:spPr>
                                      </pic:pic>
                                    </a:graphicData>
                                  </a:graphic>
                                </wp:inline>
                              </w:drawing>
                            </w:r>
                            <w:r>
                              <w:rPr>
                                <w:color w:val="578255"/>
                              </w:rPr>
                              <w:t> </w:t>
                            </w:r>
                          </w:p>
                        </w:tc>
                        <w:tc>
                          <w:tcPr>
                            <w:tcW w:w="9776" w:type="dxa"/>
                            <w:tcBorders/>
                            <w:vAlign w:val="center"/>
                          </w:tcPr>
                          <w:p>
                            <w:pPr>
                              <w:pStyle w:val="TableContents"/>
                              <w:bidi w:val="0"/>
                              <w:spacing w:before="0" w:after="0"/>
                              <w:jc w:val="both"/>
                              <w:rPr>
                                <w:rFonts w:ascii="Arial;Helvetica;sans-serif" w:hAnsi="Arial;Helvetica;sans-serif"/>
                                <w:color w:val="578255"/>
                                <w:sz w:val="20"/>
                              </w:rPr>
                            </w:pPr>
                            <w:r>
                              <w:rPr>
                                <w:rFonts w:ascii="Arial;Helvetica;sans-serif" w:hAnsi="Arial;Helvetica;sans-serif"/>
                                <w:color w:val="000000"/>
                                <w:sz w:val="20"/>
                              </w:rPr>
                              <w:t>100% vesting acceleration of any unvested and outstanding time-based equity awards (i.e., awards subject to vest based on continued service but not any other performance requirements) (“</w:t>
                            </w:r>
                            <w:r>
                              <w:rPr>
                                <w:rFonts w:ascii="Arial;Helvetica;sans-serif" w:hAnsi="Arial;Helvetica;sans-serif"/>
                                <w:b/>
                                <w:color w:val="000000"/>
                                <w:sz w:val="20"/>
                              </w:rPr>
                              <w:t>Time-Based Awards</w:t>
                            </w:r>
                            <w:r>
                              <w:rPr>
                                <w:rFonts w:ascii="Arial;Helvetica;sans-serif" w:hAnsi="Arial;Helvetica;sans-serif"/>
                                <w:color w:val="000000"/>
                                <w:sz w:val="20"/>
                              </w:rPr>
                              <w:t xml:space="preserve">”); and </w:t>
                            </w:r>
                          </w:p>
                        </w:tc>
                      </w:tr>
                    </w:tbl>
                    <w:tbl>
                      <w:tblPr>
                        <w:tblW w:w="10145" w:type="dxa"/>
                        <w:jc w:val="left"/>
                        <w:tblInd w:w="60" w:type="dxa"/>
                        <w:tblLayout w:type="fixed"/>
                        <w:tblCellMar>
                          <w:top w:w="0" w:type="dxa"/>
                          <w:left w:w="0" w:type="dxa"/>
                          <w:bottom w:w="0" w:type="dxa"/>
                          <w:right w:w="0" w:type="dxa"/>
                        </w:tblCellMar>
                      </w:tblPr>
                      <w:tblGrid>
                        <w:gridCol w:w="351"/>
                        <w:gridCol w:w="9794"/>
                      </w:tblGrid>
                      <w:tr>
                        <w:trPr/>
                        <w:tc>
                          <w:tcPr>
                            <w:tcW w:w="351" w:type="dxa"/>
                            <w:tcBorders/>
                            <w:vAlign w:val="center"/>
                          </w:tcPr>
                          <w:p>
                            <w:pPr>
                              <w:pStyle w:val="TableContents"/>
                              <w:bidi w:val="0"/>
                              <w:spacing w:before="0" w:after="0"/>
                              <w:jc w:val="left"/>
                              <w:rPr>
                                <w:color w:val="578255"/>
                              </w:rPr>
                            </w:pPr>
                            <w:r>
                              <w:rPr>
                                <w:color w:val="578255"/>
                              </w:rPr>
                              <w:drawing>
                                <wp:inline distT="0" distB="0" distL="0" distR="0">
                                  <wp:extent cx="104775" cy="104775"/>
                                  <wp:effectExtent l="0" t="0" r="0" b="0"/>
                                  <wp:docPr id="37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79" descr=""/>
                                          <pic:cNvPicPr>
                                            <a:picLocks noChangeAspect="1" noChangeArrowheads="1"/>
                                          </pic:cNvPicPr>
                                        </pic:nvPicPr>
                                        <pic:blipFill>
                                          <a:blip r:embed="rId247"/>
                                          <a:stretch>
                                            <a:fillRect/>
                                          </a:stretch>
                                        </pic:blipFill>
                                        <pic:spPr bwMode="auto">
                                          <a:xfrm>
                                            <a:off x="0" y="0"/>
                                            <a:ext cx="104775" cy="104775"/>
                                          </a:xfrm>
                                          <a:prstGeom prst="rect">
                                            <a:avLst/>
                                          </a:prstGeom>
                                        </pic:spPr>
                                      </pic:pic>
                                    </a:graphicData>
                                  </a:graphic>
                                </wp:inline>
                              </w:drawing>
                            </w:r>
                            <w:r>
                              <w:rPr>
                                <w:color w:val="578255"/>
                              </w:rPr>
                              <w:t> </w:t>
                            </w:r>
                          </w:p>
                        </w:tc>
                        <w:tc>
                          <w:tcPr>
                            <w:tcW w:w="9794"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 </w:t>
                            </w:r>
                          </w:p>
                        </w:tc>
                      </w:tr>
                    </w:tbl>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In addition, in the event of a change in control of Fabrinet, any then-outstanding and unvested equity awards held by a participant that are subject to the achievement of any performance-based or similar vesting criteria will be governed by the award agreement applicable to such performance-based award. See “—</w:t>
                      </w:r>
                      <w:r>
                        <w:rPr>
                          <w:rFonts w:ascii="Arial;Helvetica;sans-serif" w:hAnsi="Arial;Helvetica;sans-serif"/>
                          <w:i/>
                          <w:color w:val="000000"/>
                          <w:sz w:val="20"/>
                        </w:rPr>
                        <w:t>Treatment of Performance-Based Awards in Change in Control</w:t>
                      </w:r>
                      <w:r>
                        <w:rPr>
                          <w:rFonts w:ascii="Arial;Helvetica;sans-serif" w:hAnsi="Arial;Helvetica;sans-serif"/>
                          <w:color w:val="000000"/>
                          <w:sz w:val="20"/>
                        </w:rPr>
                        <w:t xml:space="preserve">” below. </w:t>
                      </w:r>
                    </w:p>
                  </w:txbxContent>
                </v:textbox>
                <w10:wrap type="square" side="right"/>
              </v:rect>
            </w:pict>
          </mc:Fallback>
        </mc:AlternateContent>
      </w:r>
      <w:r>
        <mc:AlternateContent>
          <mc:Choice Requires="wps">
            <w:drawing>
              <wp:anchor behindDoc="0" distT="0" distB="0" distL="228600" distR="0" simplePos="0" locked="0" layoutInCell="1" allowOverlap="1" relativeHeight="326">
                <wp:simplePos x="0" y="0"/>
                <wp:positionH relativeFrom="column">
                  <wp:align>left</wp:align>
                </wp:positionH>
                <wp:positionV relativeFrom="line">
                  <wp:posOffset>635</wp:posOffset>
                </wp:positionV>
                <wp:extent cx="3124200" cy="6987540"/>
                <wp:effectExtent l="0" t="0" r="0" b="0"/>
                <wp:wrapSquare wrapText="right"/>
                <wp:docPr id="374" name="Frame128"/>
                <a:graphic xmlns:a="http://schemas.openxmlformats.org/drawingml/2006/main">
                  <a:graphicData uri="http://schemas.microsoft.com/office/word/2010/wordprocessingShape">
                    <wps:wsp>
                      <wps:cNvSpPr txBox="1"/>
                      <wps:spPr>
                        <a:xfrm>
                          <a:off x="0" y="0"/>
                          <a:ext cx="3124200" cy="6987540"/>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“cause” generally means the Named Officer’s (i) commission of any felony or any crime involving moral turpitude; (ii) willful breach of his duties to us, including, but not limited to, theft from us or failure to fully disclose a personal pecuniary interest in a transaction involving us; and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“good reason” generally means without the Named Officer’s written consent: (i) a material diminution in his authority, duties or responsibilities (including following any change in control), or (ii) a material breach by us of a written employment agreement or offer of employment letter with us or the Severance Plan. However, to qualify as a termination of employment for good reason, the Named Officer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a “change in control” of Fabrinet generally has the same meaning as provided under the Grady Agreement.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Severance Plan provides that if any payments or benefits under the Severance Plan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the applicable Named Officer’s receipt, on an after-tax basis, of the greater payments and benefits. The Severance Plan does not provide for any Code Section 280G-related tax gross-up payments from us. </w:t>
                            </w:r>
                          </w:p>
                        </w:txbxContent>
                      </wps:txbx>
                      <wps:bodyPr anchor="t" lIns="0" tIns="0" rIns="0" bIns="0">
                        <a:noAutofit/>
                      </wps:bodyPr>
                    </wps:wsp>
                  </a:graphicData>
                </a:graphic>
              </wp:anchor>
            </w:drawing>
          </mc:Choice>
          <mc:Fallback>
            <w:pict>
              <v:rect style="position:absolute;rotation:-0;width:246pt;height:550.2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“cause” generally means the Named Officer’s (i) commission of any felony or any crime involving moral turpitude; (ii) willful breach of his duties to us, including, but not limited to, theft from us or failure to fully disclose a personal pecuniary interest in a transaction involving us; and (iii) engaging in willful misconduct, willful or gross neglect, fraud, misappropriation, or embezzlement.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“good reason” generally means without the Named Officer’s written consent: (i) a material diminution in his authority, duties or responsibilities (including following any change in control), or (ii) a material breach by us of a written employment agreement or offer of employment letter with us or the Severance Plan. However, to qualify as a termination of employment for good reason, the Named Officer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a “change in control” of Fabrinet generally has the same meaning as provided under the Grady Agreement.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Severance Plan provides that if any payments or benefits under the Severance Plan would constitute a “parachute payment” within the meaning of Section 280G of the Code and therefore would be subject to an excise tax under Section 280G of the Code, then such payments and benefits will be either (x) paid in full or (y) delivered as to such lesser extent that would result in no portion of the payments and benefits being subject to the excise tax, whichever, after taking into account all applicable federal, state, and local income taxes and the excise tax, results in the applicable Named Officer’s receipt, on an after-tax basis, of the greater payments and benefits. The Severance Plan does not provide for any Code Section 280G-related tax gross-up payments from us. </w:t>
                      </w:r>
                    </w:p>
                  </w:txbxContent>
                </v:textbox>
                <w10:wrap type="square" side="right"/>
              </v:rect>
            </w:pict>
          </mc:Fallback>
        </mc:AlternateConten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7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80" descr=""/>
                          <pic:cNvPicPr>
                            <a:picLocks noChangeAspect="1" noChangeArrowheads="1"/>
                          </pic:cNvPicPr>
                        </pic:nvPicPr>
                        <pic:blipFill>
                          <a:blip r:embed="rId24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3" w:name="ny20081940x1_def14a_110-executive_pg23"/>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Normal"/>
        <w:bidi w:val="0"/>
        <w:spacing w:before="0" w:after="0"/>
        <w:ind w:left="6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124200" cy="5345430"/>
                <wp:effectExtent l="0" t="0" r="0" b="0"/>
                <wp:wrapSquare wrapText="right"/>
                <wp:docPr id="376" name="Frame129"/>
                <a:graphic xmlns:a="http://schemas.openxmlformats.org/drawingml/2006/main">
                  <a:graphicData uri="http://schemas.microsoft.com/office/word/2010/wordprocessingShape">
                    <wps:wsp>
                      <wps:cNvSpPr txBox="1"/>
                      <wps:spPr>
                        <a:xfrm>
                          <a:off x="0" y="0"/>
                          <a:ext cx="3124200" cy="5345430"/>
                        </a:xfrm>
                        <a:prstGeom prst="rect"/>
                        <a:solidFill>
                          <a:srgbClr val="FFFFFF"/>
                        </a:solidFill>
                      </wps:spPr>
                      <wps:txb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Treatment of Performance-Based Awards in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performance-based equity awards held by our Named Officers outstanding as of the end of fiscal 2026 provide that, to the extent that the performance period has not yet been completed as of a change in control of Fabrinet, (i) the performance period for any Fabrinet revenue goals will be shortened to end shortly before the change in control and achievement of revenue will be measured based on goals that are prorated for the shortened performance period, and (ii) the performance period for any Fabrinet operating margin goals will be deemed to be the last four consecutive fiscal quarters of Fabrinet completed before the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Messrs. Grady, Sverha and Archer, the portion of any performance-based equity awards for which such applicable goal is deemed achieved will be scheduled to vest subject to continued service with Fabrinet through the last date of the award’s original performance period, and (i) in the case of Mr. Grady’s awards, will be treated as a time-based award that may be eligible for certain vesting acceleration under the Grady Agreement upon a Qualifying Termination during the Change in Control Period and (ii) in the case of Messrs. Sverha and Archer’s awards, will be treated as a Time-Based Award under the Severance Plan that may be eligible for the vesting acceleration under the Severance Plan upon a Plan Qualifying Termination during the Plan Change in Control Period, as described in “—</w:t>
                            </w:r>
                            <w:r>
                              <w:rPr>
                                <w:rFonts w:ascii="Arial;Helvetica;sans-serif" w:hAnsi="Arial;Helvetica;sans-serif"/>
                                <w:i/>
                                <w:color w:val="000000"/>
                                <w:sz w:val="20"/>
                              </w:rPr>
                              <w:t>Executive Change in Control and Severance Plan</w:t>
                            </w:r>
                            <w:r>
                              <w:rPr>
                                <w:rFonts w:ascii="Arial;Helvetica;sans-serif" w:hAnsi="Arial;Helvetica;sans-serif"/>
                                <w:color w:val="000000"/>
                                <w:sz w:val="20"/>
                              </w:rPr>
                              <w:t xml:space="preserve">” above. </w:t>
                            </w:r>
                          </w:p>
                        </w:txbxContent>
                      </wps:txbx>
                      <wps:bodyPr anchor="t" lIns="0" tIns="0" rIns="0" bIns="0">
                        <a:noAutofit/>
                      </wps:bodyPr>
                    </wps:wsp>
                  </a:graphicData>
                </a:graphic>
              </wp:anchor>
            </w:drawing>
          </mc:Choice>
          <mc:Fallback>
            <w:pict>
              <v:rect style="position:absolute;rotation:-0;width:246pt;height:4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60" w:right="0" w:hanging="0"/>
                        <w:jc w:val="both"/>
                        <w:rPr>
                          <w:rFonts w:ascii="Arial;Helvetica;sans-serif" w:hAnsi="Arial;Helvetica;sans-serif"/>
                          <w:b/>
                          <w:color w:val="578255"/>
                          <w:sz w:val="24"/>
                        </w:rPr>
                      </w:pPr>
                      <w:r>
                        <w:rPr>
                          <w:rFonts w:ascii="Arial;Helvetica;sans-serif" w:hAnsi="Arial;Helvetica;sans-serif"/>
                          <w:b/>
                          <w:color w:val="578255"/>
                          <w:sz w:val="24"/>
                        </w:rPr>
                        <w:t xml:space="preserve">Treatment of Performance-Based Awards in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performance-based equity awards held by our Named Officers outstanding as of the end of fiscal 2026 provide that, to the extent that the performance period has not yet been completed as of a change in control of Fabrinet, (i) the performance period for any Fabrinet revenue goals will be shortened to end shortly before the change in control and achievement of revenue will be measured based on goals that are prorated for the shortened performance period, and (ii) the performance period for any Fabrinet operating margin goals will be deemed to be the last four consecutive fiscal quarters of Fabrinet completed before the change in control.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Messrs. Grady, Sverha and Archer, the portion of any performance-based equity awards for which such applicable goal is deemed achieved will be scheduled to vest subject to continued service with Fabrinet through the last date of the award’s original performance period, and (i) in the case of Mr. Grady’s awards, will be treated as a time-based award that may be eligible for certain vesting acceleration under the Grady Agreement upon a Qualifying Termination during the Change in Control Period and (ii) in the case of Messrs. Sverha and Archer’s awards, will be treated as a Time-Based Award under the Severance Plan that may be eligible for the vesting acceleration under the Severance Plan upon a Plan Qualifying Termination during the Plan Change in Control Period, as described in “—</w:t>
                      </w:r>
                      <w:r>
                        <w:rPr>
                          <w:rFonts w:ascii="Arial;Helvetica;sans-serif" w:hAnsi="Arial;Helvetica;sans-serif"/>
                          <w:i/>
                          <w:color w:val="000000"/>
                          <w:sz w:val="20"/>
                        </w:rPr>
                        <w:t>Executive Change in Control and Severance Plan</w:t>
                      </w:r>
                      <w:r>
                        <w:rPr>
                          <w:rFonts w:ascii="Arial;Helvetica;sans-serif" w:hAnsi="Arial;Helvetica;sans-serif"/>
                          <w:color w:val="000000"/>
                          <w:sz w:val="20"/>
                        </w:rPr>
                        <w:t xml:space="preserve">” above. </w:t>
                      </w:r>
                    </w:p>
                  </w:txbxContent>
                </v:textbox>
                <w10:wrap type="square" side="right"/>
              </v:rect>
            </w:pict>
          </mc:Fallback>
        </mc:AlternateContent>
      </w:r>
      <w:r>
        <mc:AlternateContent>
          <mc:Choice Requires="wps">
            <w:drawing>
              <wp:anchor behindDoc="0" distT="0" distB="0" distL="228600" distR="0" simplePos="0" locked="0" layoutInCell="1" allowOverlap="1" relativeHeight="328">
                <wp:simplePos x="0" y="0"/>
                <wp:positionH relativeFrom="column">
                  <wp:align>left</wp:align>
                </wp:positionH>
                <wp:positionV relativeFrom="line">
                  <wp:posOffset>635</wp:posOffset>
                </wp:positionV>
                <wp:extent cx="3124200" cy="4467225"/>
                <wp:effectExtent l="0" t="0" r="0" b="0"/>
                <wp:wrapSquare wrapText="right"/>
                <wp:docPr id="377" name="Frame130"/>
                <a:graphic xmlns:a="http://schemas.openxmlformats.org/drawingml/2006/main">
                  <a:graphicData uri="http://schemas.microsoft.com/office/word/2010/wordprocessingShape">
                    <wps:wsp>
                      <wps:cNvSpPr txBox="1"/>
                      <wps:spPr>
                        <a:xfrm>
                          <a:off x="0" y="0"/>
                          <a:ext cx="3124200" cy="4467225"/>
                        </a:xfrm>
                        <a:prstGeom prst="rect"/>
                        <a:solidFill>
                          <a:srgbClr val="FFFFFF"/>
                        </a:solidFill>
                      </wps:spPr>
                      <wps:txb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purposes of our 2020 Equity Incentive Plan, under which each of the performance-based equity awards held by our Named Officers outstanding as of the end of fiscal 2026 were granted, a “change in control”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subject to certain exceptions,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txbxContent>
                      </wps:txbx>
                      <wps:bodyPr anchor="t" lIns="0" tIns="0" rIns="0" bIns="0">
                        <a:noAutofit/>
                      </wps:bodyPr>
                    </wps:wsp>
                  </a:graphicData>
                </a:graphic>
              </wp:anchor>
            </w:drawing>
          </mc:Choice>
          <mc:Fallback>
            <w:pict>
              <v:rect style="position:absolute;rotation:-0;width:246pt;height:35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60" w:right="0" w:hanging="0"/>
                        <w:jc w:val="both"/>
                        <w:rPr>
                          <w:rFonts w:ascii="Arial;Helvetica;sans-serif" w:hAnsi="Arial;Helvetica;sans-serif"/>
                          <w:color w:val="000000"/>
                          <w:sz w:val="20"/>
                        </w:rPr>
                      </w:pPr>
                      <w:r>
                        <w:rPr>
                          <w:rFonts w:ascii="Arial;Helvetica;sans-serif" w:hAnsi="Arial;Helvetica;sans-serif"/>
                          <w:color w:val="000000"/>
                          <w:sz w:val="20"/>
                        </w:rPr>
                        <w:t>For purposes of our 2020 Equity Incentive Plan, under which each of the performance-based equity awards held by our Named Officers outstanding as of the end of fiscal 2026 were granted, a “change in control”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subject to certain exceptions, (ii) a change in our effective control which occurs upon a majority of members of the Board being replaced during any 12-month period by directors whose appointment or election is not endorsed by a majority of the Board members prior to appointment or election, or (iii) 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txbxContent>
                </v:textbox>
                <w10:wrap type="square" side="right"/>
              </v:rect>
            </w:pict>
          </mc:Fallback>
        </mc:AlternateConten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7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81" descr=""/>
                          <pic:cNvPicPr>
                            <a:picLocks noChangeAspect="1" noChangeArrowheads="1"/>
                          </pic:cNvPicPr>
                        </pic:nvPicPr>
                        <pic:blipFill>
                          <a:blip r:embed="rId24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59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4" w:name="ny20081940x1_def14a_110-executive_pg24"/>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Estimated Payments and Benefits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tables provide information concerning the estimated payments and benefits that would be provided to our Named Officers in the circumstances described above. Payments and benefits are estimated assuming the triggering event took place on the last business day of fiscal 2026 (June 26, 2026).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can be no assurance a triggering event would produce the same or similar results as those estimated below if such event occurs on any other date, of if any other assumption used to estimate potential payments and benefits is not correct. Due to the number of factors affecting the nature and amount of any potential payments or benefits, any actual payments and benefits may be different. </w:t>
      </w:r>
    </w:p>
    <w:p>
      <w:pPr>
        <w:pStyle w:val="TextBody"/>
        <w:bidi w:val="0"/>
        <w:spacing w:before="35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Unrelated to a Change in Control</w:t>
      </w:r>
      <w:r>
        <w:rPr>
          <w:rFonts w:ascii="Arial;Helvetica;sans-serif" w:hAnsi="Arial;Helvetica;sans-serif"/>
          <w:b/>
          <w:i/>
          <w:caps w:val="false"/>
          <w:smallCaps w:val="false"/>
          <w:color w:val="000000"/>
          <w:sz w:val="20"/>
        </w:rPr>
        <w:t xml:space="preserve"> </w:t>
      </w:r>
    </w:p>
    <w:tbl>
      <w:tblPr>
        <w:tblW w:w="10145" w:type="dxa"/>
        <w:jc w:val="left"/>
        <w:tblInd w:w="60" w:type="dxa"/>
        <w:tblLayout w:type="fixed"/>
        <w:tblCellMar>
          <w:top w:w="0" w:type="dxa"/>
          <w:left w:w="0" w:type="dxa"/>
          <w:bottom w:w="0" w:type="dxa"/>
          <w:right w:w="0" w:type="dxa"/>
        </w:tblCellMar>
      </w:tblPr>
      <w:tblGrid>
        <w:gridCol w:w="185"/>
        <w:gridCol w:w="860"/>
        <w:gridCol w:w="170"/>
        <w:gridCol w:w="170"/>
        <w:gridCol w:w="2219"/>
        <w:gridCol w:w="170"/>
        <w:gridCol w:w="170"/>
        <w:gridCol w:w="860"/>
        <w:gridCol w:w="170"/>
        <w:gridCol w:w="170"/>
        <w:gridCol w:w="860"/>
        <w:gridCol w:w="170"/>
        <w:gridCol w:w="170"/>
        <w:gridCol w:w="860"/>
        <w:gridCol w:w="170"/>
        <w:gridCol w:w="170"/>
        <w:gridCol w:w="1022"/>
        <w:gridCol w:w="170"/>
        <w:gridCol w:w="170"/>
        <w:gridCol w:w="1022"/>
        <w:gridCol w:w="217"/>
      </w:tblGrid>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1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2" w:type="dxa"/>
            <w:tcBorders/>
            <w:shd w:fill="819F7C" w:val="clear"/>
            <w:vAlign w:val="center"/>
          </w:tcPr>
          <w:p>
            <w:pPr>
              <w:pStyle w:val="TableContents"/>
              <w:bidi w:val="0"/>
              <w:spacing w:before="0" w:after="0"/>
              <w:jc w:val="left"/>
              <w:rPr/>
            </w:pPr>
            <w:r>
              <w:rPr/>
              <w:t> </w:t>
            </w:r>
          </w:p>
        </w:tc>
        <w:tc>
          <w:tcPr>
            <w:tcW w:w="217"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19"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Benefit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Death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Disability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Cause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Good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2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217"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160" w:right="0" w:hanging="160"/>
              <w:jc w:val="left"/>
              <w:rPr>
                <w:rFonts w:ascii="Arial;Helvetica;sans-serif" w:hAnsi="Arial;Helvetica;sans-serif"/>
                <w:color w:val="000000"/>
                <w:sz w:val="16"/>
              </w:rPr>
            </w:pPr>
            <w:r>
              <w:rPr>
                <w:rFonts w:ascii="Arial;Helvetica;sans-serif" w:hAnsi="Arial;Helvetica;sans-serif"/>
                <w:color w:val="000000"/>
                <w:sz w:val="16"/>
              </w:rPr>
              <w:t>Cash Severance Payment – 100% Annual 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1,380,000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160" w:right="0" w:hanging="160"/>
              <w:jc w:val="left"/>
              <w:rPr>
                <w:rFonts w:ascii="Arial;Helvetica;sans-serif" w:hAnsi="Arial;Helvetica;sans-serif"/>
                <w:color w:val="000000"/>
                <w:sz w:val="16"/>
              </w:rPr>
            </w:pPr>
            <w:r>
              <w:rPr>
                <w:rFonts w:ascii="Arial;Helvetica;sans-serif" w:hAnsi="Arial;Helvetica;sans-serif"/>
                <w:color w:val="000000"/>
                <w:sz w:val="16"/>
              </w:rPr>
              <w:t>Cash Severance Payment – Cash Incentive 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194,176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194,176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bdr w:val="single" w:sz="8" w:space="4" w:color="000000"/>
              </w:rPr>
            </w:pPr>
            <w:r>
              <w:rPr>
                <w:color w:val="000000"/>
                <w:bdr w:val="single" w:sz="8" w:space="4" w:color="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3,892,576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b/>
                <w:color w:val="000000"/>
                <w:sz w:val="16"/>
              </w:rPr>
            </w:pPr>
            <w:r>
              <w:rPr>
                <w:rFonts w:ascii="Arial;Helvetica;sans-serif" w:hAnsi="Arial;Helvetica;sans-serif"/>
                <w:b/>
                <w:color w:val="000000"/>
                <w:sz w:val="16"/>
              </w:rPr>
              <w:t>3,892,576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Monthly Base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Salary x 21 Years of Employment</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 xml:space="preserve">1,968,750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 xml:space="preserve">1,755,000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 xml:space="preserve">65,206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Acceleration</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7,338,139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7,338,139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7,338,139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7,338,139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7,338,139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r>
              <w:rPr>
                <w:rFonts w:ascii="Arial;Helvetica;sans-serif" w:hAnsi="Arial;Helvetica;sans-serif"/>
                <w:b w:val="false"/>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11,127,095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11,127,095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11,127,095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b/>
                <w:color w:val="000000"/>
                <w:sz w:val="16"/>
              </w:rPr>
            </w:pPr>
            <w:r>
              <w:rPr>
                <w:rFonts w:ascii="Arial;Helvetica;sans-serif" w:hAnsi="Arial;Helvetica;sans-serif"/>
                <w:b/>
                <w:color w:val="000000"/>
                <w:sz w:val="16"/>
              </w:rPr>
              <w:t>11,127,095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b/>
                <w:color w:val="000000"/>
                <w:sz w:val="16"/>
              </w:rPr>
            </w:pPr>
            <w:r>
              <w:rPr>
                <w:rFonts w:ascii="Arial;Helvetica;sans-serif" w:hAnsi="Arial;Helvetica;sans-serif"/>
                <w:b/>
                <w:color w:val="000000"/>
                <w:sz w:val="16"/>
              </w:rPr>
              <w:t xml:space="preserve">11,127,095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50%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375,314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375,314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96,300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96,300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bdr w:val="single" w:sz="8" w:space="4" w:color="000000"/>
              </w:rPr>
            </w:pPr>
            <w:r>
              <w:rPr>
                <w:color w:val="000000"/>
                <w:bdr w:val="single" w:sz="8" w:space="4" w:color="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19"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1,372,368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rFonts w:ascii="Arial;Helvetica;sans-serif" w:hAnsi="Arial;Helvetica;sans-serif"/>
                <w:b/>
                <w:color w:val="000000"/>
                <w:sz w:val="16"/>
              </w:rPr>
            </w:pPr>
            <w:r>
              <w:rPr>
                <w:rFonts w:ascii="Arial;Helvetica;sans-serif" w:hAnsi="Arial;Helvetica;sans-serif"/>
                <w:b/>
                <w:color w:val="000000"/>
                <w:sz w:val="16"/>
              </w:rPr>
              <w:t>1,372,368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22" w:type="dxa"/>
            <w:tcBorders/>
            <w:shd w:fill="E5E9E3" w:val="clear"/>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50%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rPr>
            </w:pPr>
            <w:r>
              <w:rPr>
                <w:color w:val="000000"/>
              </w:rPr>
              <w:t>​</w:t>
            </w:r>
            <w:r>
              <w:rPr>
                <w:rFonts w:ascii="Arial;Helvetica;sans-serif" w:hAnsi="Arial;Helvetica;sans-serif"/>
                <w:color w:val="000000"/>
                <w:sz w:val="16"/>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72,352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72,352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bdr w:val="single" w:sz="8" w:space="4" w:color="000000"/>
              </w:rPr>
            </w:pPr>
            <w:r>
              <w:rPr>
                <w:color w:val="000000"/>
                <w:bdr w:val="single" w:sz="8" w:space="4" w:color="000000"/>
              </w:rPr>
              <w:t xml:space="preser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16"/>
              </w:rPr>
              <w:t>893,152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rPr>
            </w:pPr>
            <w:r>
              <w:rPr>
                <w:color w:val="000000"/>
              </w:rPr>
              <w:t>​</w:t>
            </w:r>
            <w:r>
              <w:rPr>
                <w:rFonts w:ascii="Arial;Helvetica;sans-serif" w:hAnsi="Arial;Helvetica;sans-serif"/>
                <w:b/>
                <w:color w:val="000000"/>
                <w:sz w:val="16"/>
              </w:rPr>
              <w:t>893,152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124" w:right="0" w:hanging="0"/>
              <w:jc w:val="left"/>
              <w:rPr>
                <w:color w:val="000000"/>
              </w:rPr>
            </w:pPr>
            <w:r>
              <w:rPr>
                <w:color w:val="000000"/>
              </w:rPr>
              <w: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base salary of $1,380,000 for Mr. Grady, $1,125,000 for Dr. Gill, $750,628 for Mr. Sverha, and $540,000 for Mr. Archer (salaries in effect on June 26, 2026). Mr. Sverha’s salary is paid in Thai baht and was converted to U.S. dollars using the Fabrinet Corporate Group THB to USD Exchange Rate, which was the Bank of Thailand’s middle rate (midpoint of the bid and ask rates) as of June 26, 2025, of 32.48 Thai baht to 1 U.S. dollar.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4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amount of bonus earned under the Fiscal 2026 Bonus Plan but unpaid as of June 26, 2026. Mr. Sverha’s bonus compensation is paid in Thai baht and was converted to U.S. dollars using the Fabrinet Corporate Group THB to USD Exchange Rate, which was the Bank of Thailand’s middle rate (midpoint of the bid and ask rates) as of June 26, 2025, of 32.48 Thai baht to 1 U.S. dollar. </w:t>
            </w:r>
          </w:p>
        </w:tc>
      </w:tr>
    </w:tbl>
    <w:tbl>
      <w:tblPr>
        <w:tblW w:w="8005" w:type="dxa"/>
        <w:jc w:val="left"/>
        <w:tblInd w:w="6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777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two times the annual cost of COBRA coverage to maintain the benefits provided as of June 26, 2026. </w:t>
            </w:r>
          </w:p>
        </w:tc>
      </w:tr>
    </w:tbl>
    <w:tbl>
      <w:tblPr>
        <w:tblW w:w="10145" w:type="dxa"/>
        <w:jc w:val="left"/>
        <w:tblInd w:w="60" w:type="dxa"/>
        <w:tblLayout w:type="fixed"/>
        <w:tblCellMar>
          <w:top w:w="0" w:type="dxa"/>
          <w:left w:w="0" w:type="dxa"/>
          <w:bottom w:w="0" w:type="dxa"/>
          <w:right w:w="0" w:type="dxa"/>
        </w:tblCellMar>
      </w:tblPr>
      <w:tblGrid>
        <w:gridCol w:w="215"/>
        <w:gridCol w:w="9930"/>
      </w:tblGrid>
      <w:tr>
        <w:trPr/>
        <w:tc>
          <w:tcPr>
            <w:tcW w:w="2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Potential value if vesting of eligible RSUs held by Dr. Gill had been accelerated on June 26, 2026, assuming a share price of $524.79, the closing price on the NYSE of our ordinary shares on June 26, 2026.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Does not include the future tax equalization benefits that such Named Officer may be entitled to under our expatriate policy, as described above in “</w:t>
            </w:r>
            <w:r>
              <w:rPr>
                <w:rFonts w:ascii="Arial;Helvetica;sans-serif" w:hAnsi="Arial;Helvetica;sans-serif"/>
                <w:i/>
                <w:color w:val="000000"/>
                <w:sz w:val="15"/>
              </w:rPr>
              <w:t>Executive Compensation—Compensation Discussion and Analysis</w:t>
            </w:r>
            <w:r>
              <w:rPr>
                <w:rFonts w:ascii="Arial;Helvetica;sans-serif" w:hAnsi="Arial;Helvetica;sans-serif"/>
                <w:color w:val="000000"/>
                <w:sz w:val="15"/>
              </w:rPr>
              <w:t xml:space="preserve">.” As of June 26, 2026,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2026 was $722,979 for Dr. Gill. Tax equalization benefits for any future years may differ substantially from such amount. </w:t>
            </w:r>
          </w:p>
        </w:tc>
      </w:tr>
    </w:tbl>
    <w:tbl>
      <w:tblPr>
        <w:tblW w:w="10015" w:type="dxa"/>
        <w:jc w:val="left"/>
        <w:tblInd w:w="6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7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18 times the monthly premium for continued health coverage under COBRA to maintain the benefits provided as of June 26, 2026.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7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82" descr=""/>
                          <pic:cNvPicPr>
                            <a:picLocks noChangeAspect="1" noChangeArrowheads="1"/>
                          </pic:cNvPicPr>
                        </pic:nvPicPr>
                        <pic:blipFill>
                          <a:blip r:embed="rId25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5" w:name="ny20081940x1_def14a_110-executive_pg25"/>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EXECUTIVE COMPENSATION </w:t>
      </w:r>
    </w:p>
    <w:p>
      <w:pPr>
        <w:pStyle w:val="TextBody"/>
        <w:bidi w:val="0"/>
        <w:spacing w:before="135"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Termination of Employment in Connection with a Change in Control</w:t>
      </w:r>
      <w:r>
        <w:rPr>
          <w:rFonts w:ascii="Arial;Helvetica;sans-serif" w:hAnsi="Arial;Helvetica;sans-serif"/>
          <w:b/>
          <w:i/>
          <w:caps w:val="false"/>
          <w:smallCaps w:val="false"/>
          <w:color w:val="000000"/>
          <w:sz w:val="20"/>
        </w:rPr>
        <w:t xml:space="preserve"> </w:t>
      </w:r>
    </w:p>
    <w:tbl>
      <w:tblPr>
        <w:tblW w:w="10145" w:type="dxa"/>
        <w:jc w:val="left"/>
        <w:tblInd w:w="60" w:type="dxa"/>
        <w:tblLayout w:type="fixed"/>
        <w:tblCellMar>
          <w:top w:w="0" w:type="dxa"/>
          <w:left w:w="0" w:type="dxa"/>
          <w:bottom w:w="0" w:type="dxa"/>
          <w:right w:w="0" w:type="dxa"/>
        </w:tblCellMar>
      </w:tblPr>
      <w:tblGrid>
        <w:gridCol w:w="185"/>
        <w:gridCol w:w="860"/>
        <w:gridCol w:w="170"/>
        <w:gridCol w:w="170"/>
        <w:gridCol w:w="2200"/>
        <w:gridCol w:w="170"/>
        <w:gridCol w:w="170"/>
        <w:gridCol w:w="860"/>
        <w:gridCol w:w="170"/>
        <w:gridCol w:w="170"/>
        <w:gridCol w:w="860"/>
        <w:gridCol w:w="170"/>
        <w:gridCol w:w="170"/>
        <w:gridCol w:w="860"/>
        <w:gridCol w:w="170"/>
        <w:gridCol w:w="170"/>
        <w:gridCol w:w="1032"/>
        <w:gridCol w:w="170"/>
        <w:gridCol w:w="170"/>
        <w:gridCol w:w="1032"/>
        <w:gridCol w:w="216"/>
      </w:tblGrid>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0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200" w:type="dxa"/>
            <w:tcBorders/>
            <w:shd w:fill="819F7C"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Benefit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Death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Disability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6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Cause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Good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32"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Due to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Resignation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Any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6" w:type="dxa"/>
            <w:tcBorders/>
            <w:shd w:fill="819F7C" w:val="clear"/>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Grady</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200% Annual</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2,760,000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2,760,000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2,318,400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200% Cash</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3,864,000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3,864,000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194,176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194,176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34,928,448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34,928,448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44,065,024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44,065,024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Gill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Monthly Base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Salary x 21 Years of Employment</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1,968,750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1,968,750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1,755,000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1,755,000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65,206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 xml:space="preserve">65,206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20,707,689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20,707,689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20,707,689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20,707,689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20,707,689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r>
              <w:rPr>
                <w:rFonts w:ascii="Arial;Helvetica;sans-serif" w:hAnsi="Arial;Helvetica;sans-serif"/>
                <w:b/>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24,496,645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24,496,645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24,496,645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24,496,645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 xml:space="preserve">24,496,645 </w:t>
            </w:r>
          </w:p>
        </w:tc>
        <w:tc>
          <w:tcPr>
            <w:tcW w:w="216" w:type="dxa"/>
            <w:tcBorders/>
            <w:vAlign w:val="center"/>
          </w:tcPr>
          <w:p>
            <w:pPr>
              <w:pStyle w:val="TableContents"/>
              <w:bidi w:val="0"/>
              <w:spacing w:before="0" w:after="0"/>
              <w:jc w:val="left"/>
              <w:rPr/>
            </w:pPr>
            <w:r>
              <w:rPr/>
              <w:t> </w:t>
            </w:r>
          </w:p>
        </w:tc>
      </w:tr>
      <w:tr>
        <w:trPr/>
        <w:tc>
          <w:tcPr>
            <w:tcW w:w="185" w:type="dxa"/>
            <w:vMerge w:val="restart"/>
            <w:tcBorders/>
            <w:shd w:fill="E5E9E3" w:val="clear"/>
            <w:vAlign w:val="center"/>
          </w:tcPr>
          <w:p>
            <w:pPr>
              <w:pStyle w:val="TableContents"/>
              <w:bidi w:val="0"/>
              <w:spacing w:before="0" w:after="0"/>
              <w:jc w:val="left"/>
              <w:rPr/>
            </w:pPr>
            <w:r>
              <w:rPr/>
              <w:t> </w:t>
            </w:r>
          </w:p>
        </w:tc>
        <w:tc>
          <w:tcPr>
            <w:tcW w:w="860" w:type="dxa"/>
            <w:vMerge w:val="restart"/>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Sverha</w:t>
            </w:r>
          </w:p>
        </w:tc>
        <w:tc>
          <w:tcPr>
            <w:tcW w:w="170" w:type="dxa"/>
            <w:vMerge w:val="restart"/>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Annual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Cash Incentive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900,754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Severance Payment – 100% Cash </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750,628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96,300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96,300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12,204,516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12,204,516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continue"/>
            <w:tcBorders/>
            <w:shd w:fill="E5E9E3" w:val="clear"/>
            <w:vAlign w:val="center"/>
          </w:tcPr>
          <w:p>
            <w:pPr>
              <w:pStyle w:val="Normal"/>
              <w:bidi w:val="0"/>
              <w:jc w:val="left"/>
              <w:rPr/>
            </w:pPr>
            <w:r>
              <w:rPr/>
            </w:r>
          </w:p>
        </w:tc>
        <w:tc>
          <w:tcPr>
            <w:tcW w:w="860" w:type="dxa"/>
            <w:vMerge w:val="continue"/>
            <w:tcBorders/>
            <w:shd w:fill="E5E9E3" w:val="clear"/>
            <w:vAlign w:val="center"/>
          </w:tcPr>
          <w:p>
            <w:pPr>
              <w:pStyle w:val="Normal"/>
              <w:bidi w:val="0"/>
              <w:jc w:val="left"/>
              <w:rPr/>
            </w:pPr>
            <w:r>
              <w:rPr/>
            </w:r>
          </w:p>
        </w:tc>
        <w:tc>
          <w:tcPr>
            <w:tcW w:w="170" w:type="dxa"/>
            <w:vMerge w:val="continue"/>
            <w:tcBorders/>
            <w:shd w:fill="E5E9E3" w:val="clear"/>
            <w:vAlign w:val="center"/>
          </w:tcPr>
          <w:p>
            <w:pPr>
              <w:pStyle w:val="Normal"/>
              <w:bidi w:val="0"/>
              <w:jc w:val="left"/>
              <w:rPr/>
            </w:pPr>
            <w:r>
              <w:rPr/>
            </w:r>
          </w:p>
        </w:tc>
        <w:tc>
          <w:tcPr>
            <w:tcW w:w="170" w:type="dxa"/>
            <w:tcBorders/>
            <w:shd w:fill="E5E9E3" w:val="clear"/>
            <w:vAlign w:val="center"/>
          </w:tcPr>
          <w:p>
            <w:pPr>
              <w:pStyle w:val="TableContents"/>
              <w:bidi w:val="0"/>
              <w:spacing w:before="0" w:after="0"/>
              <w:jc w:val="left"/>
              <w:rPr/>
            </w:pPr>
            <w:r>
              <w:rPr/>
              <w:t> </w:t>
            </w:r>
          </w:p>
        </w:tc>
        <w:tc>
          <w:tcPr>
            <w:tcW w:w="2200" w:type="dxa"/>
            <w:tcBorders/>
            <w:shd w:fill="E5E9E3" w:val="clear"/>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60"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14,702,826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14,702,826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32" w:type="dxa"/>
            <w:tcBorders/>
            <w:shd w:fill="E5E9E3" w:val="clear"/>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60"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Archer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100% Annual</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Base Salary</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Cash Incentive</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Plan Compensation</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550,800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 Severance Payment – 100% Cash</w:t>
            </w:r>
          </w:p>
          <w:p>
            <w:pPr>
              <w:pStyle w:val="TableContents"/>
              <w:bidi w:val="0"/>
              <w:spacing w:before="0" w:after="283"/>
              <w:ind w:left="160" w:right="0" w:hanging="0"/>
              <w:jc w:val="left"/>
              <w:rPr>
                <w:rFonts w:ascii="Arial;Helvetica;sans-serif" w:hAnsi="Arial;Helvetica;sans-serif"/>
                <w:color w:val="000000"/>
                <w:sz w:val="16"/>
              </w:rPr>
            </w:pPr>
            <w:r>
              <w:rPr>
                <w:rFonts w:ascii="Arial;Helvetica;sans-serif" w:hAnsi="Arial;Helvetica;sans-serif"/>
                <w:color w:val="000000"/>
                <w:sz w:val="16"/>
              </w:rPr>
              <w:t>Incentive Target Bonus Opportunity</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459,000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Continued Coverage of Medical Benefits</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72,352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rPr>
            </w:pPr>
            <w:r>
              <w:rPr>
                <w:rFonts w:ascii="Arial;Helvetica;sans-serif" w:hAnsi="Arial;Helvetica;sans-serif"/>
                <w:color w:val="000000"/>
                <w:sz w:val="16"/>
              </w:rPr>
              <w:t>72,352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 Vesting Acceleration</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9,843,486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9,843,486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bdr w:val="single" w:sz="8" w:space="3" w:color="000000"/>
              </w:rPr>
            </w:pPr>
            <w:r>
              <w:rPr>
                <w:color w:val="000000"/>
                <w:bdr w:val="single" w:sz="8" w:space="3" w:color="000000"/>
              </w:rPr>
              <w:t xml:space="preserve">—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160" w:right="0" w:hanging="0"/>
              <w:jc w:val="left"/>
              <w:rPr>
                <w:rFonts w:ascii="Arial;Helvetica;sans-serif" w:hAnsi="Arial;Helvetica;sans-serif"/>
                <w:b/>
                <w:color w:val="000000"/>
                <w:sz w:val="16"/>
              </w:rPr>
            </w:pPr>
            <w:r>
              <w:rPr>
                <w:rFonts w:ascii="Arial;Helvetica;sans-serif" w:hAnsi="Arial;Helvetica;sans-serif"/>
                <w:b/>
                <w:color w:val="000000"/>
                <w:sz w:val="16"/>
              </w:rPr>
              <w:t>Total Value of Termination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11,465,638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rFonts w:ascii="Arial;Helvetica;sans-serif" w:hAnsi="Arial;Helvetica;sans-serif"/>
                <w:b/>
                <w:color w:val="000000"/>
                <w:sz w:val="16"/>
              </w:rPr>
            </w:pPr>
            <w:r>
              <w:rPr>
                <w:rFonts w:ascii="Arial;Helvetica;sans-serif" w:hAnsi="Arial;Helvetica;sans-serif"/>
                <w:b/>
                <w:color w:val="000000"/>
                <w:sz w:val="16"/>
              </w:rPr>
              <w:t>11,465,638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15" w:right="0" w:hanging="0"/>
              <w:jc w:val="left"/>
              <w:rPr>
                <w:color w:val="000000"/>
              </w:rPr>
            </w:pPr>
            <w:r>
              <w:rPr>
                <w:color w:val="000000"/>
              </w:rPr>
              <w: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198"/>
        <w:gridCol w:w="9947"/>
      </w:tblGrid>
      <w:tr>
        <w:trPr/>
        <w:tc>
          <w:tcPr>
            <w:tcW w:w="1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4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base salary of $1,380,000 for Mr. Grady, $1,125,000 for Dr. Gill, $750,628 for Mr. Sverha, and $540,000 for Mr. Archer (salaries in effect on June 26, 2026). Mr. Sverha’s salary is paid in Thai baht and was converted to U.S. dollars using the Fabrinet Corporate Group THB to USD Exchange Rate, which was the Bank of Thailand’s middle rate (midpoint of the bid and ask rates) as of June 26, 2025, of 32.48 Thai baht to 1 U.S. dollar. </w:t>
            </w:r>
          </w:p>
        </w:tc>
      </w:tr>
    </w:tbl>
    <w:tbl>
      <w:tblPr>
        <w:tblW w:w="10145" w:type="dxa"/>
        <w:jc w:val="left"/>
        <w:tblInd w:w="60" w:type="dxa"/>
        <w:tblLayout w:type="fixed"/>
        <w:tblCellMar>
          <w:top w:w="0" w:type="dxa"/>
          <w:left w:w="0" w:type="dxa"/>
          <w:bottom w:w="0" w:type="dxa"/>
          <w:right w:w="0" w:type="dxa"/>
        </w:tblCellMar>
      </w:tblPr>
      <w:tblGrid>
        <w:gridCol w:w="200"/>
        <w:gridCol w:w="9945"/>
      </w:tblGrid>
      <w:tr>
        <w:trPr/>
        <w:tc>
          <w:tcPr>
            <w:tcW w:w="2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4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Reflects the amount of bonus earned under the Fiscal 2026 Bonus Plan but unpaid as of June 26, 2026. Mr. Sverha’s bonus compensation is paid in Thai baht and was converted to U.S. dollars using the Fabrinet Corporate Group THB to USD Exchange Rate, which was the Bank of Thailand’s middle rate (midpoint of the bid and ask rates) as of June 26, 2025, of 32.48 Thai baht to 1 U.S. dollar. </w:t>
            </w:r>
          </w:p>
        </w:tc>
      </w:tr>
    </w:tbl>
    <w:tbl>
      <w:tblPr>
        <w:tblW w:w="10145" w:type="dxa"/>
        <w:jc w:val="left"/>
        <w:tblInd w:w="60" w:type="dxa"/>
        <w:tblLayout w:type="fixed"/>
        <w:tblCellMar>
          <w:top w:w="0" w:type="dxa"/>
          <w:left w:w="0" w:type="dxa"/>
          <w:bottom w:w="0" w:type="dxa"/>
          <w:right w:w="0" w:type="dxa"/>
        </w:tblCellMar>
      </w:tblPr>
      <w:tblGrid>
        <w:gridCol w:w="218"/>
        <w:gridCol w:w="9927"/>
      </w:tblGrid>
      <w:tr>
        <w:trPr/>
        <w:tc>
          <w:tcPr>
            <w:tcW w:w="21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2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Assumes an annual target bonus opportunity of $1,932,000 for Mr. Grady, $750,628 for Mr. Sverha, and $459,000 for Mr. Archer (target bonus opportunities in effect on June 26, 2026). </w:t>
            </w:r>
          </w:p>
        </w:tc>
      </w:tr>
    </w:tbl>
    <w:tbl>
      <w:tblPr>
        <w:tblW w:w="8005" w:type="dxa"/>
        <w:jc w:val="left"/>
        <w:tblInd w:w="60" w:type="dxa"/>
        <w:tblLayout w:type="fixed"/>
        <w:tblCellMar>
          <w:top w:w="0" w:type="dxa"/>
          <w:left w:w="0" w:type="dxa"/>
          <w:bottom w:w="0" w:type="dxa"/>
          <w:right w:w="0" w:type="dxa"/>
        </w:tblCellMar>
      </w:tblPr>
      <w:tblGrid>
        <w:gridCol w:w="230"/>
        <w:gridCol w:w="777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777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two times the annual cost of COBRA coverage to maintain the benefits provided as of June 26, 2026. </w:t>
            </w:r>
          </w:p>
        </w:tc>
      </w:tr>
    </w:tbl>
    <w:tbl>
      <w:tblPr>
        <w:tblW w:w="10145" w:type="dxa"/>
        <w:jc w:val="left"/>
        <w:tblInd w:w="60" w:type="dxa"/>
        <w:tblLayout w:type="fixed"/>
        <w:tblCellMar>
          <w:top w:w="0" w:type="dxa"/>
          <w:left w:w="0" w:type="dxa"/>
          <w:bottom w:w="0" w:type="dxa"/>
          <w:right w:w="0" w:type="dxa"/>
        </w:tblCellMar>
      </w:tblPr>
      <w:tblGrid>
        <w:gridCol w:w="196"/>
        <w:gridCol w:w="9949"/>
      </w:tblGrid>
      <w:tr>
        <w:trPr/>
        <w:tc>
          <w:tcPr>
            <w:tcW w:w="19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4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Potential value if vesting of eligible RSUs held by the Named Officer had been accelerated June 26, 2026, assuming a share price of $524.79, the closing price on the NYSE of our ordinary shares on June 26, 2026. Also assumes that, in the case of performance-based equity awards outstanding as of June 26, 2026, the performance conditions were deemed achieved in full and such awards were converted into RSUs as described in “—</w:t>
            </w:r>
            <w:r>
              <w:rPr>
                <w:rFonts w:ascii="Arial;Helvetica;sans-serif" w:hAnsi="Arial;Helvetica;sans-serif"/>
                <w:i/>
                <w:color w:val="000000"/>
                <w:sz w:val="15"/>
              </w:rPr>
              <w:t>Treatment of Performance-Based Awards in Change in Control</w:t>
            </w:r>
            <w:r>
              <w:rPr>
                <w:rFonts w:ascii="Arial;Helvetica;sans-serif" w:hAnsi="Arial;Helvetica;sans-serif"/>
                <w:color w:val="000000"/>
                <w:sz w:val="15"/>
              </w:rPr>
              <w:t xml:space="preserve">” above. </w:t>
            </w:r>
          </w:p>
        </w:tc>
      </w:tr>
    </w:tbl>
    <w:tbl>
      <w:tblPr>
        <w:tblW w:w="10145" w:type="dxa"/>
        <w:jc w:val="left"/>
        <w:tblInd w:w="60" w:type="dxa"/>
        <w:tblLayout w:type="fixed"/>
        <w:tblCellMar>
          <w:top w:w="0" w:type="dxa"/>
          <w:left w:w="0" w:type="dxa"/>
          <w:bottom w:w="0" w:type="dxa"/>
          <w:right w:w="0" w:type="dxa"/>
        </w:tblCellMar>
      </w:tblPr>
      <w:tblGrid>
        <w:gridCol w:w="193"/>
        <w:gridCol w:w="995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5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Does not include the future tax equalization benefits that such Named Officer may be entitled to under our expatriate policy, as described above in “</w:t>
            </w:r>
            <w:r>
              <w:rPr>
                <w:rFonts w:ascii="Arial;Helvetica;sans-serif" w:hAnsi="Arial;Helvetica;sans-serif"/>
                <w:i/>
                <w:color w:val="000000"/>
                <w:sz w:val="15"/>
              </w:rPr>
              <w:t>Executive Compensation—Compensation Discussion and Analysis</w:t>
            </w:r>
            <w:r>
              <w:rPr>
                <w:rFonts w:ascii="Arial;Helvetica;sans-serif" w:hAnsi="Arial;Helvetica;sans-serif"/>
                <w:color w:val="000000"/>
                <w:sz w:val="15"/>
              </w:rPr>
              <w:t xml:space="preserve">.” As of June 26, 2026,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2026 was $722,979 for Dr. Gill. Tax equalization benefits for any future years may differ substantially from such amount. </w:t>
            </w:r>
          </w:p>
        </w:tc>
      </w:tr>
    </w:tbl>
    <w:tbl>
      <w:tblPr>
        <w:tblW w:w="10015" w:type="dxa"/>
        <w:jc w:val="left"/>
        <w:tblInd w:w="6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97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Reflects 18 times the monthly premium for continued health coverage under COBRA to maintain the benefits provided as of June 26, 2026.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8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83" descr=""/>
                          <pic:cNvPicPr>
                            <a:picLocks noChangeAspect="1" noChangeArrowheads="1"/>
                          </pic:cNvPicPr>
                        </pic:nvPicPr>
                        <pic:blipFill>
                          <a:blip r:embed="rId25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6" w:name="ny20081940x1_def14a_111-pvp_pg1"/>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17" w:name="tMAT"/>
      <w:bookmarkEnd w:id="217"/>
      <w:r>
        <w:rPr>
          <w:rFonts w:ascii="Arial;Helvetica;sans-serif" w:hAnsi="Arial;Helvetica;sans-serif"/>
          <w:b/>
          <w:color w:val="578255"/>
          <w:sz w:val="44"/>
        </w:rPr>
        <w:t xml:space="preserve">ADDITIONAL COMPENSATION MATTERS </w:t>
      </w:r>
    </w:p>
    <w:p>
      <w:pPr>
        <w:pStyle w:val="TextBody"/>
        <w:bidi w:val="0"/>
        <w:spacing w:before="380" w:after="283"/>
        <w:ind w:left="0" w:right="0" w:hanging="0"/>
        <w:jc w:val="left"/>
        <w:rPr>
          <w:rFonts w:ascii="Arial;Helvetica;sans-serif" w:hAnsi="Arial;Helvetica;sans-serif"/>
          <w:b/>
          <w:color w:val="000000"/>
          <w:sz w:val="28"/>
        </w:rPr>
      </w:pPr>
      <w:bookmarkStart w:id="218" w:name="tCEO"/>
      <w:bookmarkEnd w:id="218"/>
      <w:r>
        <w:rPr>
          <w:rFonts w:ascii="Arial;Helvetica;sans-serif" w:hAnsi="Arial;Helvetica;sans-serif"/>
          <w:b/>
          <w:color w:val="000000"/>
          <w:sz w:val="28"/>
        </w:rPr>
        <w:t xml:space="preserve">CEO Pay Ratio </w:t>
      </w:r>
    </w:p>
    <w:p>
      <w:pPr>
        <w:pStyle w:val="TextBody"/>
        <w:bidi w:val="0"/>
        <w:spacing w:before="430" w:after="283"/>
        <w:ind w:left="0" w:right="0" w:hanging="0"/>
        <w:jc w:val="left"/>
        <w:rPr>
          <w:rFonts w:ascii="Arial;Helvetica;sans-serif" w:hAnsi="Arial;Helvetica;sans-serif"/>
          <w:b/>
          <w:color w:val="000000"/>
          <w:sz w:val="28"/>
        </w:rPr>
      </w:pPr>
      <w:bookmarkStart w:id="219" w:name="tPVP"/>
      <w:bookmarkEnd w:id="219"/>
      <w:r>
        <w:rPr>
          <w:rFonts w:ascii="Arial;Helvetica;sans-serif" w:hAnsi="Arial;Helvetica;sans-serif"/>
          <w:b/>
          <w:color w:val="000000"/>
          <w:sz w:val="28"/>
        </w:rPr>
        <w:t xml:space="preserve">Pay Versus Performance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3124200" cy="2970530"/>
                <wp:effectExtent l="0" t="0" r="0" b="0"/>
                <wp:wrapSquare wrapText="right"/>
                <wp:docPr id="381" name="Frame131"/>
                <a:graphic xmlns:a="http://schemas.openxmlformats.org/drawingml/2006/main">
                  <a:graphicData uri="http://schemas.microsoft.com/office/word/2010/wordprocessingShape">
                    <wps:wsp>
                      <wps:cNvSpPr txBox="1"/>
                      <wps:spPr>
                        <a:xfrm>
                          <a:off x="0" y="0"/>
                          <a:ext cx="3124200" cy="29705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provided for by the Dodd-Frank Wall Street Reform and Consumer Protection Act, the SEC adopted a rule requiring companies to disclose the ratio of the median employee’s total annual compensation relative to total annual compensation of the CEO. For purposes of this disclosure, our CEO’s total annual compensation for fiscal 2026 was $13,602,449. We estimate that our median employee’s total annual compensation for fiscal 2026 was $10,331, making our CEO’s pay in fiscal 2026 approximately 1,317 times the pay of our median employee, who is a worker in Thailand.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pay ratio described above is a reasonable estimate calculated in a manner consistent with Item 402(u) of Regulation S-K (“</w:t>
                            </w:r>
                            <w:r>
                              <w:rPr>
                                <w:rFonts w:ascii="Arial;Helvetica;sans-serif" w:hAnsi="Arial;Helvetica;sans-serif"/>
                                <w:b/>
                                <w:color w:val="000000"/>
                                <w:sz w:val="20"/>
                              </w:rPr>
                              <w:t>Item 402(u)</w:t>
                            </w:r>
                            <w:r>
                              <w:rPr>
                                <w:rFonts w:ascii="Arial;Helvetica;sans-serif" w:hAnsi="Arial;Helvetica;sans-serif"/>
                                <w:color w:val="000000"/>
                                <w:sz w:val="20"/>
                              </w:rPr>
                              <w:t xml:space="preserve">”). The median employee was identified by determining the compensation for each employee using the following consistently applied compensation measures: (1) salary received in fiscal 2026 (annualized if employee worked only a portion of </w:t>
                            </w:r>
                          </w:p>
                        </w:txbxContent>
                      </wps:txbx>
                      <wps:bodyPr anchor="t" lIns="0" tIns="0" rIns="0" bIns="0">
                        <a:noAutofit/>
                      </wps:bodyPr>
                    </wps:wsp>
                  </a:graphicData>
                </a:graphic>
              </wp:anchor>
            </w:drawing>
          </mc:Choice>
          <mc:Fallback>
            <w:pict>
              <v:rect style="position:absolute;rotation:-0;width:246pt;height:23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provided for by the Dodd-Frank Wall Street Reform and Consumer Protection Act, the SEC adopted a rule requiring companies to disclose the ratio of the median employee’s total annual compensation relative to total annual compensation of the CEO. For purposes of this disclosure, our CEO’s total annual compensation for fiscal 2026 was $13,602,449. We estimate that our median employee’s total annual compensation for fiscal 2026 was $10,331, making our CEO’s pay in fiscal 2026 approximately 1,317 times the pay of our median employee, who is a worker in Thailand.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pay ratio described above is a reasonable estimate calculated in a manner consistent with Item 402(u) of Regulation S-K (“</w:t>
                      </w:r>
                      <w:r>
                        <w:rPr>
                          <w:rFonts w:ascii="Arial;Helvetica;sans-serif" w:hAnsi="Arial;Helvetica;sans-serif"/>
                          <w:b/>
                          <w:color w:val="000000"/>
                          <w:sz w:val="20"/>
                        </w:rPr>
                        <w:t>Item 402(u)</w:t>
                      </w:r>
                      <w:r>
                        <w:rPr>
                          <w:rFonts w:ascii="Arial;Helvetica;sans-serif" w:hAnsi="Arial;Helvetica;sans-serif"/>
                          <w:color w:val="000000"/>
                          <w:sz w:val="20"/>
                        </w:rPr>
                        <w:t xml:space="preserve">”). The median employee was identified by determining the compensation for each employee using the following consistently applied compensation measures: (1) salary received in fiscal 2026 (annualized if employee worked only a portion of </w:t>
                      </w:r>
                    </w:p>
                  </w:txbxContent>
                </v:textbox>
                <w10:wrap type="square" side="right"/>
              </v:rect>
            </w:pict>
          </mc:Fallback>
        </mc:AlternateContent>
      </w:r>
      <w:r>
        <mc:AlternateContent>
          <mc:Choice Requires="wps">
            <w:drawing>
              <wp:anchor behindDoc="0" distT="0" distB="0" distL="228600" distR="0" simplePos="0" locked="0" layoutInCell="1" allowOverlap="1" relativeHeight="330">
                <wp:simplePos x="0" y="0"/>
                <wp:positionH relativeFrom="column">
                  <wp:align>left</wp:align>
                </wp:positionH>
                <wp:positionV relativeFrom="line">
                  <wp:posOffset>635</wp:posOffset>
                </wp:positionV>
                <wp:extent cx="3124200" cy="2824480"/>
                <wp:effectExtent l="0" t="0" r="0" b="0"/>
                <wp:wrapSquare wrapText="right"/>
                <wp:docPr id="382" name="Frame132"/>
                <a:graphic xmlns:a="http://schemas.openxmlformats.org/drawingml/2006/main">
                  <a:graphicData uri="http://schemas.microsoft.com/office/word/2010/wordprocessingShape">
                    <wps:wsp>
                      <wps:cNvSpPr txBox="1"/>
                      <wps:spPr>
                        <a:xfrm>
                          <a:off x="0" y="0"/>
                          <a:ext cx="3124200" cy="28244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fiscal year, including if employee was on an unpaid leave of absence during the fiscal year); (2) annual incentive bonus earned in fiscal 2026; (3) grant date fair value of equity awards granted during fiscal 2026; and (4) perquisites paid in fiscal 2026.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calculation includes all employees in the United States, Israel, China and Thailand as of June 26, 2026, the last day of fiscal 2026. As of that date, we had 299 employees located in the United States and 21,222 employees located outside of the United States. Our employees located in the Cayman Islands and Singapore (an aggregate total of 2 employees) were excluded from the calculation under the de minimis exception provided for in Item 402(u). We applied exchange rates as of June 26, 2026 to the compensation elements paid in Israeli Shekel, Chinese Renminbi and Thai baht. </w:t>
                            </w:r>
                          </w:p>
                        </w:txbxContent>
                      </wps:txbx>
                      <wps:bodyPr anchor="t" lIns="0" tIns="0" rIns="0" bIns="0">
                        <a:noAutofit/>
                      </wps:bodyPr>
                    </wps:wsp>
                  </a:graphicData>
                </a:graphic>
              </wp:anchor>
            </w:drawing>
          </mc:Choice>
          <mc:Fallback>
            <w:pict>
              <v:rect style="position:absolute;rotation:-0;width:246pt;height:222.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fiscal year, including if employee was on an unpaid leave of absence during the fiscal year); (2) annual incentive bonus earned in fiscal 2026; (3) grant date fair value of equity awards granted during fiscal 2026; and (4) perquisites paid in fiscal 2026.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calculation includes all employees in the United States, Israel, China and Thailand as of June 26, 2026, the last day of fiscal 2026. As of that date, we had 299 employees located in the United States and 21,222 employees located outside of the United States. Our employees located in the Cayman Islands and Singapore (an aggregate total of 2 employees) were excluded from the calculation under the de minimis exception provided for in Item 402(u). We applied exchange rates as of June 26, 2026 to the compensation elements paid in Israeli Shekel, Chinese Renminbi and Thai baht.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3124200" cy="1838325"/>
                <wp:effectExtent l="0" t="0" r="0" b="0"/>
                <wp:wrapSquare wrapText="right"/>
                <wp:docPr id="383" name="Frame133"/>
                <a:graphic xmlns:a="http://schemas.openxmlformats.org/drawingml/2006/main">
                  <a:graphicData uri="http://schemas.microsoft.com/office/word/2010/wordprocessingShape">
                    <wps:wsp>
                      <wps:cNvSpPr txBox="1"/>
                      <wps:spPr>
                        <a:xfrm>
                          <a:off x="0" y="0"/>
                          <a:ext cx="3124200" cy="18383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952(a) of the Dodd-Frank Wall Street Reform and Consumer Protection Act and Item 402(v) of Regulation S-K under the Securities Exchange Act of 1934, as amended, we are providing the following information about the relationship between executive “compensation actually paid” and certain measures of company performance for each of the last three completed fiscal years. The material that follows is provided in compliance with these rules. For information on how the Compensation Committee seeks to align pay with performance when making compensation decisions, </w:t>
                            </w:r>
                          </w:p>
                        </w:txbxContent>
                      </wps:txbx>
                      <wps:bodyPr anchor="t" lIns="0" tIns="0" rIns="0" bIns="0">
                        <a:noAutofit/>
                      </wps:bodyPr>
                    </wps:wsp>
                  </a:graphicData>
                </a:graphic>
              </wp:anchor>
            </w:drawing>
          </mc:Choice>
          <mc:Fallback>
            <w:pict>
              <v:rect style="position:absolute;rotation:-0;width:246pt;height:14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952(a) of the Dodd-Frank Wall Street Reform and Consumer Protection Act and Item 402(v) of Regulation S-K under the Securities Exchange Act of 1934, as amended, we are providing the following information about the relationship between executive “compensation actually paid” and certain measures of company performance for each of the last three completed fiscal years. The material that follows is provided in compliance with these rules. For information on how the Compensation Committee seeks to align pay with performance when making compensation decisions, </w:t>
                      </w:r>
                    </w:p>
                  </w:txbxContent>
                </v:textbox>
                <w10:wrap type="square" side="right"/>
              </v:rect>
            </w:pict>
          </mc:Fallback>
        </mc:AlternateContent>
      </w:r>
      <w:r>
        <mc:AlternateContent>
          <mc:Choice Requires="wps">
            <w:drawing>
              <wp:anchor behindDoc="0" distT="0" distB="0" distL="228600" distR="0" simplePos="0" locked="0" layoutInCell="1" allowOverlap="1" relativeHeight="332">
                <wp:simplePos x="0" y="0"/>
                <wp:positionH relativeFrom="column">
                  <wp:align>left</wp:align>
                </wp:positionH>
                <wp:positionV relativeFrom="line">
                  <wp:posOffset>635</wp:posOffset>
                </wp:positionV>
                <wp:extent cx="3124200" cy="1802130"/>
                <wp:effectExtent l="0" t="0" r="0" b="0"/>
                <wp:wrapSquare wrapText="right"/>
                <wp:docPr id="384" name="Frame134"/>
                <a:graphic xmlns:a="http://schemas.openxmlformats.org/drawingml/2006/main">
                  <a:graphicData uri="http://schemas.microsoft.com/office/word/2010/wordprocessingShape">
                    <wps:wsp>
                      <wps:cNvSpPr txBox="1"/>
                      <wps:spPr>
                        <a:xfrm>
                          <a:off x="0" y="0"/>
                          <a:ext cx="3124200" cy="180213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please review “</w:t>
                            </w:r>
                            <w:r>
                              <w:rPr>
                                <w:rFonts w:ascii="Arial;Helvetica;sans-serif" w:hAnsi="Arial;Helvetica;sans-serif"/>
                                <w:i/>
                                <w:color w:val="000000"/>
                                <w:sz w:val="20"/>
                              </w:rPr>
                              <w:t>Executive Compensation</w:t>
                            </w:r>
                            <w:r>
                              <w:rPr>
                                <w:rFonts w:ascii="Arial;Helvetica;sans-serif" w:hAnsi="Arial;Helvetica;sans-serif"/>
                                <w:color w:val="000000"/>
                                <w:sz w:val="20"/>
                              </w:rPr>
                              <w:t>—</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above.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determining the “compensation actually paid” (CAP) to our Named Officers (NEOs), we are required to make various adjustments to amounts that have been previously reported in the Summary Compensation Table as the SEC’s rules for this disclosure differ from those required in the Summary Compensation Table. For our NEOs other than our principal executive officer (PEO), amounts disclosed are reported as an average.</w:t>
                            </w:r>
                          </w:p>
                        </w:txbxContent>
                      </wps:txbx>
                      <wps:bodyPr anchor="t" lIns="0" tIns="0" rIns="0" bIns="0">
                        <a:noAutofit/>
                      </wps:bodyPr>
                    </wps:wsp>
                  </a:graphicData>
                </a:graphic>
              </wp:anchor>
            </w:drawing>
          </mc:Choice>
          <mc:Fallback>
            <w:pict>
              <v:rect style="position:absolute;rotation:-0;width:246pt;height:141.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please review “</w:t>
                      </w:r>
                      <w:r>
                        <w:rPr>
                          <w:rFonts w:ascii="Arial;Helvetica;sans-serif" w:hAnsi="Arial;Helvetica;sans-serif"/>
                          <w:i/>
                          <w:color w:val="000000"/>
                          <w:sz w:val="20"/>
                        </w:rPr>
                        <w:t>Executive Compensation</w:t>
                      </w:r>
                      <w:r>
                        <w:rPr>
                          <w:rFonts w:ascii="Arial;Helvetica;sans-serif" w:hAnsi="Arial;Helvetica;sans-serif"/>
                          <w:color w:val="000000"/>
                          <w:sz w:val="20"/>
                        </w:rPr>
                        <w:t>—</w:t>
                      </w:r>
                      <w:r>
                        <w:rPr>
                          <w:rFonts w:ascii="Arial;Helvetica;sans-serif" w:hAnsi="Arial;Helvetica;sans-serif"/>
                          <w:i/>
                          <w:color w:val="000000"/>
                          <w:sz w:val="20"/>
                        </w:rPr>
                        <w:t>Compensation Discussion and Analysis</w:t>
                      </w:r>
                      <w:r>
                        <w:rPr>
                          <w:rFonts w:ascii="Arial;Helvetica;sans-serif" w:hAnsi="Arial;Helvetica;sans-serif"/>
                          <w:color w:val="000000"/>
                          <w:sz w:val="20"/>
                        </w:rPr>
                        <w:t xml:space="preserve">” above.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determining the “compensation actually paid” (CAP) to our Named Officers (NEOs), we are required to make various adjustments to amounts that have been previously reported in the Summary Compensation Table as the SEC’s rules for this disclosure differ from those required in the Summary Compensation Table. For our NEOs other than our principal executive officer (PEO), amounts disclosed are reported as an average.</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8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84" descr=""/>
                          <pic:cNvPicPr>
                            <a:picLocks noChangeAspect="1" noChangeArrowheads="1"/>
                          </pic:cNvPicPr>
                        </pic:nvPicPr>
                        <pic:blipFill>
                          <a:blip r:embed="rId252"/>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0" w:name="ny20081940x1_def14a_111-pvp_pg2"/>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Pay Versus Performance Table </w:t>
      </w:r>
    </w:p>
    <w:tbl>
      <w:tblPr>
        <w:tblW w:w="12285" w:type="dxa"/>
        <w:jc w:val="left"/>
        <w:tblInd w:w="60" w:type="dxa"/>
        <w:tblLayout w:type="fixed"/>
        <w:tblCellMar>
          <w:top w:w="0" w:type="dxa"/>
          <w:left w:w="0" w:type="dxa"/>
          <w:bottom w:w="0" w:type="dxa"/>
          <w:right w:w="0" w:type="dxa"/>
        </w:tblCellMar>
      </w:tblPr>
      <w:tblGrid>
        <w:gridCol w:w="185"/>
        <w:gridCol w:w="515"/>
        <w:gridCol w:w="170"/>
        <w:gridCol w:w="170"/>
        <w:gridCol w:w="1220"/>
        <w:gridCol w:w="170"/>
        <w:gridCol w:w="170"/>
        <w:gridCol w:w="1220"/>
        <w:gridCol w:w="170"/>
        <w:gridCol w:w="170"/>
        <w:gridCol w:w="1220"/>
        <w:gridCol w:w="170"/>
        <w:gridCol w:w="170"/>
        <w:gridCol w:w="1220"/>
        <w:gridCol w:w="170"/>
        <w:gridCol w:w="170"/>
        <w:gridCol w:w="1010"/>
        <w:gridCol w:w="170"/>
        <w:gridCol w:w="170"/>
        <w:gridCol w:w="1010"/>
        <w:gridCol w:w="170"/>
        <w:gridCol w:w="170"/>
        <w:gridCol w:w="815"/>
        <w:gridCol w:w="170"/>
        <w:gridCol w:w="170"/>
        <w:gridCol w:w="935"/>
        <w:gridCol w:w="215"/>
      </w:tblGrid>
      <w:tr>
        <w:trPr/>
        <w:tc>
          <w:tcPr>
            <w:tcW w:w="185" w:type="dxa"/>
            <w:tcBorders/>
            <w:shd w:fill="819F7C" w:val="clear"/>
            <w:vAlign w:val="center"/>
          </w:tcPr>
          <w:p>
            <w:pPr>
              <w:pStyle w:val="TableContents"/>
              <w:bidi w:val="0"/>
              <w:spacing w:before="0" w:after="0"/>
              <w:jc w:val="left"/>
              <w:rPr/>
            </w:pPr>
            <w:r>
              <w:rPr/>
              <w:t> </w:t>
            </w:r>
          </w:p>
        </w:tc>
        <w:tc>
          <w:tcPr>
            <w:tcW w:w="5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2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60" w:type="dxa"/>
            <w:gridSpan w:val="4"/>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81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35"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vMerge w:val="restart"/>
            <w:tcBorders/>
            <w:shd w:fill="819F7C" w:val="clear"/>
            <w:vAlign w:val="center"/>
          </w:tcPr>
          <w:p>
            <w:pPr>
              <w:pStyle w:val="TableContents"/>
              <w:bidi w:val="0"/>
              <w:spacing w:before="0" w:after="0"/>
              <w:jc w:val="left"/>
              <w:rPr/>
            </w:pPr>
            <w:r>
              <w:rPr/>
              <w:t> </w:t>
            </w:r>
          </w:p>
        </w:tc>
        <w:tc>
          <w:tcPr>
            <w:tcW w:w="515" w:type="dxa"/>
            <w:vMerge w:val="restart"/>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Fiscal Year</w:t>
            </w:r>
            <w:r>
              <w:rPr>
                <w:rFonts w:ascii="Arial;Helvetica;sans-serif" w:hAnsi="Arial;Helvetica;sans-serif"/>
                <w:b/>
                <w:color w:val="FFFFFF"/>
                <w:position w:val="5"/>
                <w:sz w:val="13"/>
                <w:sz w:val="16"/>
              </w:rPr>
              <w:t>(1)</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 ($)</w:t>
            </w:r>
            <w:r>
              <w:rPr>
                <w:rFonts w:ascii="Arial;Helvetica;sans-serif" w:hAnsi="Arial;Helvetica;sans-serif"/>
                <w:b/>
                <w:color w:val="FFFFFF"/>
                <w:position w:val="5"/>
                <w:sz w:val="13"/>
                <w:sz w:val="16"/>
              </w:rPr>
              <w:t>(2)</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 PEO ($)</w:t>
            </w:r>
            <w:r>
              <w:rPr>
                <w:rFonts w:ascii="Arial;Helvetica;sans-serif" w:hAnsi="Arial;Helvetica;sans-serif"/>
                <w:b/>
                <w:color w:val="FFFFFF"/>
                <w:position w:val="5"/>
                <w:sz w:val="13"/>
                <w:sz w:val="16"/>
              </w:rPr>
              <w:t>(3)</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 ($)</w:t>
            </w:r>
            <w:r>
              <w:rPr>
                <w:rFonts w:ascii="Arial;Helvetica;sans-serif" w:hAnsi="Arial;Helvetica;sans-serif"/>
                <w:b/>
                <w:color w:val="FFFFFF"/>
                <w:position w:val="5"/>
                <w:sz w:val="13"/>
                <w:sz w:val="16"/>
              </w:rPr>
              <w:t>(4)</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1220"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 ($)</w:t>
            </w:r>
            <w:r>
              <w:rPr>
                <w:rFonts w:ascii="Arial;Helvetica;sans-serif" w:hAnsi="Arial;Helvetica;sans-serif"/>
                <w:b/>
                <w:color w:val="FFFFFF"/>
                <w:position w:val="5"/>
                <w:sz w:val="13"/>
                <w:sz w:val="16"/>
              </w:rPr>
              <w:t>(5)</w:t>
            </w:r>
          </w:p>
        </w:tc>
        <w:tc>
          <w:tcPr>
            <w:tcW w:w="170" w:type="dxa"/>
            <w:vMerge w:val="restart"/>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360" w:type="dxa"/>
            <w:gridSpan w:val="4"/>
            <w:tcBorders>
              <w:bottom w:val="single" w:sz="8" w:space="0" w:color="FFFFFF"/>
            </w:tcBorders>
            <w:shd w:fill="819F7C" w:val="clear"/>
            <w:tcMar>
              <w:bottom w:w="7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 Based On:</w:t>
            </w:r>
          </w:p>
        </w:tc>
        <w:tc>
          <w:tcPr>
            <w:tcW w:w="170" w:type="dxa"/>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81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Income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(8)</w:t>
            </w:r>
          </w:p>
        </w:tc>
        <w:tc>
          <w:tcPr>
            <w:tcW w:w="170" w:type="dxa"/>
            <w:vMerge w:val="restart"/>
            <w:tcBorders/>
            <w:shd w:fill="819F7C" w:val="clear"/>
            <w:vAlign w:val="center"/>
          </w:tcPr>
          <w:p>
            <w:pPr>
              <w:pStyle w:val="TableContents"/>
              <w:bidi w:val="0"/>
              <w:spacing w:before="0" w:after="0"/>
              <w:jc w:val="left"/>
              <w:rPr/>
            </w:pPr>
            <w:r>
              <w:rPr/>
              <w:t> </w:t>
            </w:r>
          </w:p>
        </w:tc>
        <w:tc>
          <w:tcPr>
            <w:tcW w:w="170" w:type="dxa"/>
            <w:vMerge w:val="restart"/>
            <w:tcBorders/>
            <w:shd w:fill="819F7C" w:val="clear"/>
            <w:vAlign w:val="center"/>
          </w:tcPr>
          <w:p>
            <w:pPr>
              <w:pStyle w:val="TableContents"/>
              <w:bidi w:val="0"/>
              <w:spacing w:before="0" w:after="0"/>
              <w:jc w:val="left"/>
              <w:rPr/>
            </w:pPr>
            <w:r>
              <w:rPr/>
              <w:t> </w:t>
            </w:r>
          </w:p>
        </w:tc>
        <w:tc>
          <w:tcPr>
            <w:tcW w:w="935" w:type="dxa"/>
            <w:vMerge w:val="restart"/>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Selected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Measure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(Revenue)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(9)</w:t>
            </w:r>
            <w:r>
              <w:rPr>
                <w:rFonts w:ascii="Arial;Helvetica;sans-serif" w:hAnsi="Arial;Helvetica;sans-serif"/>
                <w:b/>
                <w:color w:val="FFFFFF"/>
                <w:sz w:val="16"/>
              </w:rPr>
              <w:t xml:space="preserve"> </w:t>
            </w:r>
          </w:p>
        </w:tc>
        <w:tc>
          <w:tcPr>
            <w:tcW w:w="215" w:type="dxa"/>
            <w:vMerge w:val="restart"/>
            <w:tcBorders/>
            <w:shd w:fill="819F7C" w:val="clear"/>
            <w:vAlign w:val="center"/>
          </w:tcPr>
          <w:p>
            <w:pPr>
              <w:pStyle w:val="TableContents"/>
              <w:bidi w:val="0"/>
              <w:spacing w:before="0" w:after="0"/>
              <w:jc w:val="left"/>
              <w:rPr/>
            </w:pPr>
            <w:r>
              <w:rPr/>
              <w:t> </w:t>
            </w:r>
          </w:p>
        </w:tc>
      </w:tr>
      <w:tr>
        <w:trPr/>
        <w:tc>
          <w:tcPr>
            <w:tcW w:w="185" w:type="dxa"/>
            <w:vMerge w:val="continue"/>
            <w:tcBorders/>
            <w:shd w:fill="819F7C" w:val="clear"/>
            <w:vAlign w:val="center"/>
          </w:tcPr>
          <w:p>
            <w:pPr>
              <w:pStyle w:val="Normal"/>
              <w:bidi w:val="0"/>
              <w:jc w:val="left"/>
              <w:rPr/>
            </w:pPr>
            <w:r>
              <w:rPr/>
            </w:r>
          </w:p>
        </w:tc>
        <w:tc>
          <w:tcPr>
            <w:tcW w:w="51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22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w:t>
            </w:r>
            <w:r>
              <w:rPr>
                <w:rFonts w:ascii="Arial;Helvetica;sans-serif" w:hAnsi="Arial;Helvetica;sans-serif"/>
                <w:b/>
                <w:color w:val="FFFFFF"/>
                <w:position w:val="5"/>
                <w:sz w:val="13"/>
                <w:sz w:val="16"/>
              </w:rPr>
              <w:t>(6)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Peer Group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w:t>
            </w:r>
            <w:r>
              <w:rPr>
                <w:rFonts w:ascii="Arial;Helvetica;sans-serif" w:hAnsi="Arial;Helvetica;sans-serif"/>
                <w:b/>
                <w:color w:val="FFFFFF"/>
                <w:position w:val="5"/>
                <w:sz w:val="13"/>
                <w:sz w:val="16"/>
              </w:rPr>
              <w:t>(7)</w:t>
            </w:r>
            <w:r>
              <w:rPr>
                <w:rFonts w:ascii="Arial;Helvetica;sans-serif" w:hAnsi="Arial;Helvetica;sans-serif"/>
                <w:b/>
                <w:color w:val="FFFFFF"/>
                <w:sz w:val="16"/>
              </w:rPr>
              <w:t xml:space="preserve"> </w:t>
            </w:r>
          </w:p>
        </w:tc>
        <w:tc>
          <w:tcPr>
            <w:tcW w:w="170" w:type="dxa"/>
            <w:tcBorders/>
            <w:shd w:fill="819F7C" w:val="clear"/>
            <w:vAlign w:val="center"/>
          </w:tcPr>
          <w:p>
            <w:pPr>
              <w:pStyle w:val="TableContents"/>
              <w:bidi w:val="0"/>
              <w:spacing w:before="0" w:after="0"/>
              <w:jc w:val="left"/>
              <w:rPr/>
            </w:pPr>
            <w:r>
              <w:rPr/>
              <w:t> </w:t>
            </w:r>
          </w:p>
        </w:tc>
        <w:tc>
          <w:tcPr>
            <w:tcW w:w="170" w:type="dxa"/>
            <w:vMerge w:val="continue"/>
            <w:tcBorders/>
            <w:shd w:fill="819F7C" w:val="clear"/>
            <w:vAlign w:val="center"/>
          </w:tcPr>
          <w:p>
            <w:pPr>
              <w:pStyle w:val="Normal"/>
              <w:bidi w:val="0"/>
              <w:jc w:val="left"/>
              <w:rPr/>
            </w:pPr>
            <w:r>
              <w:rPr/>
            </w:r>
          </w:p>
        </w:tc>
        <w:tc>
          <w:tcPr>
            <w:tcW w:w="815"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170" w:type="dxa"/>
            <w:vMerge w:val="continue"/>
            <w:tcBorders/>
            <w:shd w:fill="819F7C" w:val="clear"/>
            <w:vAlign w:val="center"/>
          </w:tcPr>
          <w:p>
            <w:pPr>
              <w:pStyle w:val="Normal"/>
              <w:bidi w:val="0"/>
              <w:jc w:val="left"/>
              <w:rPr/>
            </w:pPr>
            <w:r>
              <w:rPr/>
            </w:r>
          </w:p>
        </w:tc>
        <w:tc>
          <w:tcPr>
            <w:tcW w:w="935" w:type="dxa"/>
            <w:vMerge w:val="continue"/>
            <w:tcBorders/>
            <w:shd w:fill="819F7C" w:val="clear"/>
            <w:vAlign w:val="center"/>
          </w:tcPr>
          <w:p>
            <w:pPr>
              <w:pStyle w:val="Normal"/>
              <w:bidi w:val="0"/>
              <w:jc w:val="left"/>
              <w:rPr/>
            </w:pPr>
            <w:r>
              <w:rPr/>
            </w:r>
          </w:p>
        </w:tc>
        <w:tc>
          <w:tcPr>
            <w:tcW w:w="215" w:type="dxa"/>
            <w:vMerge w:val="continue"/>
            <w:tcBorders/>
            <w:shd w:fill="819F7C" w:val="clear"/>
            <w:vAlign w:val="center"/>
          </w:tcPr>
          <w:p>
            <w:pPr>
              <w:pStyle w:val="Normal"/>
              <w:bidi w:val="0"/>
              <w:jc w:val="left"/>
              <w:rPr/>
            </w:pPr>
            <w:r>
              <w:rPr/>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13,602,449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31,426,383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6,018,919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13,312,881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550.73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104.63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color w:val="000000"/>
              </w:rPr>
            </w:pPr>
            <w:r>
              <w:rPr>
                <w:color w:val="000000"/>
              </w:rPr>
              <w:t>​</w:t>
            </w:r>
            <w:r>
              <w:rPr>
                <w:rFonts w:ascii="Arial;Helvetica;sans-serif" w:hAnsi="Arial;Helvetica;sans-serif"/>
                <w:color w:val="000000"/>
                <w:sz w:val="14"/>
              </w:rPr>
              <w:t>473,027,000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4,641,097,000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11,944,135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14,317,231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6,060,873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7,075,117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310.23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95.17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332,527,000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3,419,327,000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11,082,191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22,024,695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5,460,058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10,114,716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256.89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74.29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296,181,000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2,882,967,000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10,527,608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16,428,208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5,203,532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7,754,768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136.30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75.34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247,913,000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2,645,237,000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2022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9,936,955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7,818,062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88" w:right="0" w:hanging="0"/>
              <w:jc w:val="left"/>
              <w:rPr>
                <w:rFonts w:ascii="Arial;Helvetica;sans-serif" w:hAnsi="Arial;Helvetica;sans-serif"/>
                <w:color w:val="000000"/>
                <w:sz w:val="14"/>
              </w:rPr>
            </w:pPr>
            <w:r>
              <w:rPr>
                <w:rFonts w:ascii="Arial;Helvetica;sans-serif" w:hAnsi="Arial;Helvetica;sans-serif"/>
                <w:color w:val="000000"/>
                <w:sz w:val="14"/>
              </w:rPr>
              <w:t>4,798,154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283"/>
              <w:ind w:left="411" w:right="0" w:hanging="0"/>
              <w:jc w:val="left"/>
              <w:rPr>
                <w:rFonts w:ascii="Arial;Helvetica;sans-serif" w:hAnsi="Arial;Helvetica;sans-serif"/>
                <w:color w:val="000000"/>
                <w:sz w:val="14"/>
              </w:rPr>
            </w:pPr>
            <w:r>
              <w:rPr>
                <w:rFonts w:ascii="Arial;Helvetica;sans-serif" w:hAnsi="Arial;Helvetica;sans-serif"/>
                <w:color w:val="000000"/>
                <w:sz w:val="14"/>
              </w:rPr>
              <w:t>3,840,220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5" w:right="0" w:hanging="0"/>
              <w:jc w:val="left"/>
              <w:rPr>
                <w:rFonts w:ascii="Arial;Helvetica;sans-serif" w:hAnsi="Arial;Helvetica;sans-serif"/>
                <w:color w:val="000000"/>
                <w:sz w:val="14"/>
              </w:rPr>
            </w:pPr>
            <w:r>
              <w:rPr>
                <w:rFonts w:ascii="Arial;Helvetica;sans-serif" w:hAnsi="Arial;Helvetica;sans-serif"/>
                <w:color w:val="000000"/>
                <w:sz w:val="14"/>
              </w:rPr>
              <w:t>87.32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506" w:right="0" w:hanging="0"/>
              <w:jc w:val="left"/>
              <w:rPr>
                <w:rFonts w:ascii="Arial;Helvetica;sans-serif" w:hAnsi="Arial;Helvetica;sans-serif"/>
                <w:color w:val="000000"/>
                <w:sz w:val="14"/>
              </w:rPr>
            </w:pPr>
            <w:r>
              <w:rPr>
                <w:rFonts w:ascii="Arial;Helvetica;sans-serif" w:hAnsi="Arial;Helvetica;sans-serif"/>
                <w:color w:val="000000"/>
                <w:sz w:val="14"/>
              </w:rPr>
              <w:t>74.55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283"/>
              <w:ind w:left="84" w:right="0" w:hanging="0"/>
              <w:jc w:val="left"/>
              <w:rPr>
                <w:rFonts w:ascii="Arial;Helvetica;sans-serif" w:hAnsi="Arial;Helvetica;sans-serif"/>
                <w:color w:val="000000"/>
                <w:sz w:val="14"/>
              </w:rPr>
            </w:pPr>
            <w:r>
              <w:rPr>
                <w:rFonts w:ascii="Arial;Helvetica;sans-serif" w:hAnsi="Arial;Helvetica;sans-serif"/>
                <w:color w:val="000000"/>
                <w:sz w:val="14"/>
              </w:rPr>
              <w:t>200,380,000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2,262,224,000</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2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8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3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6790" w:type="dxa"/>
        <w:jc w:val="left"/>
        <w:tblInd w:w="6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656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The following table shows our PEO and non-PEO NEOs for each of the reported fiscal years. </w:t>
            </w:r>
          </w:p>
        </w:tc>
      </w:tr>
    </w:tbl>
    <w:tbl>
      <w:tblPr>
        <w:tblW w:w="10080" w:type="dxa"/>
        <w:jc w:val="left"/>
        <w:tblInd w:w="60" w:type="dxa"/>
        <w:tblLayout w:type="fixed"/>
        <w:tblCellMar>
          <w:top w:w="0" w:type="dxa"/>
          <w:left w:w="0" w:type="dxa"/>
          <w:bottom w:w="0" w:type="dxa"/>
          <w:right w:w="0" w:type="dxa"/>
        </w:tblCellMar>
      </w:tblPr>
      <w:tblGrid>
        <w:gridCol w:w="185"/>
        <w:gridCol w:w="1280"/>
        <w:gridCol w:w="170"/>
        <w:gridCol w:w="170"/>
        <w:gridCol w:w="1340"/>
        <w:gridCol w:w="170"/>
        <w:gridCol w:w="170"/>
        <w:gridCol w:w="1340"/>
        <w:gridCol w:w="170"/>
        <w:gridCol w:w="170"/>
        <w:gridCol w:w="1340"/>
        <w:gridCol w:w="170"/>
        <w:gridCol w:w="170"/>
        <w:gridCol w:w="1340"/>
        <w:gridCol w:w="170"/>
        <w:gridCol w:w="170"/>
        <w:gridCol w:w="1340"/>
        <w:gridCol w:w="215"/>
      </w:tblGrid>
      <w:tr>
        <w:trPr/>
        <w:tc>
          <w:tcPr>
            <w:tcW w:w="185"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1280"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2025</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2024</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Fiscal 2023</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34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2022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1280"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34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Seamus Grady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Non-PEO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Dr. Harpal Gill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Csaba Sverha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7"/>
        <w:gridCol w:w="9928"/>
      </w:tblGrid>
      <w:tr>
        <w:trPr/>
        <w:tc>
          <w:tcPr>
            <w:tcW w:w="2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28"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amounts of total compensation reported for our PEO in the “Total” column of the Summary Compensation Table for the applicable fiscal year. </w:t>
            </w:r>
          </w:p>
        </w:tc>
      </w:tr>
    </w:tbl>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5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CAP does not mean that our PEO was actually paid the amounts reported in this column, but is a dollar amount derived from the starting point of total compensation reported for our PEO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CAP to our PEO for fiscal 2026, which consisted solely of adjustments to equity awards: </w:t>
            </w:r>
          </w:p>
        </w:tc>
      </w:tr>
    </w:tbl>
    <w:tbl>
      <w:tblPr>
        <w:tblW w:w="10145" w:type="dxa"/>
        <w:jc w:val="left"/>
        <w:tblInd w:w="60" w:type="dxa"/>
        <w:tblLayout w:type="fixed"/>
        <w:tblCellMar>
          <w:top w:w="0" w:type="dxa"/>
          <w:left w:w="0" w:type="dxa"/>
          <w:bottom w:w="0" w:type="dxa"/>
          <w:right w:w="0" w:type="dxa"/>
        </w:tblCellMar>
      </w:tblPr>
      <w:tblGrid>
        <w:gridCol w:w="185"/>
        <w:gridCol w:w="8434"/>
        <w:gridCol w:w="170"/>
        <w:gridCol w:w="170"/>
        <w:gridCol w:w="970"/>
        <w:gridCol w:w="216"/>
      </w:tblGrid>
      <w:tr>
        <w:trPr/>
        <w:tc>
          <w:tcPr>
            <w:tcW w:w="185" w:type="dxa"/>
            <w:tcBorders/>
            <w:shd w:fill="819F7C" w:val="clear"/>
            <w:vAlign w:val="center"/>
          </w:tcPr>
          <w:p>
            <w:pPr>
              <w:pStyle w:val="TableContents"/>
              <w:bidi w:val="0"/>
              <w:spacing w:before="0" w:after="0"/>
              <w:jc w:val="left"/>
              <w:rPr/>
            </w:pPr>
            <w:r>
              <w:rPr/>
              <w:t> </w:t>
            </w:r>
          </w:p>
        </w:tc>
        <w:tc>
          <w:tcPr>
            <w:tcW w:w="8434"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70"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434"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Adjustment Table for PEO</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7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2026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Summary Compensation Table Total for PEO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000000"/>
              </w:rPr>
            </w:pPr>
            <w:r>
              <w:rPr>
                <w:rFonts w:ascii="Arial;Helvetica;sans-serif" w:hAnsi="Arial;Helvetica;sans-serif"/>
                <w:color w:val="000000"/>
                <w:sz w:val="16"/>
                <w:bdr w:val="double" w:sz="8" w:space="1" w:color="000000"/>
              </w:rPr>
              <w:t xml:space="preserve">$13,602,449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equity awards reported in Summary Compensation Table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(9,450,666)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the fair value as of the end of the covered fiscal year of equity awards granted in the covered fiscal year that are outstanding and unvested as of the end of the covered fiscal year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17,902,161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the end of covered fiscal year (from the end of the prior fiscal year) of equity awards granted in prior fiscal years that are outstanding and unvested as of the end of covered fiscal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7,435,191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for equity awards that are granted and vest in the same covered fiscal year, the fair value as of the vesting date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vesting date (from the end of the prior fiscal year) of equity awards granted in prior fiscal years for which all applicable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1,937,248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for equity awards granted in any prior fiscal year that fail to meet the applicable vesting conditions during the covered fiscal year, the fair value as of the end of prior fiscal year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34" w:type="dxa"/>
            <w:tcBorders/>
            <w:vAlign w:val="center"/>
          </w:tcPr>
          <w:p>
            <w:pPr>
              <w:pStyle w:val="TableContents"/>
              <w:bidi w:val="0"/>
              <w:spacing w:before="0" w:after="283"/>
              <w:ind w:left="190" w:right="0" w:hanging="0"/>
              <w:jc w:val="left"/>
              <w:rPr>
                <w:rFonts w:ascii="Arial;Helvetica;sans-serif" w:hAnsi="Arial;Helvetica;sans-serif"/>
                <w:b/>
                <w:i/>
                <w:color w:val="000000"/>
                <w:sz w:val="16"/>
              </w:rPr>
            </w:pPr>
            <w:r>
              <w:rPr>
                <w:rFonts w:ascii="Arial;Helvetica;sans-serif" w:hAnsi="Arial;Helvetica;sans-serif"/>
                <w:b/>
                <w:i/>
                <w:color w:val="000000"/>
                <w:sz w:val="16"/>
              </w:rPr>
              <w:t>Total Equity Adjustments (subtotal)</w:t>
            </w:r>
            <w:r>
              <w:rPr>
                <w:rFonts w:ascii="Arial;Helvetica;sans-serif" w:hAnsi="Arial;Helvetica;sans-serif"/>
                <w:b/>
                <w:i/>
                <w:caps w:val="false"/>
                <w:smallCaps w:val="false"/>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17,823,934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Compensation Actually Paid to PEO</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$31,426,383</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34"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70"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3"/>
        <w:gridCol w:w="9932"/>
      </w:tblGrid>
      <w:tr>
        <w:trPr/>
        <w:tc>
          <w:tcPr>
            <w:tcW w:w="2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32"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average of the amounts of total compensation reported for our non-PEO NEOs in the “Total” column of the Summary Compensation Table for the applicable fiscal year. </w:t>
            </w:r>
          </w:p>
        </w:tc>
      </w:tr>
    </w:tbl>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8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85" descr=""/>
                          <pic:cNvPicPr>
                            <a:picLocks noChangeAspect="1" noChangeArrowheads="1"/>
                          </pic:cNvPicPr>
                        </pic:nvPicPr>
                        <pic:blipFill>
                          <a:blip r:embed="rId253"/>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63</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1" w:name="ny20081940x1_def14a_111-pvp_pg3"/>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tbl>
      <w:tblPr>
        <w:tblW w:w="10145" w:type="dxa"/>
        <w:jc w:val="left"/>
        <w:tblInd w:w="60" w:type="dxa"/>
        <w:tblLayout w:type="fixed"/>
        <w:tblCellMar>
          <w:top w:w="0" w:type="dxa"/>
          <w:left w:w="0" w:type="dxa"/>
          <w:bottom w:w="0" w:type="dxa"/>
          <w:right w:w="0" w:type="dxa"/>
        </w:tblCellMar>
      </w:tblPr>
      <w:tblGrid>
        <w:gridCol w:w="191"/>
        <w:gridCol w:w="995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54"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CAP does not mean that our non-PEO NEOs were actually paid the amounts reported in this column, but is a dollar amount derived from the starting point of the average total compensation reported for our non-PEO NEOs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the average CAP to our non-PEO NEOs during fiscal 2026, which consisted solely of adjustments to equity awards: </w:t>
            </w:r>
          </w:p>
        </w:tc>
      </w:tr>
    </w:tbl>
    <w:tbl>
      <w:tblPr>
        <w:tblW w:w="10145" w:type="dxa"/>
        <w:jc w:val="left"/>
        <w:tblInd w:w="60" w:type="dxa"/>
        <w:tblLayout w:type="fixed"/>
        <w:tblCellMar>
          <w:top w:w="0" w:type="dxa"/>
          <w:left w:w="0" w:type="dxa"/>
          <w:bottom w:w="0" w:type="dxa"/>
          <w:right w:w="0" w:type="dxa"/>
        </w:tblCellMar>
      </w:tblPr>
      <w:tblGrid>
        <w:gridCol w:w="185"/>
        <w:gridCol w:w="8448"/>
        <w:gridCol w:w="170"/>
        <w:gridCol w:w="170"/>
        <w:gridCol w:w="956"/>
        <w:gridCol w:w="216"/>
      </w:tblGrid>
      <w:tr>
        <w:trPr/>
        <w:tc>
          <w:tcPr>
            <w:tcW w:w="185" w:type="dxa"/>
            <w:tcBorders/>
            <w:shd w:fill="819F7C" w:val="clear"/>
            <w:vAlign w:val="center"/>
          </w:tcPr>
          <w:p>
            <w:pPr>
              <w:pStyle w:val="TableContents"/>
              <w:bidi w:val="0"/>
              <w:spacing w:before="0" w:after="0"/>
              <w:jc w:val="left"/>
              <w:rPr/>
            </w:pPr>
            <w:r>
              <w:rPr/>
              <w:t> </w:t>
            </w:r>
          </w:p>
        </w:tc>
        <w:tc>
          <w:tcPr>
            <w:tcW w:w="8448"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56" w:type="dxa"/>
            <w:tcBorders/>
            <w:shd w:fill="819F7C" w:val="clear"/>
            <w:vAlign w:val="center"/>
          </w:tcPr>
          <w:p>
            <w:pPr>
              <w:pStyle w:val="TableContents"/>
              <w:bidi w:val="0"/>
              <w:spacing w:before="0" w:after="0"/>
              <w:jc w:val="left"/>
              <w:rPr/>
            </w:pPr>
            <w:r>
              <w:rPr/>
              <w:t>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8448"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Adjustment Table for non-PEO NEOs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95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Fiscal 2026 </w:t>
            </w:r>
          </w:p>
        </w:tc>
        <w:tc>
          <w:tcPr>
            <w:tcW w:w="216"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Average Summary Compensation Table Total for non-PEO NEOS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double" w:sz="8" w:space="1" w:color="000000"/>
              </w:rPr>
            </w:pPr>
            <w:r>
              <w:rPr>
                <w:rFonts w:ascii="Arial;Helvetica;sans-serif" w:hAnsi="Arial;Helvetica;sans-serif"/>
                <w:color w:val="000000"/>
                <w:sz w:val="16"/>
                <w:bdr w:val="double" w:sz="8" w:space="1" w:color="000000"/>
              </w:rPr>
              <w:t xml:space="preserve">$6,018,919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48"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grant date fair value of equity awards reported in Summary Compensation Table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(3,610,385)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the fair value as of the end of the covered fiscal year of equity awards granted in the covered fiscal year that are outstanding and unvested as of the end of the covered fiscal year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6,839,063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48"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the end of covered fiscal year (from the end of the prior fiscal year) of equity awards granted in prior fiscal years that are outstanding and unvested as of the end of covered fiscal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3,248,256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Add</w:t>
            </w:r>
            <w:r>
              <w:rPr>
                <w:rFonts w:ascii="Arial;Helvetica;sans-serif" w:hAnsi="Arial;Helvetica;sans-serif"/>
                <w:color w:val="000000"/>
                <w:sz w:val="16"/>
              </w:rPr>
              <w:t xml:space="preserve">, for equity awards that are granted and vest in the same covered fiscal year, the fair value as of the vesting date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48"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Adjust for</w:t>
            </w:r>
            <w:r>
              <w:rPr>
                <w:rFonts w:ascii="Arial;Helvetica;sans-serif" w:hAnsi="Arial;Helvetica;sans-serif"/>
                <w:color w:val="000000"/>
                <w:sz w:val="16"/>
              </w:rPr>
              <w:t xml:space="preserve"> the change in fair value as of vesting date (from the end of the prior fiscal year) of equity awards granted in prior fiscal years for which all applicable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817,028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u w:val="single"/>
              </w:rPr>
              <w:t>Subtract</w:t>
            </w:r>
            <w:r>
              <w:rPr>
                <w:rFonts w:ascii="Arial;Helvetica;sans-serif" w:hAnsi="Arial;Helvetica;sans-serif"/>
                <w:color w:val="000000"/>
                <w:sz w:val="16"/>
              </w:rPr>
              <w:t xml:space="preserve">, for equity awards granted in any prior fiscal year that fail to meet the applicable vesting conditions during the covered fiscal year, the fair value as of the end of prior fiscal year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283"/>
              <w:ind w:left="0" w:right="0" w:hanging="0"/>
              <w:jc w:val="left"/>
              <w:rPr>
                <w:color w:val="000000"/>
                <w:bdr w:val="single" w:sz="8" w:space="4" w:color="000000"/>
              </w:rPr>
            </w:pPr>
            <w:r>
              <w:rPr>
                <w:color w:val="000000"/>
                <w:bdr w:val="single" w:sz="8" w:space="4" w:color="000000"/>
              </w:rPr>
              <w:t xml:space="preserve">— </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48" w:type="dxa"/>
            <w:tcBorders/>
            <w:vAlign w:val="center"/>
          </w:tcPr>
          <w:p>
            <w:pPr>
              <w:pStyle w:val="TableContents"/>
              <w:bidi w:val="0"/>
              <w:spacing w:before="0" w:after="283"/>
              <w:ind w:left="190" w:right="0" w:hanging="0"/>
              <w:jc w:val="left"/>
              <w:rPr>
                <w:rFonts w:ascii="Arial;Helvetica;sans-serif" w:hAnsi="Arial;Helvetica;sans-serif"/>
                <w:b/>
                <w:i/>
                <w:color w:val="000000"/>
                <w:sz w:val="16"/>
              </w:rPr>
            </w:pPr>
            <w:r>
              <w:rPr>
                <w:rFonts w:ascii="Arial;Helvetica;sans-serif" w:hAnsi="Arial;Helvetica;sans-serif"/>
                <w:b/>
                <w:i/>
                <w:color w:val="000000"/>
                <w:sz w:val="16"/>
              </w:rPr>
              <w:t>Total Equity Adjustments (subtotal)</w:t>
            </w:r>
            <w:r>
              <w:rPr>
                <w:rFonts w:ascii="Arial;Helvetica;sans-serif" w:hAnsi="Arial;Helvetica;sans-serif"/>
                <w:b/>
                <w:i/>
                <w:caps w:val="false"/>
                <w:smallCaps w:val="false"/>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6"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7,293,962 </w:t>
            </w:r>
          </w:p>
        </w:tc>
        <w:tc>
          <w:tcPr>
            <w:tcW w:w="216"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Average Compensation Actually Paid to non-PEO NEOs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$13,312,881</w:t>
            </w:r>
          </w:p>
        </w:tc>
        <w:tc>
          <w:tcPr>
            <w:tcW w:w="216"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8448"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956" w:type="dxa"/>
            <w:tcBorders/>
            <w:shd w:fill="E5E9E3" w:val="clear"/>
            <w:vAlign w:val="center"/>
          </w:tcPr>
          <w:p>
            <w:pPr>
              <w:pStyle w:val="TableContents"/>
              <w:bidi w:val="0"/>
              <w:spacing w:before="0" w:after="0"/>
              <w:jc w:val="left"/>
              <w:rPr/>
            </w:pPr>
            <w:r>
              <w:rPr/>
              <w:t> </w:t>
            </w:r>
          </w:p>
        </w:tc>
        <w:tc>
          <w:tcPr>
            <w:tcW w:w="216" w:type="dxa"/>
            <w:tcBorders/>
            <w:shd w:fill="E5E9E3" w:val="clear"/>
            <w:vAlign w:val="center"/>
          </w:tcPr>
          <w:p>
            <w:pPr>
              <w:pStyle w:val="TableContents"/>
              <w:bidi w:val="0"/>
              <w:spacing w:before="0" w:after="0"/>
              <w:jc w:val="left"/>
              <w:rPr/>
            </w:pPr>
            <w:r>
              <w:rPr/>
              <w:t> </w:t>
            </w:r>
          </w:p>
        </w:tc>
      </w:tr>
    </w:tbl>
    <w:tbl>
      <w:tblPr>
        <w:tblW w:w="10145" w:type="dxa"/>
        <w:jc w:val="left"/>
        <w:tblInd w:w="60" w:type="dxa"/>
        <w:tblLayout w:type="fixed"/>
        <w:tblCellMar>
          <w:top w:w="0" w:type="dxa"/>
          <w:left w:w="0" w:type="dxa"/>
          <w:bottom w:w="0" w:type="dxa"/>
          <w:right w:w="0" w:type="dxa"/>
        </w:tblCellMar>
      </w:tblPr>
      <w:tblGrid>
        <w:gridCol w:w="215"/>
        <w:gridCol w:w="9930"/>
      </w:tblGrid>
      <w:tr>
        <w:trPr/>
        <w:tc>
          <w:tcPr>
            <w:tcW w:w="2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3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Total shareholder return is calculated by assuming that a $100 investment was made on the day prior to the first fiscal year reported and reinvesting all dividends until the last day of each reported fiscal year. </w:t>
            </w:r>
          </w:p>
        </w:tc>
      </w:tr>
    </w:tbl>
    <w:tbl>
      <w:tblPr>
        <w:tblW w:w="10145" w:type="dxa"/>
        <w:jc w:val="left"/>
        <w:tblInd w:w="60" w:type="dxa"/>
        <w:tblLayout w:type="fixed"/>
        <w:tblCellMar>
          <w:top w:w="0" w:type="dxa"/>
          <w:left w:w="0" w:type="dxa"/>
          <w:bottom w:w="0" w:type="dxa"/>
          <w:right w:w="0" w:type="dxa"/>
        </w:tblCellMar>
      </w:tblPr>
      <w:tblGrid>
        <w:gridCol w:w="195"/>
        <w:gridCol w:w="995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9950"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The peer group used is the NASDAQ Telecommunications Index, which we also use in the stock performance graph required by Item 201(e) of Regulation S-K under the Securities Exchange Act of 1934, as amended, and included in our Annual Report on Form 10-K for the fiscal year ended June 26, 2026. Peer group total shareholder return is calculated by assuming that a $100 investment was made on the day prior to the first fiscal year reported and reinvesting all dividends until the last day of each reported fiscal year. </w:t>
            </w:r>
          </w:p>
        </w:tc>
      </w:tr>
    </w:tbl>
    <w:tbl>
      <w:tblPr>
        <w:tblW w:w="10145" w:type="dxa"/>
        <w:jc w:val="left"/>
        <w:tblInd w:w="60" w:type="dxa"/>
        <w:tblLayout w:type="fixed"/>
        <w:tblCellMar>
          <w:top w:w="0" w:type="dxa"/>
          <w:left w:w="0" w:type="dxa"/>
          <w:bottom w:w="0" w:type="dxa"/>
          <w:right w:w="0" w:type="dxa"/>
        </w:tblCellMar>
      </w:tblPr>
      <w:tblGrid>
        <w:gridCol w:w="228"/>
        <w:gridCol w:w="9917"/>
      </w:tblGrid>
      <w:tr>
        <w:trPr/>
        <w:tc>
          <w:tcPr>
            <w:tcW w:w="22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991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The dollar amounts reported in this column are the amounts of net income reflected in our audited financial statements for the reported fiscal year. </w:t>
            </w:r>
          </w:p>
        </w:tc>
      </w:tr>
    </w:tbl>
    <w:tbl>
      <w:tblPr>
        <w:tblW w:w="10145" w:type="dxa"/>
        <w:jc w:val="left"/>
        <w:tblInd w:w="60" w:type="dxa"/>
        <w:tblLayout w:type="fixed"/>
        <w:tblCellMar>
          <w:top w:w="0" w:type="dxa"/>
          <w:left w:w="0" w:type="dxa"/>
          <w:bottom w:w="0" w:type="dxa"/>
          <w:right w:w="0" w:type="dxa"/>
        </w:tblCellMar>
      </w:tblPr>
      <w:tblGrid>
        <w:gridCol w:w="206"/>
        <w:gridCol w:w="9939"/>
      </w:tblGrid>
      <w:tr>
        <w:trPr/>
        <w:tc>
          <w:tcPr>
            <w:tcW w:w="20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993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In our assessment, revenue is the most important financial performance measure used by Fabrinet in fiscal 2026 to link CAP to performance. The dollar amounts reported in this column are the amounts of revenue reflected in our audited financial statements for the reported fiscal year. </w:t>
            </w:r>
          </w:p>
        </w:tc>
      </w:tr>
    </w:tbl>
    <w:p>
      <w:pPr>
        <w:pStyle w:val="TextBody"/>
        <w:bidi w:val="0"/>
        <w:spacing w:before="39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Fiscal 2026 Performance Measures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the financial performance measures listed below represent, in our assessment, the most important financial performance measures used in fiscal 2026 to link CAP to company performance. </w:t>
      </w:r>
    </w:p>
    <w:tbl>
      <w:tblPr>
        <w:tblW w:w="1045" w:type="dxa"/>
        <w:jc w:val="left"/>
        <w:tblInd w:w="60" w:type="dxa"/>
        <w:tblLayout w:type="fixed"/>
        <w:tblCellMar>
          <w:top w:w="0" w:type="dxa"/>
          <w:left w:w="0" w:type="dxa"/>
          <w:bottom w:w="0" w:type="dxa"/>
          <w:right w:w="0" w:type="dxa"/>
        </w:tblCellMar>
      </w:tblPr>
      <w:tblGrid>
        <w:gridCol w:w="140"/>
        <w:gridCol w:w="905"/>
      </w:tblGrid>
      <w:tr>
        <w:trPr/>
        <w:tc>
          <w:tcPr>
            <w:tcW w:w="140" w:type="dxa"/>
            <w:tcBorders/>
            <w:vAlign w:val="center"/>
          </w:tcPr>
          <w:p>
            <w:pPr>
              <w:pStyle w:val="TableContents"/>
              <w:bidi w:val="0"/>
              <w:spacing w:before="0" w:after="0"/>
              <w:jc w:val="left"/>
              <w:rPr>
                <w:color w:val="578255"/>
              </w:rPr>
            </w:pPr>
            <w:r>
              <w:rPr>
                <w:color w:val="578255"/>
              </w:rPr>
              <w:t>•</w:t>
            </w:r>
          </w:p>
        </w:tc>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Revenue </w:t>
            </w:r>
          </w:p>
        </w:tc>
      </w:tr>
    </w:tbl>
    <w:tbl>
      <w:tblPr>
        <w:tblW w:w="3580" w:type="dxa"/>
        <w:jc w:val="left"/>
        <w:tblInd w:w="6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0"/>
              <w:jc w:val="left"/>
              <w:rPr>
                <w:color w:val="578255"/>
              </w:rPr>
            </w:pPr>
            <w:r>
              <w:rPr>
                <w:color w:val="578255"/>
              </w:rPr>
              <w:t>•</w:t>
            </w:r>
          </w:p>
        </w:tc>
        <w:tc>
          <w:tcPr>
            <w:tcW w:w="3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Gross margin percentage (non-GAAP) </w:t>
            </w:r>
          </w:p>
        </w:tc>
      </w:tr>
    </w:tbl>
    <w:tbl>
      <w:tblPr>
        <w:tblW w:w="3895" w:type="dxa"/>
        <w:jc w:val="left"/>
        <w:tblInd w:w="60" w:type="dxa"/>
        <w:tblLayout w:type="fixed"/>
        <w:tblCellMar>
          <w:top w:w="0" w:type="dxa"/>
          <w:left w:w="0" w:type="dxa"/>
          <w:bottom w:w="0" w:type="dxa"/>
          <w:right w:w="0" w:type="dxa"/>
        </w:tblCellMar>
      </w:tblPr>
      <w:tblGrid>
        <w:gridCol w:w="140"/>
        <w:gridCol w:w="3755"/>
      </w:tblGrid>
      <w:tr>
        <w:trPr/>
        <w:tc>
          <w:tcPr>
            <w:tcW w:w="140" w:type="dxa"/>
            <w:tcBorders/>
            <w:vAlign w:val="center"/>
          </w:tcPr>
          <w:p>
            <w:pPr>
              <w:pStyle w:val="TableContents"/>
              <w:bidi w:val="0"/>
              <w:spacing w:before="0" w:after="0"/>
              <w:jc w:val="left"/>
              <w:rPr>
                <w:color w:val="578255"/>
              </w:rPr>
            </w:pPr>
            <w:r>
              <w:rPr>
                <w:color w:val="578255"/>
              </w:rPr>
              <w:t>•</w:t>
            </w:r>
          </w:p>
        </w:tc>
        <w:tc>
          <w:tcPr>
            <w:tcW w:w="37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Operating margin percentage (non-GAAP) </w:t>
            </w:r>
          </w:p>
        </w:tc>
      </w:tr>
    </w:tbl>
    <w:tbl>
      <w:tblPr>
        <w:tblW w:w="3655" w:type="dxa"/>
        <w:jc w:val="left"/>
        <w:tblInd w:w="60" w:type="dxa"/>
        <w:tblLayout w:type="fixed"/>
        <w:tblCellMar>
          <w:top w:w="0" w:type="dxa"/>
          <w:left w:w="0" w:type="dxa"/>
          <w:bottom w:w="0" w:type="dxa"/>
          <w:right w:w="0" w:type="dxa"/>
        </w:tblCellMar>
      </w:tblPr>
      <w:tblGrid>
        <w:gridCol w:w="140"/>
        <w:gridCol w:w="3515"/>
      </w:tblGrid>
      <w:tr>
        <w:trPr/>
        <w:tc>
          <w:tcPr>
            <w:tcW w:w="140" w:type="dxa"/>
            <w:tcBorders/>
            <w:vAlign w:val="center"/>
          </w:tcPr>
          <w:p>
            <w:pPr>
              <w:pStyle w:val="TableContents"/>
              <w:bidi w:val="0"/>
              <w:spacing w:before="0" w:after="0"/>
              <w:jc w:val="left"/>
              <w:rPr>
                <w:color w:val="578255"/>
              </w:rPr>
            </w:pPr>
            <w:r>
              <w:rPr>
                <w:color w:val="578255"/>
              </w:rPr>
              <w:t>•</w:t>
            </w:r>
          </w:p>
        </w:tc>
        <w:tc>
          <w:tcPr>
            <w:tcW w:w="35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Earnings per diluted share (non-GAAP) </w:t>
            </w:r>
          </w:p>
        </w:tc>
      </w:tr>
    </w:tbl>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8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86" descr=""/>
                          <pic:cNvPicPr>
                            <a:picLocks noChangeAspect="1" noChangeArrowheads="1"/>
                          </pic:cNvPicPr>
                        </pic:nvPicPr>
                        <pic:blipFill>
                          <a:blip r:embed="rId254"/>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2" w:name="ny20081940x1_def14a_111-pvp_pg4"/>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righ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60" w:after="283"/>
        <w:ind w:left="60" w:right="0" w:hanging="0"/>
        <w:jc w:val="left"/>
        <w:rPr>
          <w:rFonts w:ascii="Arial;Helvetica;sans-serif" w:hAnsi="Arial;Helvetica;sans-serif"/>
          <w:b/>
          <w:color w:val="578255"/>
          <w:sz w:val="24"/>
        </w:rPr>
      </w:pPr>
      <w:r>
        <w:rPr>
          <w:rFonts w:ascii="Arial;Helvetica;sans-serif" w:hAnsi="Arial;Helvetica;sans-serif"/>
          <w:b/>
          <w:color w:val="578255"/>
          <w:sz w:val="24"/>
        </w:rPr>
        <w:t xml:space="preserve">Relationship Between Compensation Actually Paid and Performance Measures </w:t>
      </w:r>
    </w:p>
    <w:p>
      <w:pPr>
        <w:pStyle w:val="TextBody"/>
        <w:bidi w:val="0"/>
        <w:spacing w:before="15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CAP Versus Total Shareholder Return</w:t>
      </w:r>
      <w:r>
        <w:rPr>
          <w:rFonts w:ascii="Arial;Helvetica;sans-serif" w:hAnsi="Arial;Helvetica;sans-serif"/>
          <w:b/>
          <w:i/>
          <w:caps w:val="false"/>
          <w:smallCaps w:val="false"/>
          <w:color w:val="000000"/>
          <w:sz w:val="20"/>
        </w:rPr>
        <w:t xml:space="preserve">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The following graph reflects the relationship between CAP, our cumulative Total Shareholder Return (“</w:t>
      </w:r>
      <w:r>
        <w:rPr>
          <w:rFonts w:ascii="Arial;Helvetica;sans-serif" w:hAnsi="Arial;Helvetica;sans-serif"/>
          <w:b/>
          <w:color w:val="000000"/>
          <w:sz w:val="20"/>
        </w:rPr>
        <w:t>TSR</w:t>
      </w:r>
      <w:r>
        <w:rPr>
          <w:rFonts w:ascii="Arial;Helvetica;sans-serif" w:hAnsi="Arial;Helvetica;sans-serif"/>
          <w:color w:val="000000"/>
          <w:sz w:val="20"/>
        </w:rPr>
        <w:t>”) and the TSR of the NASDAQ Telecommunications Index (“</w:t>
      </w:r>
      <w:r>
        <w:rPr>
          <w:rFonts w:ascii="Arial;Helvetica;sans-serif" w:hAnsi="Arial;Helvetica;sans-serif"/>
          <w:b/>
          <w:color w:val="000000"/>
          <w:sz w:val="20"/>
        </w:rPr>
        <w:t>Peer TSR</w:t>
      </w:r>
      <w:r>
        <w:rPr>
          <w:rFonts w:ascii="Arial;Helvetica;sans-serif" w:hAnsi="Arial;Helvetica;sans-serif"/>
          <w:color w:val="000000"/>
          <w:sz w:val="20"/>
        </w:rPr>
        <w:t xml:space="preserve">”), assuming an initial fixed investment on June 25, 2021 of $100. </w:t>
      </w:r>
    </w:p>
    <w:p>
      <w:pPr>
        <w:pStyle w:val="TextBody"/>
        <w:bidi w:val="0"/>
        <w:spacing w:before="305" w:after="283"/>
        <w:jc w:val="center"/>
        <w:rPr>
          <w:color w:val="000000"/>
        </w:rPr>
      </w:pPr>
      <w:r>
        <w:rPr>
          <w:color w:val="000000"/>
        </w:rPr>
        <w:drawing>
          <wp:inline distT="0" distB="0" distL="0" distR="0">
            <wp:extent cx="5495925" cy="3209925"/>
            <wp:effectExtent l="0" t="0" r="0" b="0"/>
            <wp:docPr id="38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87" descr=""/>
                    <pic:cNvPicPr>
                      <a:picLocks noChangeAspect="1" noChangeArrowheads="1"/>
                    </pic:cNvPicPr>
                  </pic:nvPicPr>
                  <pic:blipFill>
                    <a:blip r:embed="rId255"/>
                    <a:stretch>
                      <a:fillRect/>
                    </a:stretch>
                  </pic:blipFill>
                  <pic:spPr bwMode="auto">
                    <a:xfrm>
                      <a:off x="0" y="0"/>
                      <a:ext cx="5495925" cy="3209925"/>
                    </a:xfrm>
                    <a:prstGeom prst="rect">
                      <a:avLst/>
                    </a:prstGeom>
                  </pic:spPr>
                </pic:pic>
              </a:graphicData>
            </a:graphic>
          </wp:inline>
        </w:drawing>
      </w:r>
    </w:p>
    <w:p>
      <w:pPr>
        <w:pStyle w:val="TextBody"/>
        <w:bidi w:val="0"/>
        <w:spacing w:before="0" w:after="283"/>
        <w:ind w:left="60" w:right="0" w:hanging="0"/>
        <w:jc w:val="left"/>
        <w:rPr>
          <w:color w:val="000000"/>
        </w:rPr>
      </w:pPr>
      <w:r>
        <w:rPr>
          <w:color w:val="000000"/>
        </w:rPr>
        <w:t> </w:t>
      </w:r>
    </w:p>
    <w:p>
      <w:pPr>
        <w:pStyle w:val="TextBody"/>
        <w:bidi w:val="0"/>
        <w:spacing w:before="40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CAP Versus Net Income and Revenue</w:t>
      </w:r>
      <w:r>
        <w:rPr>
          <w:rFonts w:ascii="Arial;Helvetica;sans-serif" w:hAnsi="Arial;Helvetica;sans-serif"/>
          <w:b/>
          <w:i/>
          <w:caps w:val="false"/>
          <w:smallCaps w:val="false"/>
          <w:color w:val="000000"/>
          <w:sz w:val="20"/>
        </w:rPr>
        <w:t xml:space="preserve"> </w:t>
      </w:r>
    </w:p>
    <w:p>
      <w:pPr>
        <w:pStyle w:val="TextBody"/>
        <w:bidi w:val="0"/>
        <w:spacing w:before="14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graph reflects the relationship between CAP, our net income and our revenue. </w:t>
      </w:r>
    </w:p>
    <w:p>
      <w:pPr>
        <w:pStyle w:val="TextBody"/>
        <w:bidi w:val="0"/>
        <w:spacing w:before="295" w:after="283"/>
        <w:jc w:val="center"/>
        <w:rPr>
          <w:color w:val="000000"/>
        </w:rPr>
      </w:pPr>
      <w:r>
        <w:rPr>
          <w:color w:val="000000"/>
        </w:rPr>
        <w:drawing>
          <wp:inline distT="0" distB="0" distL="0" distR="0">
            <wp:extent cx="5495925" cy="3209925"/>
            <wp:effectExtent l="0" t="0" r="0" b="0"/>
            <wp:docPr id="38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88" descr=""/>
                    <pic:cNvPicPr>
                      <a:picLocks noChangeAspect="1" noChangeArrowheads="1"/>
                    </pic:cNvPicPr>
                  </pic:nvPicPr>
                  <pic:blipFill>
                    <a:blip r:embed="rId256"/>
                    <a:stretch>
                      <a:fillRect/>
                    </a:stretch>
                  </pic:blipFill>
                  <pic:spPr bwMode="auto">
                    <a:xfrm>
                      <a:off x="0" y="0"/>
                      <a:ext cx="5495925" cy="3209925"/>
                    </a:xfrm>
                    <a:prstGeom prst="rect">
                      <a:avLst/>
                    </a:prstGeom>
                  </pic:spPr>
                </pic:pic>
              </a:graphicData>
            </a:graphic>
          </wp:inline>
        </w:drawing>
      </w:r>
    </w:p>
    <w:p>
      <w:pPr>
        <w:pStyle w:val="TextBody"/>
        <w:bidi w:val="0"/>
        <w:spacing w:before="0" w:after="283"/>
        <w:ind w:left="60" w:right="0" w:hanging="0"/>
        <w:jc w:val="left"/>
        <w:rPr>
          <w:color w:val="000000"/>
        </w:rPr>
      </w:pPr>
      <w:r>
        <w:rPr>
          <w:color w:val="000000"/>
        </w:rPr>
        <w:t> </w:t>
      </w:r>
    </w:p>
    <w:tbl>
      <w:tblPr>
        <w:tblW w:w="2915" w:type="dxa"/>
        <w:jc w:val="left"/>
        <w:tblInd w:w="6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9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89" descr=""/>
                          <pic:cNvPicPr>
                            <a:picLocks noChangeAspect="1" noChangeArrowheads="1"/>
                          </pic:cNvPicPr>
                        </pic:nvPicPr>
                        <pic:blipFill>
                          <a:blip r:embed="rId257"/>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65</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3" w:name="ny20081940x1_def14a_111-pvp_pg5"/>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44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ADDITIONAL COMPENSATION MATTERS </w:t>
      </w:r>
    </w:p>
    <w:p>
      <w:pPr>
        <w:pStyle w:val="TextBody"/>
        <w:bidi w:val="0"/>
        <w:spacing w:before="190" w:after="283"/>
        <w:ind w:left="60" w:right="0" w:hanging="0"/>
        <w:jc w:val="left"/>
        <w:rPr>
          <w:rFonts w:ascii="Arial;Helvetica;sans-serif" w:hAnsi="Arial;Helvetica;sans-serif"/>
          <w:b/>
          <w:color w:val="000000"/>
          <w:sz w:val="28"/>
        </w:rPr>
      </w:pPr>
      <w:bookmarkStart w:id="224" w:name="tPPR"/>
      <w:bookmarkEnd w:id="224"/>
      <w:r>
        <w:rPr>
          <w:rFonts w:ascii="Arial;Helvetica;sans-serif" w:hAnsi="Arial;Helvetica;sans-serif"/>
          <w:b/>
          <w:color w:val="000000"/>
          <w:sz w:val="28"/>
        </w:rPr>
        <w:t xml:space="preserve">Policies and Practices Related to the Grant of Certain Equity Awards </w:t>
      </w:r>
    </w:p>
    <w:p>
      <w:pPr>
        <w:pStyle w:val="TextBody"/>
        <w:bidi w:val="0"/>
        <w:spacing w:before="120" w:after="283"/>
        <w:ind w:left="60" w:right="0" w:hanging="0"/>
        <w:jc w:val="both"/>
        <w:rPr>
          <w:rFonts w:ascii="Arial;Helvetica;sans-serif" w:hAnsi="Arial;Helvetica;sans-serif"/>
          <w:color w:val="000000"/>
          <w:sz w:val="20"/>
        </w:rPr>
      </w:pPr>
      <w:r>
        <w:rPr>
          <w:rFonts w:ascii="Arial;Helvetica;sans-serif" w:hAnsi="Arial;Helvetica;sans-serif"/>
          <w:color w:val="000000"/>
          <w:sz w:val="20"/>
        </w:rPr>
        <w:t xml:space="preserve">Since 2013, the only equity awards we have granted are time-based restricted share units (RSUs) and performance-based restricted share units (PSUs). Our Compensation Committee approves equity award grants in accordance with a predetermined schedule, which coincides with regularly scheduled Compensation Committee meetings that are scheduled more than one year in advance. We do not grant equity awards in anticipation of the release of material nonpublic information. Similarly, we do not time the release of material nonpublic information based on equity award grant dates. </w:t>
      </w:r>
    </w:p>
    <w:tbl>
      <w:tblPr>
        <w:tblW w:w="3390" w:type="dxa"/>
        <w:jc w:val="left"/>
        <w:tblInd w:w="6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9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90" descr=""/>
                          <pic:cNvPicPr>
                            <a:picLocks noChangeAspect="1" noChangeArrowheads="1"/>
                          </pic:cNvPicPr>
                        </pic:nvPicPr>
                        <pic:blipFill>
                          <a:blip r:embed="rId258"/>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5" w:name="ny20081940x1_def14a_112-certain_pg1"/>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26" w:name="tCRT"/>
      <w:bookmarkEnd w:id="226"/>
      <w:r>
        <w:rPr>
          <w:rFonts w:ascii="Arial;Helvetica;sans-serif" w:hAnsi="Arial;Helvetica;sans-serif"/>
          <w:b/>
          <w:color w:val="578255"/>
          <w:sz w:val="44"/>
        </w:rPr>
        <w:t xml:space="preserve">CERTAIN RELATIONSHIPS AND RELATED TRANSACTIONS </w:t>
      </w:r>
    </w:p>
    <w:p>
      <w:pPr>
        <w:pStyle w:val="TextBody"/>
        <w:bidi w:val="0"/>
        <w:spacing w:before="280" w:after="283"/>
        <w:ind w:left="0" w:right="0" w:hanging="0"/>
        <w:jc w:val="left"/>
        <w:rPr>
          <w:rFonts w:ascii="Arial;Helvetica;sans-serif" w:hAnsi="Arial;Helvetica;sans-serif"/>
          <w:b/>
          <w:color w:val="000000"/>
          <w:sz w:val="28"/>
        </w:rPr>
      </w:pPr>
      <w:bookmarkStart w:id="227" w:name="tCPT"/>
      <w:bookmarkEnd w:id="227"/>
      <w:r>
        <w:rPr>
          <w:rFonts w:ascii="Arial;Helvetica;sans-serif" w:hAnsi="Arial;Helvetica;sans-serif"/>
          <w:b/>
          <w:color w:val="000000"/>
          <w:sz w:val="28"/>
        </w:rPr>
        <w:t xml:space="preserve">Related Party Transactions </w:t>
      </w:r>
    </w:p>
    <w:p>
      <w:pPr>
        <w:pStyle w:val="TextBody"/>
        <w:bidi w:val="0"/>
        <w:spacing w:before="430" w:after="283"/>
        <w:ind w:left="0" w:right="0" w:hanging="0"/>
        <w:jc w:val="left"/>
        <w:rPr>
          <w:rFonts w:ascii="Arial;Helvetica;sans-serif" w:hAnsi="Arial;Helvetica;sans-serif"/>
          <w:b/>
          <w:color w:val="000000"/>
          <w:sz w:val="28"/>
        </w:rPr>
      </w:pPr>
      <w:bookmarkStart w:id="228" w:name="tPPT"/>
      <w:bookmarkEnd w:id="228"/>
      <w:r>
        <w:rPr>
          <w:rFonts w:ascii="Arial;Helvetica;sans-serif" w:hAnsi="Arial;Helvetica;sans-serif"/>
          <w:b/>
          <w:color w:val="000000"/>
          <w:sz w:val="28"/>
        </w:rPr>
        <w:t xml:space="preserve">Policy for Approval of Related Party Transactions </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3124200" cy="1871980"/>
                <wp:effectExtent l="0" t="0" r="0" b="0"/>
                <wp:wrapSquare wrapText="right"/>
                <wp:docPr id="392" name="Frame135"/>
                <a:graphic xmlns:a="http://schemas.openxmlformats.org/drawingml/2006/main">
                  <a:graphicData uri="http://schemas.microsoft.com/office/word/2010/wordprocessingShape">
                    <wps:wsp>
                      <wps:cNvSpPr txBox="1"/>
                      <wps:spPr>
                        <a:xfrm>
                          <a:off x="0" y="0"/>
                          <a:ext cx="3124200" cy="1871980"/>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section describes transactions since the beginning of fiscal 2026 to which we were a party or will be a party, in which the amounts involved exceeded or will exceed $120,000 and in which the following persons had or will have a direct or indirect material interest: </w:t>
                            </w:r>
                          </w:p>
                          <w:tbl>
                            <w:tblPr>
                              <w:tblW w:w="3850" w:type="dxa"/>
                              <w:jc w:val="left"/>
                              <w:tblInd w:w="0" w:type="dxa"/>
                              <w:tblLayout w:type="fixed"/>
                              <w:tblCellMar>
                                <w:top w:w="0" w:type="dxa"/>
                                <w:left w:w="0" w:type="dxa"/>
                                <w:bottom w:w="0" w:type="dxa"/>
                                <w:right w:w="0" w:type="dxa"/>
                              </w:tblCellMar>
                            </w:tblPr>
                            <w:tblGrid>
                              <w:gridCol w:w="140"/>
                              <w:gridCol w:w="3710"/>
                            </w:tblGrid>
                            <w:tr>
                              <w:trPr/>
                              <w:tc>
                                <w:tcPr>
                                  <w:tcW w:w="140" w:type="dxa"/>
                                  <w:tcBorders/>
                                  <w:vAlign w:val="center"/>
                                </w:tcPr>
                                <w:p>
                                  <w:pPr>
                                    <w:pStyle w:val="TableContents"/>
                                    <w:bidi w:val="0"/>
                                    <w:spacing w:before="0" w:after="0"/>
                                    <w:jc w:val="left"/>
                                    <w:rPr>
                                      <w:color w:val="578255"/>
                                    </w:rPr>
                                  </w:pPr>
                                  <w:r>
                                    <w:rPr>
                                      <w:color w:val="578255"/>
                                    </w:rPr>
                                    <w:t>•</w:t>
                                  </w:r>
                                </w:p>
                              </w:tc>
                              <w:tc>
                                <w:tcPr>
                                  <w:tcW w:w="3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of our directors or executive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nominee for election as one of our directors;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578255"/>
                                    </w:rPr>
                                  </w:pPr>
                                  <w:r>
                                    <w:rPr>
                                      <w:color w:val="578255"/>
                                    </w:rPr>
                                    <w:t>•</w:t>
                                  </w:r>
                                </w:p>
                              </w:tc>
                              <w:tc>
                                <w:tcPr>
                                  <w:tcW w:w="83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person or entity that beneficially owns more than five percent of our outstanding shares; or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578255"/>
                                    </w:rPr>
                                  </w:pPr>
                                  <w:r>
                                    <w:rPr>
                                      <w:color w:val="578255"/>
                                    </w:rPr>
                                    <w:t>•</w:t>
                                  </w:r>
                                </w:p>
                              </w:tc>
                              <w:tc>
                                <w:tcPr>
                                  <w:tcW w:w="61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member of the immediate family of any of the foregoing persons.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6pt;height:1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section describes transactions since the beginning of fiscal 2026 to which we were a party or will be a party, in which the amounts involved exceeded or will exceed $120,000 and in which the following persons had or will have a direct or indirect material interest: </w:t>
                      </w:r>
                    </w:p>
                    <w:tbl>
                      <w:tblPr>
                        <w:tblW w:w="3850" w:type="dxa"/>
                        <w:jc w:val="left"/>
                        <w:tblInd w:w="0" w:type="dxa"/>
                        <w:tblLayout w:type="fixed"/>
                        <w:tblCellMar>
                          <w:top w:w="0" w:type="dxa"/>
                          <w:left w:w="0" w:type="dxa"/>
                          <w:bottom w:w="0" w:type="dxa"/>
                          <w:right w:w="0" w:type="dxa"/>
                        </w:tblCellMar>
                      </w:tblPr>
                      <w:tblGrid>
                        <w:gridCol w:w="140"/>
                        <w:gridCol w:w="3710"/>
                      </w:tblGrid>
                      <w:tr>
                        <w:trPr/>
                        <w:tc>
                          <w:tcPr>
                            <w:tcW w:w="140" w:type="dxa"/>
                            <w:tcBorders/>
                            <w:vAlign w:val="center"/>
                          </w:tcPr>
                          <w:p>
                            <w:pPr>
                              <w:pStyle w:val="TableContents"/>
                              <w:bidi w:val="0"/>
                              <w:spacing w:before="0" w:after="0"/>
                              <w:jc w:val="left"/>
                              <w:rPr>
                                <w:color w:val="578255"/>
                              </w:rPr>
                            </w:pPr>
                            <w:r>
                              <w:rPr>
                                <w:color w:val="578255"/>
                              </w:rPr>
                              <w:t>•</w:t>
                            </w:r>
                          </w:p>
                        </w:tc>
                        <w:tc>
                          <w:tcPr>
                            <w:tcW w:w="3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of our directors or executive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nominee for election as one of our directors;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578255"/>
                              </w:rPr>
                            </w:pPr>
                            <w:r>
                              <w:rPr>
                                <w:color w:val="578255"/>
                              </w:rPr>
                              <w:t>•</w:t>
                            </w:r>
                          </w:p>
                        </w:tc>
                        <w:tc>
                          <w:tcPr>
                            <w:tcW w:w="836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person or entity that beneficially owns more than five percent of our outstanding shares; or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578255"/>
                              </w:rPr>
                            </w:pPr>
                            <w:r>
                              <w:rPr>
                                <w:color w:val="578255"/>
                              </w:rPr>
                              <w:t>•</w:t>
                            </w:r>
                          </w:p>
                        </w:tc>
                        <w:tc>
                          <w:tcPr>
                            <w:tcW w:w="61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member of the immediate family of any of the foregoing persons.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334">
                <wp:simplePos x="0" y="0"/>
                <wp:positionH relativeFrom="column">
                  <wp:align>left</wp:align>
                </wp:positionH>
                <wp:positionV relativeFrom="line">
                  <wp:posOffset>635</wp:posOffset>
                </wp:positionV>
                <wp:extent cx="3124200" cy="2386330"/>
                <wp:effectExtent l="0" t="0" r="0" b="0"/>
                <wp:wrapSquare wrapText="right"/>
                <wp:docPr id="393" name="Frame136"/>
                <a:graphic xmlns:a="http://schemas.openxmlformats.org/drawingml/2006/main">
                  <a:graphicData uri="http://schemas.microsoft.com/office/word/2010/wordprocessingShape">
                    <wps:wsp>
                      <wps:cNvSpPr txBox="1"/>
                      <wps:spPr>
                        <a:xfrm>
                          <a:off x="0" y="0"/>
                          <a:ext cx="3124200" cy="2386330"/>
                        </a:xfrm>
                        <a:prstGeom prst="rect"/>
                        <a:solidFill>
                          <a:srgbClr val="FFFFFF"/>
                        </a:solidFill>
                      </wps:spPr>
                      <wps:txbx>
                        <w:txbxContent>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Employment of Family Member</w:t>
                            </w:r>
                            <w:r>
                              <w:rPr>
                                <w:rFonts w:ascii="Arial;Helvetica;sans-serif" w:hAnsi="Arial;Helvetica;sans-serif"/>
                                <w:b/>
                                <w:i/>
                                <w:caps w:val="false"/>
                                <w:smallCaps w:val="false"/>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Dr. Soon Kaewchansilp, father-in-law of David T. (Tom) Mitchell, was appointed in March 2015 as the first Fabrinet Fellow in recognition of his many years of exemplary service to Fabrinet. As a Fabrinet Fellow, Dr. Kaewchansilp will continue to serve as Fabrinet’s ambassador to the Thai-American Chamber of Commerce, liaise with Thai government officials on behalf of Fabrinet, and mentor our employees in Thailand. In fiscal 2026, Dr. Kaewchansilp received total cash compensation of $180,000. Dr. Kaewchansilp will receive a lump sum payment of $500,000 when his relationship with Fabrinet concludes. </w:t>
                            </w:r>
                          </w:p>
                        </w:txbxContent>
                      </wps:txbx>
                      <wps:bodyPr anchor="t" lIns="0" tIns="0" rIns="0" bIns="0">
                        <a:noAutofit/>
                      </wps:bodyPr>
                    </wps:wsp>
                  </a:graphicData>
                </a:graphic>
              </wp:anchor>
            </w:drawing>
          </mc:Choice>
          <mc:Fallback>
            <w:pict>
              <v:rect style="position:absolute;rotation:-0;width:246pt;height:187.9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Employment of Family Member</w:t>
                      </w:r>
                      <w:r>
                        <w:rPr>
                          <w:rFonts w:ascii="Arial;Helvetica;sans-serif" w:hAnsi="Arial;Helvetica;sans-serif"/>
                          <w:b/>
                          <w:i/>
                          <w:caps w:val="false"/>
                          <w:smallCaps w:val="false"/>
                          <w:color w:val="000000"/>
                          <w:sz w:val="20"/>
                        </w:rPr>
                        <w:t xml:space="preserv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Dr. Soon Kaewchansilp, father-in-law of David T. (Tom) Mitchell, was appointed in March 2015 as the first Fabrinet Fellow in recognition of his many years of exemplary service to Fabrinet. As a Fabrinet Fellow, Dr. Kaewchansilp will continue to serve as Fabrinet’s ambassador to the Thai-American Chamber of Commerce, liaise with Thai government officials on behalf of Fabrinet, and mentor our employees in Thailand. In fiscal 2026, Dr. Kaewchansilp received total cash compensation of $180,000. Dr. Kaewchansilp will receive a lump sum payment of $500,000 when his relationship with Fabrinet concludes.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3124200" cy="1254125"/>
                <wp:effectExtent l="0" t="0" r="0" b="0"/>
                <wp:wrapSquare wrapText="right"/>
                <wp:docPr id="394" name="Frame137"/>
                <a:graphic xmlns:a="http://schemas.openxmlformats.org/drawingml/2006/main">
                  <a:graphicData uri="http://schemas.microsoft.com/office/word/2010/wordprocessingShape">
                    <wps:wsp>
                      <wps:cNvSpPr txBox="1"/>
                      <wps:spPr>
                        <a:xfrm>
                          <a:off x="0" y="0"/>
                          <a:ext cx="3124200" cy="125412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the Audit Committee’s charter, the Audit Committee reviews and pre-approves in writing any proposed related person transactions. The most significant related person transactions, particularly those involving our directors and officers, will be reviewed and pre-approved in writing by the Board. We will report all such material related person transactions under </w:t>
                            </w:r>
                          </w:p>
                        </w:txbxContent>
                      </wps:txbx>
                      <wps:bodyPr anchor="t" lIns="0" tIns="0" rIns="0" bIns="0">
                        <a:noAutofit/>
                      </wps:bodyPr>
                    </wps:wsp>
                  </a:graphicData>
                </a:graphic>
              </wp:anchor>
            </w:drawing>
          </mc:Choice>
          <mc:Fallback>
            <w:pict>
              <v:rect style="position:absolute;rotation:-0;width:246pt;height:9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the Audit Committee’s charter, the Audit Committee reviews and pre-approves in writing any proposed related person transactions. The most significant related person transactions, particularly those involving our directors and officers, will be reviewed and pre-approved in writing by the Board. We will report all such material related person transactions under </w:t>
                      </w:r>
                    </w:p>
                  </w:txbxContent>
                </v:textbox>
                <w10:wrap type="square" side="right"/>
              </v:rect>
            </w:pict>
          </mc:Fallback>
        </mc:AlternateContent>
      </w:r>
      <w:r>
        <mc:AlternateContent>
          <mc:Choice Requires="wps">
            <w:drawing>
              <wp:anchor behindDoc="0" distT="0" distB="0" distL="228600" distR="0" simplePos="0" locked="0" layoutInCell="1" allowOverlap="1" relativeHeight="336">
                <wp:simplePos x="0" y="0"/>
                <wp:positionH relativeFrom="column">
                  <wp:align>left</wp:align>
                </wp:positionH>
                <wp:positionV relativeFrom="line">
                  <wp:posOffset>635</wp:posOffset>
                </wp:positionV>
                <wp:extent cx="3124200" cy="1108075"/>
                <wp:effectExtent l="0" t="0" r="0" b="0"/>
                <wp:wrapSquare wrapText="right"/>
                <wp:docPr id="395" name="Frame138"/>
                <a:graphic xmlns:a="http://schemas.openxmlformats.org/drawingml/2006/main">
                  <a:graphicData uri="http://schemas.microsoft.com/office/word/2010/wordprocessingShape">
                    <wps:wsp>
                      <wps:cNvSpPr txBox="1"/>
                      <wps:spPr>
                        <a:xfrm>
                          <a:off x="0" y="0"/>
                          <a:ext cx="3124200" cy="1108075"/>
                        </a:xfrm>
                        <a:prstGeom prst="rect"/>
                        <a:solidFill>
                          <a:srgbClr val="FFFFFF"/>
                        </a:solidFill>
                      </wps:spPr>
                      <wps:txb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applicable accounting rules, federal securities laws and SEC rules and regulations. Any dealings with a related person must be conducted in such a way that does not give us or the related person preferential treatment. For purposes of these procedures, “related person” and “transaction” have the meanings contained in Item 404 of Regulation S-K. </w:t>
                            </w:r>
                          </w:p>
                        </w:txbxContent>
                      </wps:txbx>
                      <wps:bodyPr anchor="t" lIns="0" tIns="0" rIns="0" bIns="0">
                        <a:noAutofit/>
                      </wps:bodyPr>
                    </wps:wsp>
                  </a:graphicData>
                </a:graphic>
              </wp:anchor>
            </w:drawing>
          </mc:Choice>
          <mc:Fallback>
            <w:pict>
              <v:rect style="position:absolute;rotation:-0;width:246pt;height:87.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applicable accounting rules, federal securities laws and SEC rules and regulations. Any dealings with a related person must be conducted in such a way that does not give us or the related person preferential treatment. For purposes of these procedures, “related person” and “transaction” have the meanings contained in Item 404 of Regulation S-K. </w:t>
                      </w:r>
                    </w:p>
                  </w:txbxContent>
                </v:textbox>
                <w10:wrap type="square" side="right"/>
              </v:rect>
            </w:pict>
          </mc:Fallback>
        </mc:AlternateConten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9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91" descr=""/>
                          <pic:cNvPicPr>
                            <a:picLocks noChangeAspect="1" noChangeArrowheads="1"/>
                          </pic:cNvPicPr>
                        </pic:nvPicPr>
                        <pic:blipFill>
                          <a:blip r:embed="rId259"/>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67</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9" w:name="ny20081940x1_def14a_112-certain_pg2"/>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30" w:name="tSOM"/>
      <w:bookmarkEnd w:id="230"/>
      <w:r>
        <w:rPr>
          <w:rFonts w:ascii="Arial;Helvetica;sans-serif" w:hAnsi="Arial;Helvetica;sans-serif"/>
          <w:b/>
          <w:color w:val="578255"/>
          <w:sz w:val="44"/>
        </w:rPr>
        <w:t xml:space="preserve">SECURITY OWNERSHIP BY PRINCIPAL SHAREHOLDERS AND MANAGEMENT </w:t>
      </w:r>
    </w:p>
    <w:p>
      <w:pPr>
        <w:pStyle w:val="TextBody"/>
        <w:bidi w:val="0"/>
        <w:spacing w:lineRule="atLeast" w:line="240" w:before="3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with respect to the beneficial ownership of our ordinary shares as of September 30, 2026, for: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578255"/>
              </w:rPr>
            </w:pPr>
            <w:r>
              <w:rPr>
                <w:color w:val="578255"/>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person (or group of affiliated persons) who is known by us to beneficially own more than 5% of our ordinary shares;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578255"/>
              </w:rPr>
            </w:pPr>
            <w:r>
              <w:rPr>
                <w:color w:val="578255"/>
              </w:rPr>
              <w:t>•</w:t>
            </w:r>
          </w:p>
        </w:tc>
        <w:tc>
          <w:tcPr>
            <w:tcW w:w="2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Officers; </w:t>
            </w:r>
          </w:p>
        </w:tc>
      </w:tr>
    </w:tbl>
    <w:tbl>
      <w:tblPr>
        <w:tblW w:w="4480" w:type="dxa"/>
        <w:jc w:val="left"/>
        <w:tblInd w:w="0" w:type="dxa"/>
        <w:tblLayout w:type="fixed"/>
        <w:tblCellMar>
          <w:top w:w="0" w:type="dxa"/>
          <w:left w:w="0" w:type="dxa"/>
          <w:bottom w:w="0" w:type="dxa"/>
          <w:right w:w="0" w:type="dxa"/>
        </w:tblCellMar>
      </w:tblPr>
      <w:tblGrid>
        <w:gridCol w:w="140"/>
        <w:gridCol w:w="4340"/>
      </w:tblGrid>
      <w:tr>
        <w:trPr/>
        <w:tc>
          <w:tcPr>
            <w:tcW w:w="140" w:type="dxa"/>
            <w:tcBorders/>
            <w:vAlign w:val="center"/>
          </w:tcPr>
          <w:p>
            <w:pPr>
              <w:pStyle w:val="TableContents"/>
              <w:bidi w:val="0"/>
              <w:spacing w:before="0" w:after="0"/>
              <w:jc w:val="left"/>
              <w:rPr>
                <w:color w:val="578255"/>
              </w:rPr>
            </w:pPr>
            <w:r>
              <w:rPr>
                <w:color w:val="578255"/>
              </w:rPr>
              <w:t>•</w:t>
            </w:r>
          </w:p>
        </w:tc>
        <w:tc>
          <w:tcPr>
            <w:tcW w:w="43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and director nominees;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578255"/>
              </w:rPr>
            </w:pPr>
            <w:r>
              <w:rPr>
                <w:color w:val="578255"/>
              </w:rPr>
              <w:t>•</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directors and current executive officers as a group. </w:t>
            </w:r>
          </w:p>
        </w:tc>
      </w:tr>
    </w:tbl>
    <w:p>
      <w:pPr>
        <w:pStyle w:val="TextBody"/>
        <w:bidi w:val="0"/>
        <w:spacing w:lineRule="atLeast" w:line="240" w:before="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determined beneficial ownership in accordance with SEC rules. Except as indicated in the footnotes below, and subject to applicable community property laws, we believe, based on the information furnished to us, the persons and entities named in the table below have sole voting and investment power with respect to all ordinary shares shown as beneficially owned by them. Percentage of beneficial ownership is based on 35,833,867 ordinary shares outstanding as of September 30, 2026 (which excludes 3,964,001 ordinary shares held by us as treasury shares). In computing the number of ordinary shares beneficially owned by a person or entity and the percentage ownership of that person or entity, we deemed to be outstanding all ordinary shares as to which such person or entity has the right to acquire within 60 days of September 30, 2026, through the exercise of any option or other right. We did not deem these shares outstanding, however, for the purpose of computing the percentage ownership of any other person or entity. Unless otherwise noted below, the address of each beneficial owner named below is c/o Fabrinet USA, Inc., 4900 Patrick Henry Drive, Santa Clara, CA 95054. </w:t>
      </w:r>
    </w:p>
    <w:tbl>
      <w:tblPr>
        <w:tblW w:w="8295" w:type="dxa"/>
        <w:jc w:val="left"/>
        <w:tblInd w:w="0" w:type="dxa"/>
        <w:tblLayout w:type="fixed"/>
        <w:tblCellMar>
          <w:top w:w="0" w:type="dxa"/>
          <w:left w:w="0" w:type="dxa"/>
          <w:bottom w:w="0" w:type="dxa"/>
          <w:right w:w="0" w:type="dxa"/>
        </w:tblCellMar>
      </w:tblPr>
      <w:tblGrid>
        <w:gridCol w:w="185"/>
        <w:gridCol w:w="5195"/>
        <w:gridCol w:w="170"/>
        <w:gridCol w:w="170"/>
        <w:gridCol w:w="1010"/>
        <w:gridCol w:w="170"/>
        <w:gridCol w:w="170"/>
        <w:gridCol w:w="1010"/>
        <w:gridCol w:w="215"/>
      </w:tblGrid>
      <w:tr>
        <w:trPr/>
        <w:tc>
          <w:tcPr>
            <w:tcW w:w="185" w:type="dxa"/>
            <w:tcBorders/>
            <w:shd w:fill="819F7C" w:val="clear"/>
            <w:vAlign w:val="center"/>
          </w:tcPr>
          <w:p>
            <w:pPr>
              <w:pStyle w:val="TableContents"/>
              <w:bidi w:val="0"/>
              <w:spacing w:before="0" w:after="0"/>
              <w:jc w:val="left"/>
              <w:rPr/>
            </w:pPr>
            <w:r>
              <w:rPr/>
              <w:t> </w:t>
            </w:r>
          </w:p>
        </w:tc>
        <w:tc>
          <w:tcPr>
            <w:tcW w:w="519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195"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Owned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010" w:type="dxa"/>
            <w:tcBorders/>
            <w:shd w:fill="819F7C"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Percentage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Owned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5% Shareholders: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BlackRock, Inc.</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3,852,554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10.75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Vanguard Portfolio Management</w:t>
            </w:r>
            <w:r>
              <w:rPr>
                <w:rFonts w:ascii="Arial;Helvetica;sans-serif" w:hAnsi="Arial;Helvetica;sans-serif"/>
                <w:color w:val="000000"/>
                <w:position w:val="5"/>
                <w:sz w:val="13"/>
                <w:sz w:val="16"/>
              </w:rPr>
              <w:t>(2)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2,166,241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6.05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 Rowe Price Associates, Inc.</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1,941,001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5.42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Vanguard Capital Management</w:t>
            </w:r>
            <w:r>
              <w:rPr>
                <w:rFonts w:ascii="Arial;Helvetica;sans-serif" w:hAnsi="Arial;Helvetica;sans-serif"/>
                <w:color w:val="000000"/>
                <w:position w:val="5"/>
                <w:sz w:val="13"/>
                <w:sz w:val="16"/>
              </w:rPr>
              <w:t>(4)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1,881,214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5.25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FMR LLC</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1,841,854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5.14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Named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Seamus Grady</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15,033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Harpal Gill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Csaba Sverha</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10,297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T. Archer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1,942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Forbes I.J. Alexander</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1,356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Homa Bahrami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15,816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Caroline Dowling</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93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Thomas F. Kelly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16,764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Dr. Frank H. Levinson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6,604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9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directors and current executive officers as a group </w:t>
            </w:r>
            <w:r>
              <w:rPr>
                <w:rFonts w:ascii="Arial;Helvetica;sans-serif" w:hAnsi="Arial;Helvetica;sans-serif"/>
                <w:b w:val="false"/>
                <w:color w:val="000000"/>
                <w:sz w:val="16"/>
              </w:rPr>
              <w:t>(9 persons)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77,344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283"/>
              <w:ind w:left="489"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19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01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w:t>
            </w:r>
          </w:p>
        </w:tc>
        <w:tc>
          <w:tcPr>
            <w:tcW w:w="27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 xml:space="preserve">Represents less than 1% of the total.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9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13G/A filed with the SEC on July 28, 2026, BlackRock, Inc. (“</w:t>
            </w:r>
            <w:r>
              <w:rPr>
                <w:rFonts w:ascii="Arial;Helvetica;sans-serif" w:hAnsi="Arial;Helvetica;sans-serif"/>
                <w:b/>
                <w:color w:val="000000"/>
                <w:sz w:val="15"/>
              </w:rPr>
              <w:t>BlackRock</w:t>
            </w:r>
            <w:r>
              <w:rPr>
                <w:rFonts w:ascii="Arial;Helvetica;sans-serif" w:hAnsi="Arial;Helvetica;sans-serif"/>
                <w:color w:val="000000"/>
                <w:sz w:val="15"/>
              </w:rPr>
              <w:t xml:space="preserve">”) has sole voting power as to 3,673,246 shares and sole dispositive power as to 3,852,554 shares. BlackRock’s address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9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 filed with the SEC on April 28, 2026, Vanguard Portfolio Management (“</w:t>
            </w:r>
            <w:r>
              <w:rPr>
                <w:rFonts w:ascii="Arial;Helvetica;sans-serif" w:hAnsi="Arial;Helvetica;sans-serif"/>
                <w:b/>
                <w:color w:val="000000"/>
                <w:sz w:val="15"/>
              </w:rPr>
              <w:t>VPM</w:t>
            </w:r>
            <w:r>
              <w:rPr>
                <w:rFonts w:ascii="Arial;Helvetica;sans-serif" w:hAnsi="Arial;Helvetica;sans-serif"/>
                <w:color w:val="000000"/>
                <w:sz w:val="15"/>
              </w:rPr>
              <w:t xml:space="preserve">”) has sole voting power as to 32,087 shares and sole dispositive power as to 2,166,241 shares. VPM’s address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99"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13G/A filed with the SEC on July 8, 2026, T. Rowe Price Associates, Inc. (“</w:t>
            </w:r>
            <w:r>
              <w:rPr>
                <w:rFonts w:ascii="Arial;Helvetica;sans-serif" w:hAnsi="Arial;Helvetica;sans-serif"/>
                <w:b/>
                <w:color w:val="000000"/>
                <w:sz w:val="15"/>
              </w:rPr>
              <w:t>T. Rowe Price</w:t>
            </w:r>
            <w:r>
              <w:rPr>
                <w:rFonts w:ascii="Arial;Helvetica;sans-serif" w:hAnsi="Arial;Helvetica;sans-serif"/>
                <w:color w:val="000000"/>
                <w:sz w:val="15"/>
              </w:rPr>
              <w:t xml:space="preserve">”) has sole voting power as to 1,870,142 shares and sole dispositive power as to 1,941,001 shares. T. Rowe Price’s address is 1307 Point Street, Baltimore, MD 21231.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97"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 filed with the SEC on April 28, 2026, Vanguard Capital Management (“</w:t>
            </w:r>
            <w:r>
              <w:rPr>
                <w:rFonts w:ascii="Arial;Helvetica;sans-serif" w:hAnsi="Arial;Helvetica;sans-serif"/>
                <w:b/>
                <w:color w:val="000000"/>
                <w:sz w:val="15"/>
              </w:rPr>
              <w:t>VCM</w:t>
            </w:r>
            <w:r>
              <w:rPr>
                <w:rFonts w:ascii="Arial;Helvetica;sans-serif" w:hAnsi="Arial;Helvetica;sans-serif"/>
                <w:color w:val="000000"/>
                <w:sz w:val="15"/>
              </w:rPr>
              <w:t xml:space="preserve">”) has sole voting power as to 274,233 shares and sole dispositive power as to 1,881,214 shares. VCM’s address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9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Based on a Schedule 13G/A filed with the SEC on August 6, 2026, FMR LLC (“</w:t>
            </w:r>
            <w:r>
              <w:rPr>
                <w:rFonts w:ascii="Arial;Helvetica;sans-serif" w:hAnsi="Arial;Helvetica;sans-serif"/>
                <w:b/>
                <w:color w:val="000000"/>
                <w:sz w:val="15"/>
              </w:rPr>
              <w:t>FMR</w:t>
            </w:r>
            <w:r>
              <w:rPr>
                <w:rFonts w:ascii="Arial;Helvetica;sans-serif" w:hAnsi="Arial;Helvetica;sans-serif"/>
                <w:color w:val="000000"/>
                <w:sz w:val="15"/>
              </w:rPr>
              <w:t xml:space="preserve">”) has sole voting power as to 1,718,079 shares and sole dispositive power as to 1,841,854 shares. FMR’s address is 245 Summer Street, Boston, MA 02210.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630"/>
        <w:gridCol w:w="170"/>
        <w:gridCol w:w="170"/>
        <w:gridCol w:w="186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39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92" descr=""/>
                          <pic:cNvPicPr>
                            <a:picLocks noChangeAspect="1" noChangeArrowheads="1"/>
                          </pic:cNvPicPr>
                        </pic:nvPicPr>
                        <pic:blipFill>
                          <a:blip r:embed="rId260"/>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1" w:name="ny20081940x1_def14a_112-certain_pg3"/>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32" w:name="tECP"/>
      <w:bookmarkEnd w:id="232"/>
      <w:r>
        <w:rPr>
          <w:rFonts w:ascii="Arial;Helvetica;sans-serif" w:hAnsi="Arial;Helvetica;sans-serif"/>
          <w:b/>
          <w:color w:val="578255"/>
          <w:sz w:val="44"/>
        </w:rPr>
        <w:t xml:space="preserve">EQUITY COMPENSATION PLAN INFORMATION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as of June 26, 2026 with respect to our ordinary shares that may be issued under our existing equity compensation plans. </w:t>
      </w:r>
    </w:p>
    <w:tbl>
      <w:tblPr>
        <w:tblW w:w="10205" w:type="dxa"/>
        <w:jc w:val="left"/>
        <w:tblInd w:w="0" w:type="dxa"/>
        <w:tblLayout w:type="fixed"/>
        <w:tblCellMar>
          <w:top w:w="0" w:type="dxa"/>
          <w:left w:w="0" w:type="dxa"/>
          <w:bottom w:w="0" w:type="dxa"/>
          <w:right w:w="0" w:type="dxa"/>
        </w:tblCellMar>
      </w:tblPr>
      <w:tblGrid>
        <w:gridCol w:w="185"/>
        <w:gridCol w:w="4149"/>
        <w:gridCol w:w="170"/>
        <w:gridCol w:w="170"/>
        <w:gridCol w:w="1472"/>
        <w:gridCol w:w="170"/>
        <w:gridCol w:w="170"/>
        <w:gridCol w:w="1276"/>
        <w:gridCol w:w="170"/>
        <w:gridCol w:w="170"/>
        <w:gridCol w:w="1885"/>
        <w:gridCol w:w="218"/>
      </w:tblGrid>
      <w:tr>
        <w:trPr/>
        <w:tc>
          <w:tcPr>
            <w:tcW w:w="185" w:type="dxa"/>
            <w:tcBorders/>
            <w:shd w:fill="819F7C" w:val="clear"/>
            <w:vAlign w:val="center"/>
          </w:tcPr>
          <w:p>
            <w:pPr>
              <w:pStyle w:val="TableContents"/>
              <w:bidi w:val="0"/>
              <w:spacing w:before="0" w:after="0"/>
              <w:jc w:val="left"/>
              <w:rPr/>
            </w:pPr>
            <w:r>
              <w:rPr/>
              <w:t> </w:t>
            </w:r>
          </w:p>
        </w:tc>
        <w:tc>
          <w:tcPr>
            <w:tcW w:w="4149"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72"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76"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0"/>
              <w:jc w:val="left"/>
              <w:rPr/>
            </w:pPr>
            <w:r>
              <w:rPr/>
              <w:t>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4149" w:type="dxa"/>
            <w:tcBorders/>
            <w:shd w:fill="819F7C"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472"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to be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Issued Upon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Exercise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and Rights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276"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Weighted-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Exercise Price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Warrants and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Rights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88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Future Issuance Under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Plans (Excluding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Reflected in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Column (a))</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approved by security holders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283"/>
              <w:ind w:left="803" w:right="0" w:hanging="0"/>
              <w:jc w:val="left"/>
              <w:rPr>
                <w:rFonts w:ascii="Arial;Helvetica;sans-serif" w:hAnsi="Arial;Helvetica;sans-serif"/>
                <w:color w:val="000000"/>
                <w:sz w:val="16"/>
              </w:rPr>
            </w:pPr>
            <w:r>
              <w:rPr>
                <w:rFonts w:ascii="Arial;Helvetica;sans-serif" w:hAnsi="Arial;Helvetica;sans-serif"/>
                <w:color w:val="000000"/>
                <w:sz w:val="16"/>
              </w:rPr>
              <w:t>306,261</w:t>
            </w:r>
            <w:r>
              <w:rPr>
                <w:rFonts w:ascii="Arial;Helvetica;sans-serif" w:hAnsi="Arial;Helvetica;sans-serif"/>
                <w:color w:val="000000"/>
                <w:position w:val="5"/>
                <w:sz w:val="13"/>
                <w:sz w:val="16"/>
              </w:rPr>
              <w:t>(1)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283"/>
              <w:ind w:left="569"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1099" w:right="0" w:hanging="0"/>
              <w:jc w:val="left"/>
              <w:rPr>
                <w:rFonts w:ascii="Arial;Helvetica;sans-serif" w:hAnsi="Arial;Helvetica;sans-serif"/>
                <w:color w:val="000000"/>
                <w:sz w:val="16"/>
              </w:rPr>
            </w:pPr>
            <w:r>
              <w:rPr>
                <w:rFonts w:ascii="Arial;Helvetica;sans-serif" w:hAnsi="Arial;Helvetica;sans-serif"/>
                <w:color w:val="000000"/>
                <w:sz w:val="16"/>
              </w:rPr>
              <w:t xml:space="preserve">1,455,660 </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4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not approved by security holders</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2" w:type="dxa"/>
            <w:tcBorders/>
            <w:vAlign w:val="center"/>
          </w:tcPr>
          <w:p>
            <w:pPr>
              <w:pStyle w:val="TableContents"/>
              <w:bidi w:val="0"/>
              <w:spacing w:before="0" w:after="283"/>
              <w:ind w:left="803" w:right="0" w:hanging="0"/>
              <w:jc w:val="left"/>
              <w:rPr>
                <w:color w:val="000000"/>
                <w:bdr w:val="single" w:sz="8" w:space="4" w:color="000000"/>
              </w:rPr>
            </w:pPr>
            <w:r>
              <w:rPr>
                <w:color w:val="00000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6" w:type="dxa"/>
            <w:tcBorders/>
            <w:vAlign w:val="center"/>
          </w:tcPr>
          <w:p>
            <w:pPr>
              <w:pStyle w:val="TableContents"/>
              <w:bidi w:val="0"/>
              <w:spacing w:before="0" w:after="283"/>
              <w:ind w:left="569" w:right="0" w:hanging="0"/>
              <w:jc w:val="left"/>
              <w:rPr>
                <w:color w:val="000000"/>
                <w:bdr w:val="single" w:sz="8" w:space="4" w:color="000000"/>
              </w:rPr>
            </w:pPr>
            <w:r>
              <w:rPr>
                <w:color w:val="000000"/>
                <w:bdr w:val="single" w:sz="8" w:space="4" w:color="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5" w:type="dxa"/>
            <w:tcBorders/>
            <w:vAlign w:val="center"/>
          </w:tcPr>
          <w:p>
            <w:pPr>
              <w:pStyle w:val="TableContents"/>
              <w:bidi w:val="0"/>
              <w:spacing w:before="0" w:after="283"/>
              <w:ind w:left="1099" w:right="0" w:hanging="0"/>
              <w:jc w:val="left"/>
              <w:rPr>
                <w:rFonts w:ascii="Arial;Helvetica;sans-serif" w:hAnsi="Arial;Helvetica;sans-serif"/>
                <w:color w:val="000000"/>
                <w:sz w:val="16"/>
                <w:bdr w:val="single" w:sz="8" w:space="4" w:color="000000"/>
              </w:rPr>
            </w:pPr>
            <w:r>
              <w:rPr>
                <w:rFonts w:ascii="Arial;Helvetica;sans-serif" w:hAnsi="Arial;Helvetica;sans-serif"/>
                <w:color w:val="000000"/>
                <w:sz w:val="16"/>
                <w:bdr w:val="single" w:sz="8" w:space="4" w:color="000000"/>
              </w:rPr>
              <w:t xml:space="preserve">111,347 </w:t>
            </w:r>
          </w:p>
        </w:tc>
        <w:tc>
          <w:tcPr>
            <w:tcW w:w="218"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283"/>
              <w:ind w:left="803" w:right="0" w:hanging="0"/>
              <w:jc w:val="left"/>
              <w:rPr>
                <w:rFonts w:ascii="Arial;Helvetica;sans-serif" w:hAnsi="Arial;Helvetica;sans-serif"/>
                <w:color w:val="000000"/>
                <w:sz w:val="16"/>
              </w:rPr>
            </w:pPr>
            <w:r>
              <w:rPr>
                <w:rFonts w:ascii="Arial;Helvetica;sans-serif" w:hAnsi="Arial;Helvetica;sans-serif"/>
                <w:color w:val="000000"/>
                <w:sz w:val="16"/>
              </w:rPr>
              <w:t>306,261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283"/>
              <w:ind w:left="569"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283"/>
              <w:ind w:left="1099" w:right="0" w:hanging="0"/>
              <w:jc w:val="left"/>
              <w:rPr>
                <w:rFonts w:ascii="Arial;Helvetica;sans-serif" w:hAnsi="Arial;Helvetica;sans-serif"/>
                <w:color w:val="000000"/>
                <w:sz w:val="16"/>
              </w:rPr>
            </w:pPr>
            <w:r>
              <w:rPr>
                <w:rFonts w:ascii="Arial;Helvetica;sans-serif" w:hAnsi="Arial;Helvetica;sans-serif"/>
                <w:color w:val="000000"/>
                <w:sz w:val="16"/>
              </w:rPr>
              <w:t>1,567,007</w:t>
            </w:r>
          </w:p>
        </w:tc>
        <w:tc>
          <w:tcPr>
            <w:tcW w:w="218"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4149"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472"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276"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885" w:type="dxa"/>
            <w:tcBorders/>
            <w:shd w:fill="E5E9E3" w:val="clear"/>
            <w:vAlign w:val="center"/>
          </w:tcPr>
          <w:p>
            <w:pPr>
              <w:pStyle w:val="TableContents"/>
              <w:bidi w:val="0"/>
              <w:spacing w:before="0" w:after="0"/>
              <w:jc w:val="left"/>
              <w:rPr/>
            </w:pPr>
            <w:r>
              <w:rPr/>
              <w:t> </w:t>
            </w:r>
          </w:p>
        </w:tc>
        <w:tc>
          <w:tcPr>
            <w:tcW w:w="218" w:type="dxa"/>
            <w:tcBorders/>
            <w:shd w:fill="E5E9E3"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9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Consists of shares issuable upon outstanding awards under the 2020 Equity Incentive Plan. This amount represents an aggregate of 211,574 shares subject to RSUs and 94,687 shares subject to PSUs that were outstanding as of June 26, 2026.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05" w:type="dxa"/>
            <w:tcBorders/>
            <w:vAlign w:val="center"/>
          </w:tcPr>
          <w:p>
            <w:pPr>
              <w:pStyle w:val="TableContents"/>
              <w:bidi w:val="0"/>
              <w:spacing w:before="0" w:after="0"/>
              <w:jc w:val="both"/>
              <w:rPr>
                <w:rFonts w:ascii="Arial;Helvetica;sans-serif" w:hAnsi="Arial;Helvetica;sans-serif"/>
                <w:color w:val="000000"/>
                <w:sz w:val="15"/>
              </w:rPr>
            </w:pPr>
            <w:r>
              <w:rPr>
                <w:rFonts w:ascii="Arial;Helvetica;sans-serif" w:hAnsi="Arial;Helvetica;sans-serif"/>
                <w:color w:val="000000"/>
                <w:sz w:val="15"/>
              </w:rPr>
              <w:t xml:space="preserve">We adopted the 2017 Inducement Equity Incentive Plan on November 2, 2017, with a reserve of 160,000 ordinary shares authorized for future issuance solely for the granting of inducement share options and equity awards to new employees. The plan was adopted without shareholder approval in reliance on the “employment inducement exemption” provided under the NYSE Listed Company Manual. </w:t>
            </w:r>
          </w:p>
        </w:tc>
      </w:tr>
    </w:tbl>
    <w:p>
      <w:pPr>
        <w:pStyle w:val="TextBody"/>
        <w:bidi w:val="0"/>
        <w:spacing w:before="390" w:after="283"/>
        <w:ind w:left="0" w:right="0" w:hanging="0"/>
        <w:jc w:val="left"/>
        <w:rPr>
          <w:rFonts w:ascii="Arial;Helvetica;sans-serif" w:hAnsi="Arial;Helvetica;sans-serif"/>
          <w:b/>
          <w:color w:val="578255"/>
          <w:sz w:val="44"/>
        </w:rPr>
      </w:pPr>
      <w:bookmarkStart w:id="233" w:name="tDSR"/>
      <w:bookmarkEnd w:id="233"/>
      <w:r>
        <w:rPr>
          <w:rFonts w:ascii="Arial;Helvetica;sans-serif" w:hAnsi="Arial;Helvetica;sans-serif"/>
          <w:b/>
          <w:color w:val="578255"/>
          <w:sz w:val="44"/>
        </w:rPr>
        <w:t xml:space="preserve">NO DELINQUENT SECTION 16(a) REPORTS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Section 16(a) of the Exchange Act requires our directors, executive officers and any persons holding more than 10% of a registered class of our equity securities to report initial ownership of such equity shares, and any subsequent changes in ownership to the SEC. Such officers, directors and 10% shareholders also are required by SEC rules to furnish us with copies of all Section 16(a) forms they file. Specific due dates have been established by the SEC, and we are required to disclose in this proxy statement any failure to file required ownership reports by these dates. Based solely on our review of copies of such forms received, or written representations from certain reporting persons that no filings were required for such persons, we believe that during fiscal 2026 our executive officers and directors complied with all Section 16(a) filing requirements applicable to them. </w:t>
      </w:r>
    </w:p>
    <w:p>
      <w:pPr>
        <w:pStyle w:val="TextBody"/>
        <w:bidi w:val="0"/>
        <w:spacing w:before="410" w:after="283"/>
        <w:ind w:left="0" w:right="0" w:hanging="0"/>
        <w:jc w:val="left"/>
        <w:rPr>
          <w:rFonts w:ascii="Arial;Helvetica;sans-serif" w:hAnsi="Arial;Helvetica;sans-serif"/>
          <w:b/>
          <w:color w:val="578255"/>
          <w:sz w:val="44"/>
        </w:rPr>
      </w:pPr>
      <w:bookmarkStart w:id="234" w:name="tOTM"/>
      <w:bookmarkEnd w:id="234"/>
      <w:r>
        <w:rPr>
          <w:rFonts w:ascii="Arial;Helvetica;sans-serif" w:hAnsi="Arial;Helvetica;sans-serif"/>
          <w:b/>
          <w:color w:val="578255"/>
          <w:sz w:val="44"/>
        </w:rPr>
        <w:t xml:space="preserve">OTHER MATTERS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know of no other matters to be submitted at the Annual Meeting. If any other matters properly come before the Annual Meeting, it is the intention of the persons named in the enclosed proxy card to vote the shares they represent as the Board may recommend. Discretionary authority with respect to such other matters is granted by the execution of the enclosed proxy.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It is important your shares be represented at the Annual Meeting, regardless of the number of shares that you hold. You are, therefore, urged to vote by telephone, by using the Internet as instructed on the enclosed proxy card, or by executing and returning the enclosed proxy card in the envelope provided at your earliest convenience. </w:t>
      </w:r>
    </w:p>
    <w:p>
      <w:pPr>
        <w:pStyle w:val="TextBody"/>
        <w:bidi w:val="0"/>
        <w:spacing w:before="17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OF DIRECTORS </w:t>
      </w:r>
    </w:p>
    <w:p>
      <w:pPr>
        <w:pStyle w:val="TextBody"/>
        <w:bidi w:val="0"/>
        <w:spacing w:before="0" w:after="283"/>
        <w:ind w:left="5120" w:right="0" w:hanging="0"/>
        <w:jc w:val="left"/>
        <w:rPr>
          <w:color w:val="000000"/>
        </w:rPr>
      </w:pPr>
      <w:r>
        <w:rPr>
          <w:color w:val="000000"/>
        </w:rPr>
        <w:t>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Grand Cayman, Cayman Islands </w:t>
      </w:r>
    </w:p>
    <w:p>
      <w:pPr>
        <w:pStyle w:val="TextBody"/>
        <w:bidi w:val="0"/>
        <w:spacing w:before="0" w:after="283"/>
        <w:ind w:left="5120" w:right="0" w:hanging="0"/>
        <w:jc w:val="left"/>
        <w:rPr>
          <w:rFonts w:ascii="Arial;Helvetica;sans-serif" w:hAnsi="Arial;Helvetica;sans-serif"/>
          <w:color w:val="000000"/>
          <w:sz w:val="20"/>
        </w:rPr>
      </w:pPr>
      <w:r>
        <w:rPr>
          <w:rFonts w:ascii="Arial;Helvetica;sans-serif" w:hAnsi="Arial;Helvetica;sans-serif"/>
          <w:color w:val="000000"/>
          <w:sz w:val="20"/>
        </w:rPr>
        <w:t xml:space="preserve">October 20, 2026 </w:t>
      </w:r>
    </w:p>
    <w:tbl>
      <w:tblPr>
        <w:tblW w:w="2915" w:type="dxa"/>
        <w:jc w:val="left"/>
        <w:tblInd w:w="0" w:type="dxa"/>
        <w:tblLayout w:type="fixed"/>
        <w:tblCellMar>
          <w:top w:w="0" w:type="dxa"/>
          <w:left w:w="0" w:type="dxa"/>
          <w:bottom w:w="0" w:type="dxa"/>
          <w:right w:w="0" w:type="dxa"/>
        </w:tblCellMar>
      </w:tblPr>
      <w:tblGrid>
        <w:gridCol w:w="645"/>
        <w:gridCol w:w="1685"/>
        <w:gridCol w:w="170"/>
        <w:gridCol w:w="170"/>
        <w:gridCol w:w="24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98"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93" descr=""/>
                          <pic:cNvPicPr>
                            <a:picLocks noChangeAspect="1" noChangeArrowheads="1"/>
                          </pic:cNvPicPr>
                        </pic:nvPicPr>
                        <pic:blipFill>
                          <a:blip r:embed="rId261"/>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69</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5" w:name="ny20081940x1_def14a_200-appa_pg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578255"/>
          <w:sz w:val="44"/>
        </w:rPr>
      </w:pPr>
      <w:bookmarkStart w:id="236" w:name="tAPPA"/>
      <w:bookmarkStart w:id="237" w:name="new_id"/>
      <w:bookmarkEnd w:id="236"/>
      <w:bookmarkEnd w:id="237"/>
      <w:r>
        <w:rPr>
          <w:rFonts w:ascii="Arial;Helvetica;sans-serif" w:hAnsi="Arial;Helvetica;sans-serif"/>
          <w:b/>
          <w:color w:val="578255"/>
          <w:sz w:val="44"/>
          <w:u w:val="single"/>
        </w:rPr>
        <w:t>APPENDIX A</w:t>
      </w:r>
      <w:r>
        <w:rPr>
          <w:rFonts w:ascii="Arial;Helvetica;sans-serif" w:hAnsi="Arial;Helvetica;sans-serif"/>
          <w:b/>
          <w:color w:val="578255"/>
          <w:sz w:val="44"/>
        </w:rPr>
        <w:t xml:space="preserve"> </w:t>
      </w:r>
    </w:p>
    <w:p>
      <w:pPr>
        <w:pStyle w:val="TextBody"/>
        <w:bidi w:val="0"/>
        <w:spacing w:before="660" w:after="283"/>
        <w:ind w:left="0" w:right="0" w:hanging="0"/>
        <w:jc w:val="left"/>
        <w:rPr>
          <w:rFonts w:ascii="Arial;Helvetica;sans-serif" w:hAnsi="Arial;Helvetica;sans-serif"/>
          <w:b/>
          <w:color w:val="578255"/>
          <w:sz w:val="44"/>
        </w:rPr>
      </w:pPr>
      <w:r>
        <w:rPr>
          <w:rFonts w:ascii="Arial;Helvetica;sans-serif" w:hAnsi="Arial;Helvetica;sans-serif"/>
          <w:b/>
          <w:color w:val="578255"/>
          <w:sz w:val="44"/>
        </w:rPr>
        <w:t xml:space="preserve">RECONCILIATION OF GAAP MEASURES TO NON-GAAP FINANCIAL MEASURES </w:t>
      </w:r>
    </w:p>
    <w:p>
      <w:pPr>
        <w:pStyle w:val="TextBody"/>
        <w:bidi w:val="0"/>
        <w:spacing w:before="4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disclosing financial results in accordance with U.S. GAAP, this document contains references to the non-GAAP financial measures below. We refer to these non-GAAP financial measures in making operating decisions because they provide meaningful supplemental information regarding our ongoing operational performance. Our non-GAAP financial measures reflect adjustments based on one or more of the following items: share-based compensation expenses; severance payments and others; legal and litigation costs; restructuring and other related costs; non-marketable equity securities revaluation; and charges arising from the implementation or application of the OECD Pillar Two global minimum tax framework, including charges resulting from changes in implementing regulations, administrative guidance or related governmental measures. We have excluded these items in order to enhance investors’ understanding of our underlying operations. The use of these non-GAAP financial measures has material limitations because they should not be used to evaluate our company without reference to their corresponding GAAP financial measures. As such, we compensate for these material limitations by using these non-GAAP financial measures in conjunction with GAAP financial measures.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non-GAAP financial measures are used to: (1) measure company performance against historical results, (2) facilitate comparisons to our competitors’ operating results, and (3) allow greater transparency with respect to information used by management in making financial and operational decisions. In addition, we use some of these non-GAAP financial measures to measure company performance for the purposes of determining employee incentive plan compensation.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tables present the reconciliations of our most comparable U.S. GAAP measures to our non-GAAP measures presented: </w:t>
      </w:r>
    </w:p>
    <w:p>
      <w:pPr>
        <w:pStyle w:val="TextBody"/>
        <w:bidi w:val="0"/>
        <w:spacing w:before="30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gross profit and gross margin to non-GAAP gross profit and gross margin </w:t>
      </w:r>
    </w:p>
    <w:tbl>
      <w:tblPr>
        <w:tblW w:w="6180" w:type="dxa"/>
        <w:jc w:val="left"/>
        <w:tblInd w:w="0" w:type="dxa"/>
        <w:tblLayout w:type="fixed"/>
        <w:tblCellMar>
          <w:top w:w="0" w:type="dxa"/>
          <w:left w:w="0" w:type="dxa"/>
          <w:bottom w:w="0" w:type="dxa"/>
          <w:right w:w="0" w:type="dxa"/>
        </w:tblCellMar>
      </w:tblPr>
      <w:tblGrid>
        <w:gridCol w:w="185"/>
        <w:gridCol w:w="2825"/>
        <w:gridCol w:w="170"/>
        <w:gridCol w:w="170"/>
        <w:gridCol w:w="1115"/>
        <w:gridCol w:w="170"/>
        <w:gridCol w:w="170"/>
        <w:gridCol w:w="1160"/>
        <w:gridCol w:w="215"/>
      </w:tblGrid>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1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June 26, 2026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27,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$4,641,097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$3,419,327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profit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556,511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413,349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11,459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10,456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profit (non-GAAP)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567,970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423,805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margin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12.1%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Gross margin (non-GAAP)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12.4%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975" w:type="dxa"/>
        <w:jc w:val="left"/>
        <w:tblInd w:w="0" w:type="dxa"/>
        <w:tblLayout w:type="fixed"/>
        <w:tblCellMar>
          <w:top w:w="0" w:type="dxa"/>
          <w:left w:w="0" w:type="dxa"/>
          <w:bottom w:w="0" w:type="dxa"/>
          <w:right w:w="0" w:type="dxa"/>
        </w:tblCellMar>
      </w:tblPr>
      <w:tblGrid>
        <w:gridCol w:w="645"/>
        <w:gridCol w:w="1685"/>
        <w:gridCol w:w="170"/>
        <w:gridCol w:w="170"/>
        <w:gridCol w:w="305"/>
      </w:tblGrid>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6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81000" cy="85725"/>
                  <wp:effectExtent l="0" t="0" r="0" b="0"/>
                  <wp:docPr id="399"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94" descr=""/>
                          <pic:cNvPicPr>
                            <a:picLocks noChangeAspect="1" noChangeArrowheads="1"/>
                          </pic:cNvPicPr>
                        </pic:nvPicPr>
                        <pic:blipFill>
                          <a:blip r:embed="rId262"/>
                          <a:stretch>
                            <a:fillRect/>
                          </a:stretch>
                        </pic:blipFill>
                        <pic:spPr bwMode="auto">
                          <a:xfrm>
                            <a:off x="0" y="0"/>
                            <a:ext cx="381000" cy="85725"/>
                          </a:xfrm>
                          <a:prstGeom prst="rect">
                            <a:avLst/>
                          </a:prstGeom>
                        </pic:spPr>
                      </pic:pic>
                    </a:graphicData>
                  </a:graphic>
                </wp:inline>
              </w:drawing>
            </w:r>
          </w:p>
        </w:tc>
        <w:tc>
          <w:tcPr>
            <w:tcW w:w="168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A-1</w:t>
            </w:r>
          </w:p>
        </w:tc>
      </w:tr>
      <w:tr>
        <w:trPr/>
        <w:tc>
          <w:tcPr>
            <w:tcW w:w="64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8" w:name="ny20081940x1_def14a_200-appa_pg2"/>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operating profit and operating margin to non-GAAP operating profit and operating margin </w:t>
      </w:r>
    </w:p>
    <w:tbl>
      <w:tblPr>
        <w:tblW w:w="6180" w:type="dxa"/>
        <w:jc w:val="left"/>
        <w:tblInd w:w="0" w:type="dxa"/>
        <w:tblLayout w:type="fixed"/>
        <w:tblCellMar>
          <w:top w:w="0" w:type="dxa"/>
          <w:left w:w="0" w:type="dxa"/>
          <w:bottom w:w="0" w:type="dxa"/>
          <w:right w:w="0" w:type="dxa"/>
        </w:tblCellMar>
      </w:tblPr>
      <w:tblGrid>
        <w:gridCol w:w="185"/>
        <w:gridCol w:w="2825"/>
        <w:gridCol w:w="170"/>
        <w:gridCol w:w="170"/>
        <w:gridCol w:w="1115"/>
        <w:gridCol w:w="170"/>
        <w:gridCol w:w="170"/>
        <w:gridCol w:w="1160"/>
        <w:gridCol w:w="215"/>
      </w:tblGrid>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2615"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28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1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June 26, 2026</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160"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27,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Revenue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$4,641,097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$3,419,327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profit (GAAP)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462,887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324,447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34,630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33,004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Severance payment and others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1,109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748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Legal and litigation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1,077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costs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1,436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profit (non-GAAP)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500,063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360,712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margin (GAAP)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9.5%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Operating margin (non-GAAP)</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10.5%</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282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1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160"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b/>
          <w:color w:val="000000"/>
          <w:sz w:val="28"/>
        </w:rPr>
      </w:pPr>
      <w:r>
        <w:rPr>
          <w:rFonts w:ascii="Arial;Helvetica;sans-serif" w:hAnsi="Arial;Helvetica;sans-serif"/>
          <w:b/>
          <w:color w:val="000000"/>
          <w:sz w:val="28"/>
        </w:rPr>
        <w:t xml:space="preserve">GAAP net income and net income per diluted share to non-GAAP net income and net income per diluted share </w:t>
      </w:r>
    </w:p>
    <w:tbl>
      <w:tblPr>
        <w:tblW w:w="10065" w:type="dxa"/>
        <w:jc w:val="left"/>
        <w:tblInd w:w="0" w:type="dxa"/>
        <w:tblLayout w:type="fixed"/>
        <w:tblCellMar>
          <w:top w:w="0" w:type="dxa"/>
          <w:left w:w="0" w:type="dxa"/>
          <w:bottom w:w="0" w:type="dxa"/>
          <w:right w:w="0" w:type="dxa"/>
        </w:tblCellMar>
      </w:tblPr>
      <w:tblGrid>
        <w:gridCol w:w="185"/>
        <w:gridCol w:w="5525"/>
        <w:gridCol w:w="170"/>
        <w:gridCol w:w="170"/>
        <w:gridCol w:w="725"/>
        <w:gridCol w:w="170"/>
        <w:gridCol w:w="170"/>
        <w:gridCol w:w="665"/>
        <w:gridCol w:w="170"/>
        <w:gridCol w:w="170"/>
        <w:gridCol w:w="725"/>
        <w:gridCol w:w="170"/>
        <w:gridCol w:w="170"/>
        <w:gridCol w:w="665"/>
        <w:gridCol w:w="215"/>
      </w:tblGrid>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800" w:type="dxa"/>
            <w:gridSpan w:val="10"/>
            <w:tcBorders/>
            <w:shd w:fill="819F7C" w:val="clear"/>
            <w:vAlign w:val="center"/>
          </w:tcPr>
          <w:p>
            <w:pPr>
              <w:pStyle w:val="TableContents"/>
              <w:bidi w:val="0"/>
              <w:spacing w:before="0" w:after="0"/>
              <w:jc w:val="left"/>
              <w:rPr/>
            </w:pPr>
            <w:r>
              <w:rPr/>
              <w:t>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rFonts w:ascii="Arial;Helvetica;sans-serif" w:hAnsi="Arial;Helvetica;sans-serif"/>
                <w:i/>
                <w:color w:val="FFFFFF"/>
                <w:sz w:val="16"/>
              </w:rPr>
            </w:pPr>
            <w:r>
              <w:rPr>
                <w:rFonts w:ascii="Arial;Helvetica;sans-serif" w:hAnsi="Arial;Helvetica;sans-serif"/>
                <w:i/>
                <w:color w:val="FFFFFF"/>
                <w:sz w:val="16"/>
              </w:rPr>
              <w:t>(in thousands of U.S. dollars, except share and per share data)</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3800" w:type="dxa"/>
            <w:gridSpan w:val="10"/>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Twelve Months Ended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30"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26, 2026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1730" w:type="dxa"/>
            <w:gridSpan w:val="4"/>
            <w:tcBorders>
              <w:bottom w:val="single" w:sz="8" w:space="0" w:color="FFFFFF"/>
            </w:tcBorders>
            <w:shd w:fill="819F7C" w:val="clear"/>
            <w:tcMar>
              <w:bottom w:w="6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June 27, 2025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819F7C" w:val="clear"/>
            <w:vAlign w:val="center"/>
          </w:tcPr>
          <w:p>
            <w:pPr>
              <w:pStyle w:val="TableContents"/>
              <w:bidi w:val="0"/>
              <w:spacing w:before="0" w:after="0"/>
              <w:jc w:val="left"/>
              <w:rPr/>
            </w:pPr>
            <w:r>
              <w:rPr/>
              <w:t> </w:t>
            </w:r>
          </w:p>
        </w:tc>
        <w:tc>
          <w:tcPr>
            <w:tcW w:w="5525" w:type="dxa"/>
            <w:tcBorders/>
            <w:shd w:fill="819F7C"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Income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Diluted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72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Income </w:t>
            </w:r>
          </w:p>
        </w:tc>
        <w:tc>
          <w:tcPr>
            <w:tcW w:w="170" w:type="dxa"/>
            <w:tcBorders/>
            <w:shd w:fill="819F7C" w:val="clear"/>
            <w:vAlign w:val="center"/>
          </w:tcPr>
          <w:p>
            <w:pPr>
              <w:pStyle w:val="TableContents"/>
              <w:bidi w:val="0"/>
              <w:spacing w:before="0" w:after="0"/>
              <w:jc w:val="left"/>
              <w:rPr/>
            </w:pPr>
            <w:r>
              <w:rPr/>
              <w:t> </w:t>
            </w:r>
          </w:p>
        </w:tc>
        <w:tc>
          <w:tcPr>
            <w:tcW w:w="170" w:type="dxa"/>
            <w:tcBorders/>
            <w:shd w:fill="819F7C" w:val="clear"/>
            <w:vAlign w:val="center"/>
          </w:tcPr>
          <w:p>
            <w:pPr>
              <w:pStyle w:val="TableContents"/>
              <w:bidi w:val="0"/>
              <w:spacing w:before="0" w:after="0"/>
              <w:jc w:val="left"/>
              <w:rPr/>
            </w:pPr>
            <w:r>
              <w:rPr/>
              <w:t> </w:t>
            </w:r>
          </w:p>
        </w:tc>
        <w:tc>
          <w:tcPr>
            <w:tcW w:w="665" w:type="dxa"/>
            <w:tcBorders/>
            <w:shd w:fill="819F7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Diluted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w:t>
            </w:r>
          </w:p>
        </w:tc>
        <w:tc>
          <w:tcPr>
            <w:tcW w:w="215" w:type="dxa"/>
            <w:tcBorders/>
            <w:shd w:fill="819F7C"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Net income (GAAP measure)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$473,027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13.05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$332,527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9.17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Items reconciling GAAP net income &amp; EPS to non-GAAP net income &amp; EPS: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cost of revenues: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11,459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10,456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0.29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cost of revenues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11,459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0.32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10,456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0.29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selling, general and administrative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Share-based compensation expenses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23,171</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0.64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0.62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Legal and litigation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0.03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Severance payment and others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1,109</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0.03</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748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0.02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selling, general and administrative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24,373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0.67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restructuring and other related costs: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1,436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0.04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restructuring and other related costs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0.00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1,436</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0.04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other income and other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Non-marketable equity securities revaluation</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bdr w:val="single" w:sz="8" w:space="3" w:color="000000"/>
              </w:rPr>
              <w:t>(56,743</w:t>
            </w:r>
            <w:r>
              <w:rPr>
                <w:rFonts w:ascii="Arial;Helvetica;sans-serif" w:hAnsi="Arial;Helvetica;sans-serif"/>
                <w:color w:val="000000"/>
                <w:sz w:val="16"/>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bdr w:val="single" w:sz="8" w:space="3" w:color="000000"/>
              </w:rPr>
              <w:t>(1.56</w:t>
            </w:r>
            <w:r>
              <w:rPr>
                <w:rFonts w:ascii="Arial;Helvetica;sans-serif" w:hAnsi="Arial;Helvetica;sans-serif"/>
                <w:color w:val="000000"/>
                <w:sz w:val="16"/>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other income and other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(56,743)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Related to income tax (benefit) expense: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50" w:right="0" w:hanging="0"/>
              <w:jc w:val="left"/>
              <w:rPr>
                <w:rFonts w:ascii="Arial;Helvetica;sans-serif" w:hAnsi="Arial;Helvetica;sans-serif"/>
                <w:color w:val="000000"/>
                <w:sz w:val="16"/>
              </w:rPr>
            </w:pPr>
            <w:r>
              <w:rPr>
                <w:rFonts w:ascii="Arial;Helvetica;sans-serif" w:hAnsi="Arial;Helvetica;sans-serif"/>
                <w:color w:val="000000"/>
                <w:sz w:val="16"/>
              </w:rPr>
              <w:t>Tax provision related to Pillar Two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57,447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bdr w:val="single" w:sz="8" w:space="3" w:color="000000"/>
              </w:rPr>
            </w:pPr>
            <w:r>
              <w:rPr>
                <w:color w:val="000000"/>
                <w:bdr w:val="single" w:sz="8" w:space="3" w:color="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income tax (benefit) expense</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57,447</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1.58</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Total related to net income &amp; EPS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37,880</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1.04</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36,265</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3" w:color="000000"/>
              </w:rPr>
            </w:pPr>
            <w:r>
              <w:rPr>
                <w:rFonts w:ascii="Arial;Helvetica;sans-serif" w:hAnsi="Arial;Helvetica;sans-serif"/>
                <w:color w:val="000000"/>
                <w:sz w:val="16"/>
                <w:bdr w:val="single" w:sz="8" w:space="3" w:color="000000"/>
              </w:rPr>
              <w:t xml:space="preserve">1.00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Non-GAAP 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$510,907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$368,792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10.17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Shares used in computing diluted net income per share (in thousands)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GAAP diluted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36,252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36,267 </w:t>
            </w:r>
          </w:p>
        </w:tc>
        <w:tc>
          <w:tcPr>
            <w:tcW w:w="215" w:type="dxa"/>
            <w:tcBorders/>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283"/>
              <w:ind w:left="190" w:right="0" w:hanging="0"/>
              <w:jc w:val="left"/>
              <w:rPr>
                <w:rFonts w:ascii="Arial;Helvetica;sans-serif" w:hAnsi="Arial;Helvetica;sans-serif"/>
                <w:color w:val="000000"/>
                <w:sz w:val="16"/>
              </w:rPr>
            </w:pPr>
            <w:r>
              <w:rPr>
                <w:rFonts w:ascii="Arial;Helvetica;sans-serif" w:hAnsi="Arial;Helvetica;sans-serif"/>
                <w:color w:val="000000"/>
                <w:sz w:val="16"/>
              </w:rPr>
              <w:t>Non-GAAP diluted shares</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36,252</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36,267</w:t>
            </w:r>
          </w:p>
        </w:tc>
        <w:tc>
          <w:tcPr>
            <w:tcW w:w="215" w:type="dxa"/>
            <w:tcBorders/>
            <w:shd w:fill="E5E9E3" w:val="clear"/>
            <w:vAlign w:val="center"/>
          </w:tcPr>
          <w:p>
            <w:pPr>
              <w:pStyle w:val="TableContents"/>
              <w:bidi w:val="0"/>
              <w:spacing w:before="0" w:after="0"/>
              <w:jc w:val="left"/>
              <w:rPr/>
            </w:pPr>
            <w:r>
              <w:rPr/>
              <w:t> </w:t>
            </w:r>
          </w:p>
        </w:tc>
      </w:tr>
      <w:tr>
        <w:trPr/>
        <w:tc>
          <w:tcPr>
            <w:tcW w:w="185" w:type="dxa"/>
            <w:tcBorders/>
            <w:shd w:fill="E5E9E3" w:val="clear"/>
            <w:vAlign w:val="center"/>
          </w:tcPr>
          <w:p>
            <w:pPr>
              <w:pStyle w:val="TableContents"/>
              <w:bidi w:val="0"/>
              <w:spacing w:before="0" w:after="0"/>
              <w:jc w:val="left"/>
              <w:rPr/>
            </w:pPr>
            <w:r>
              <w:rPr/>
              <w:t> </w:t>
            </w:r>
          </w:p>
        </w:tc>
        <w:tc>
          <w:tcPr>
            <w:tcW w:w="552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725"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170" w:type="dxa"/>
            <w:tcBorders/>
            <w:shd w:fill="E5E9E3" w:val="clear"/>
            <w:vAlign w:val="center"/>
          </w:tcPr>
          <w:p>
            <w:pPr>
              <w:pStyle w:val="TableContents"/>
              <w:bidi w:val="0"/>
              <w:spacing w:before="0" w:after="0"/>
              <w:jc w:val="left"/>
              <w:rPr/>
            </w:pPr>
            <w:r>
              <w:rPr/>
              <w:t> </w:t>
            </w:r>
          </w:p>
        </w:tc>
        <w:tc>
          <w:tcPr>
            <w:tcW w:w="665" w:type="dxa"/>
            <w:tcBorders/>
            <w:shd w:fill="E5E9E3" w:val="clear"/>
            <w:vAlign w:val="center"/>
          </w:tcPr>
          <w:p>
            <w:pPr>
              <w:pStyle w:val="TableContents"/>
              <w:bidi w:val="0"/>
              <w:spacing w:before="0" w:after="0"/>
              <w:jc w:val="left"/>
              <w:rPr/>
            </w:pPr>
            <w:r>
              <w:rPr/>
              <w:t> </w:t>
            </w:r>
          </w:p>
        </w:tc>
        <w:tc>
          <w:tcPr>
            <w:tcW w:w="215" w:type="dxa"/>
            <w:tcBorders/>
            <w:shd w:fill="E5E9E3" w:val="clear"/>
            <w:vAlign w:val="center"/>
          </w:tcPr>
          <w:p>
            <w:pPr>
              <w:pStyle w:val="TableContents"/>
              <w:bidi w:val="0"/>
              <w:spacing w:before="0" w:after="0"/>
              <w:jc w:val="left"/>
              <w:rPr/>
            </w:pPr>
            <w:r>
              <w:rPr/>
              <w:t> </w:t>
            </w:r>
          </w:p>
        </w:tc>
      </w:tr>
    </w:tbl>
    <w:tbl>
      <w:tblPr>
        <w:tblW w:w="3450" w:type="dxa"/>
        <w:jc w:val="left"/>
        <w:tblInd w:w="0" w:type="dxa"/>
        <w:tblLayout w:type="fixed"/>
        <w:tblCellMar>
          <w:top w:w="0" w:type="dxa"/>
          <w:left w:w="0" w:type="dxa"/>
          <w:bottom w:w="0" w:type="dxa"/>
          <w:right w:w="0" w:type="dxa"/>
        </w:tblCellMar>
      </w:tblPr>
      <w:tblGrid>
        <w:gridCol w:w="275"/>
        <w:gridCol w:w="170"/>
        <w:gridCol w:w="170"/>
        <w:gridCol w:w="630"/>
        <w:gridCol w:w="170"/>
        <w:gridCol w:w="170"/>
        <w:gridCol w:w="186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jc w:val="right"/>
              <w:rPr>
                <w:color w:val="000000"/>
              </w:rPr>
            </w:pPr>
            <w:r>
              <w:rPr>
                <w:color w:val="000000"/>
              </w:rPr>
              <w:drawing>
                <wp:inline distT="0" distB="0" distL="0" distR="0">
                  <wp:extent cx="381000" cy="85725"/>
                  <wp:effectExtent l="0" t="0" r="0" b="0"/>
                  <wp:docPr id="40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95" descr=""/>
                          <pic:cNvPicPr>
                            <a:picLocks noChangeAspect="1" noChangeArrowheads="1"/>
                          </pic:cNvPicPr>
                        </pic:nvPicPr>
                        <pic:blipFill>
                          <a:blip r:embed="rId263"/>
                          <a:stretch>
                            <a:fillRect/>
                          </a:stretch>
                        </pic:blipFill>
                        <pic:spPr bwMode="auto">
                          <a:xfrm>
                            <a:off x="0" y="0"/>
                            <a:ext cx="381000" cy="857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jc w:val="right"/>
              <w:rPr>
                <w:rFonts w:ascii="Arial;Helvetica;sans-serif" w:hAnsi="Arial;Helvetica;sans-serif"/>
                <w:color w:val="000000"/>
                <w:sz w:val="14"/>
              </w:rPr>
            </w:pPr>
            <w:r>
              <w:rPr>
                <w:rFonts w:ascii="Arial;Helvetica;sans-serif" w:hAnsi="Arial;Helvetica;sans-serif"/>
                <w:color w:val="000000"/>
                <w:sz w:val="14"/>
              </w:rPr>
              <w:t>2026 PROXY STATEMENT </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9" w:name="ny20081940x1_def14a_300-pc_pg1"/>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0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96" descr=""/>
                    <pic:cNvPicPr>
                      <a:picLocks noChangeAspect="1" noChangeArrowheads="1"/>
                    </pic:cNvPicPr>
                  </pic:nvPicPr>
                  <pic:blipFill>
                    <a:blip r:embed="rId26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40" w:name="ny20081940x1_def14a_300-pc_pg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02"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97" descr=""/>
                    <pic:cNvPicPr>
                      <a:picLocks noChangeAspect="1" noChangeArrowheads="1"/>
                    </pic:cNvPicPr>
                  </pic:nvPicPr>
                  <pic:blipFill>
                    <a:blip r:embed="rId26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4.jpeg"/><Relationship Id="rId31" Type="http://schemas.openxmlformats.org/officeDocument/2006/relationships/image" Target="media/image5.jpeg"/><Relationship Id="rId32" Type="http://schemas.openxmlformats.org/officeDocument/2006/relationships/image" Target="media/image6.jpeg"/><Relationship Id="rId33" Type="http://schemas.openxmlformats.org/officeDocument/2006/relationships/image" Target="media/image7.jpeg"/><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13.jpeg"/><Relationship Id="rId77" Type="http://schemas.openxmlformats.org/officeDocument/2006/relationships/image" Target="media/image2.jpeg"/><Relationship Id="rId78" Type="http://schemas.openxmlformats.org/officeDocument/2006/relationships/image" Target="media/image14.jpeg"/><Relationship Id="rId79" Type="http://schemas.openxmlformats.org/officeDocument/2006/relationships/image" Target="media/image15.jpeg"/><Relationship Id="rId80" Type="http://schemas.openxmlformats.org/officeDocument/2006/relationships/image" Target="media/image2.jpeg"/><Relationship Id="rId81" Type="http://schemas.openxmlformats.org/officeDocument/2006/relationships/image" Target="media/image1.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16.jpeg"/><Relationship Id="rId93" Type="http://schemas.openxmlformats.org/officeDocument/2006/relationships/image" Target="media/image2.jpeg"/><Relationship Id="rId94" Type="http://schemas.openxmlformats.org/officeDocument/2006/relationships/image" Target="media/image17.jpeg"/><Relationship Id="rId95" Type="http://schemas.openxmlformats.org/officeDocument/2006/relationships/image" Target="media/image2.jpeg"/><Relationship Id="rId96" Type="http://schemas.openxmlformats.org/officeDocument/2006/relationships/image" Target="media/image18.jpeg"/><Relationship Id="rId97" Type="http://schemas.openxmlformats.org/officeDocument/2006/relationships/image" Target="media/image2.jpeg"/><Relationship Id="rId98" Type="http://schemas.openxmlformats.org/officeDocument/2006/relationships/image" Target="media/image19.jpeg"/><Relationship Id="rId99" Type="http://schemas.openxmlformats.org/officeDocument/2006/relationships/image" Target="media/image2.jpeg"/><Relationship Id="rId100" Type="http://schemas.openxmlformats.org/officeDocument/2006/relationships/image" Target="media/image20.jpeg"/><Relationship Id="rId101" Type="http://schemas.openxmlformats.org/officeDocument/2006/relationships/image" Target="media/image2.jpeg"/><Relationship Id="rId102" Type="http://schemas.openxmlformats.org/officeDocument/2006/relationships/image" Target="media/image21.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3.jpeg"/><Relationship Id="rId112" Type="http://schemas.openxmlformats.org/officeDocument/2006/relationships/image" Target="media/image3.jpeg"/><Relationship Id="rId113" Type="http://schemas.openxmlformats.org/officeDocument/2006/relationships/image" Target="media/image3.jpeg"/><Relationship Id="rId114" Type="http://schemas.openxmlformats.org/officeDocument/2006/relationships/image" Target="media/image3.jpeg"/><Relationship Id="rId115" Type="http://schemas.openxmlformats.org/officeDocument/2006/relationships/image" Target="media/image3.jpeg"/><Relationship Id="rId116" Type="http://schemas.openxmlformats.org/officeDocument/2006/relationships/image" Target="media/image3.jpeg"/><Relationship Id="rId117" Type="http://schemas.openxmlformats.org/officeDocument/2006/relationships/image" Target="media/image3.jpeg"/><Relationship Id="rId118" Type="http://schemas.openxmlformats.org/officeDocument/2006/relationships/image" Target="media/image3.jpeg"/><Relationship Id="rId119" Type="http://schemas.openxmlformats.org/officeDocument/2006/relationships/image" Target="media/image3.jpeg"/><Relationship Id="rId120" Type="http://schemas.openxmlformats.org/officeDocument/2006/relationships/image" Target="media/image3.jpeg"/><Relationship Id="rId121" Type="http://schemas.openxmlformats.org/officeDocument/2006/relationships/image" Target="media/image3.jpeg"/><Relationship Id="rId122" Type="http://schemas.openxmlformats.org/officeDocument/2006/relationships/image" Target="media/image3.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2.jpeg"/><Relationship Id="rId133" Type="http://schemas.openxmlformats.org/officeDocument/2006/relationships/image" Target="media/image2.jpeg"/><Relationship Id="rId134" Type="http://schemas.openxmlformats.org/officeDocument/2006/relationships/image" Target="media/image23.jpeg"/><Relationship Id="rId135" Type="http://schemas.openxmlformats.org/officeDocument/2006/relationships/image" Target="media/image23.jpeg"/><Relationship Id="rId136" Type="http://schemas.openxmlformats.org/officeDocument/2006/relationships/image" Target="media/image3.jpeg"/><Relationship Id="rId137" Type="http://schemas.openxmlformats.org/officeDocument/2006/relationships/image" Target="media/image3.jpeg"/><Relationship Id="rId138" Type="http://schemas.openxmlformats.org/officeDocument/2006/relationships/image" Target="media/image3.jpeg"/><Relationship Id="rId139" Type="http://schemas.openxmlformats.org/officeDocument/2006/relationships/image" Target="media/image3.jpeg"/><Relationship Id="rId140" Type="http://schemas.openxmlformats.org/officeDocument/2006/relationships/image" Target="media/image3.jpeg"/><Relationship Id="rId141" Type="http://schemas.openxmlformats.org/officeDocument/2006/relationships/image" Target="media/image3.jpeg"/><Relationship Id="rId142" Type="http://schemas.openxmlformats.org/officeDocument/2006/relationships/image" Target="media/image3.jpeg"/><Relationship Id="rId143" Type="http://schemas.openxmlformats.org/officeDocument/2006/relationships/image" Target="media/image3.jpeg"/><Relationship Id="rId144" Type="http://schemas.openxmlformats.org/officeDocument/2006/relationships/image" Target="media/image3.jpeg"/><Relationship Id="rId145" Type="http://schemas.openxmlformats.org/officeDocument/2006/relationships/image" Target="media/image23.jpeg"/><Relationship Id="rId146" Type="http://schemas.openxmlformats.org/officeDocument/2006/relationships/image" Target="media/image23.jpeg"/><Relationship Id="rId147" Type="http://schemas.openxmlformats.org/officeDocument/2006/relationships/image" Target="media/image23.jpeg"/><Relationship Id="rId148" Type="http://schemas.openxmlformats.org/officeDocument/2006/relationships/image" Target="media/image23.jpeg"/><Relationship Id="rId149" Type="http://schemas.openxmlformats.org/officeDocument/2006/relationships/image" Target="media/image23.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3.jpeg"/><Relationship Id="rId153" Type="http://schemas.openxmlformats.org/officeDocument/2006/relationships/image" Target="media/image3.jpeg"/><Relationship Id="rId154" Type="http://schemas.openxmlformats.org/officeDocument/2006/relationships/image" Target="media/image3.jpeg"/><Relationship Id="rId155" Type="http://schemas.openxmlformats.org/officeDocument/2006/relationships/image" Target="media/image3.jpeg"/><Relationship Id="rId156" Type="http://schemas.openxmlformats.org/officeDocument/2006/relationships/image" Target="media/image23.jpeg"/><Relationship Id="rId157" Type="http://schemas.openxmlformats.org/officeDocument/2006/relationships/image" Target="media/image23.jpeg"/><Relationship Id="rId158" Type="http://schemas.openxmlformats.org/officeDocument/2006/relationships/image" Target="media/image23.jpeg"/><Relationship Id="rId159" Type="http://schemas.openxmlformats.org/officeDocument/2006/relationships/image" Target="media/image3.jpeg"/><Relationship Id="rId160" Type="http://schemas.openxmlformats.org/officeDocument/2006/relationships/image" Target="media/image23.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3.jpeg"/><Relationship Id="rId169" Type="http://schemas.openxmlformats.org/officeDocument/2006/relationships/image" Target="media/image3.jpeg"/><Relationship Id="rId170" Type="http://schemas.openxmlformats.org/officeDocument/2006/relationships/image" Target="media/image3.jpeg"/><Relationship Id="rId171" Type="http://schemas.openxmlformats.org/officeDocument/2006/relationships/image" Target="media/image3.jpeg"/><Relationship Id="rId172" Type="http://schemas.openxmlformats.org/officeDocument/2006/relationships/image" Target="media/image3.jpeg"/><Relationship Id="rId173" Type="http://schemas.openxmlformats.org/officeDocument/2006/relationships/image" Target="media/image3.jpeg"/><Relationship Id="rId174" Type="http://schemas.openxmlformats.org/officeDocument/2006/relationships/image" Target="media/image3.jpeg"/><Relationship Id="rId175" Type="http://schemas.openxmlformats.org/officeDocument/2006/relationships/image" Target="media/image3.jpeg"/><Relationship Id="rId176" Type="http://schemas.openxmlformats.org/officeDocument/2006/relationships/image" Target="media/image2.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3.jpeg"/><Relationship Id="rId184" Type="http://schemas.openxmlformats.org/officeDocument/2006/relationships/image" Target="media/image3.jpeg"/><Relationship Id="rId185" Type="http://schemas.openxmlformats.org/officeDocument/2006/relationships/image" Target="media/image3.jpeg"/><Relationship Id="rId186" Type="http://schemas.openxmlformats.org/officeDocument/2006/relationships/image" Target="media/image3.jpeg"/><Relationship Id="rId187" Type="http://schemas.openxmlformats.org/officeDocument/2006/relationships/image" Target="media/image3.jpeg"/><Relationship Id="rId188" Type="http://schemas.openxmlformats.org/officeDocument/2006/relationships/image" Target="media/image3.jpeg"/><Relationship Id="rId189" Type="http://schemas.openxmlformats.org/officeDocument/2006/relationships/image" Target="media/image3.jpeg"/><Relationship Id="rId190" Type="http://schemas.openxmlformats.org/officeDocument/2006/relationships/image" Target="media/image3.jpeg"/><Relationship Id="rId191" Type="http://schemas.openxmlformats.org/officeDocument/2006/relationships/image" Target="media/image2.jpeg"/><Relationship Id="rId192" Type="http://schemas.openxmlformats.org/officeDocument/2006/relationships/image" Target="media/image3.jpeg"/><Relationship Id="rId193" Type="http://schemas.openxmlformats.org/officeDocument/2006/relationships/image" Target="media/image3.jpeg"/><Relationship Id="rId194" Type="http://schemas.openxmlformats.org/officeDocument/2006/relationships/image" Target="media/image3.jpeg"/><Relationship Id="rId195" Type="http://schemas.openxmlformats.org/officeDocument/2006/relationships/image" Target="media/image3.jpeg"/><Relationship Id="rId196" Type="http://schemas.openxmlformats.org/officeDocument/2006/relationships/image" Target="media/image3.jpeg"/><Relationship Id="rId197" Type="http://schemas.openxmlformats.org/officeDocument/2006/relationships/image" Target="media/image3.jpeg"/><Relationship Id="rId198" Type="http://schemas.openxmlformats.org/officeDocument/2006/relationships/image" Target="media/image3.jpeg"/><Relationship Id="rId199" Type="http://schemas.openxmlformats.org/officeDocument/2006/relationships/image" Target="media/image3.jpeg"/><Relationship Id="rId200" Type="http://schemas.openxmlformats.org/officeDocument/2006/relationships/image" Target="media/image3.jpeg"/><Relationship Id="rId201" Type="http://schemas.openxmlformats.org/officeDocument/2006/relationships/image" Target="media/image3.jpeg"/><Relationship Id="rId202" Type="http://schemas.openxmlformats.org/officeDocument/2006/relationships/image" Target="media/image3.jpeg"/><Relationship Id="rId203" Type="http://schemas.openxmlformats.org/officeDocument/2006/relationships/image" Target="media/image3.jpeg"/><Relationship Id="rId204" Type="http://schemas.openxmlformats.org/officeDocument/2006/relationships/image" Target="media/image3.jpeg"/><Relationship Id="rId205" Type="http://schemas.openxmlformats.org/officeDocument/2006/relationships/image" Target="media/image3.jpeg"/><Relationship Id="rId206" Type="http://schemas.openxmlformats.org/officeDocument/2006/relationships/image" Target="media/image3.jpeg"/><Relationship Id="rId207" Type="http://schemas.openxmlformats.org/officeDocument/2006/relationships/image" Target="media/image3.jpeg"/><Relationship Id="rId208" Type="http://schemas.openxmlformats.org/officeDocument/2006/relationships/image" Target="media/image3.jpeg"/><Relationship Id="rId209" Type="http://schemas.openxmlformats.org/officeDocument/2006/relationships/image" Target="media/image3.jpeg"/><Relationship Id="rId210" Type="http://schemas.openxmlformats.org/officeDocument/2006/relationships/image" Target="media/image3.jpeg"/><Relationship Id="rId211" Type="http://schemas.openxmlformats.org/officeDocument/2006/relationships/image" Target="media/image3.jpeg"/><Relationship Id="rId212" Type="http://schemas.openxmlformats.org/officeDocument/2006/relationships/image" Target="media/image3.jpeg"/><Relationship Id="rId213" Type="http://schemas.openxmlformats.org/officeDocument/2006/relationships/image" Target="media/image3.jpeg"/><Relationship Id="rId214" Type="http://schemas.openxmlformats.org/officeDocument/2006/relationships/image" Target="media/image3.jpeg"/><Relationship Id="rId215" Type="http://schemas.openxmlformats.org/officeDocument/2006/relationships/image" Target="media/image3.jpeg"/><Relationship Id="rId216" Type="http://schemas.openxmlformats.org/officeDocument/2006/relationships/image" Target="media/image2.jpeg"/><Relationship Id="rId217" Type="http://schemas.openxmlformats.org/officeDocument/2006/relationships/image" Target="media/image3.jpeg"/><Relationship Id="rId218" Type="http://schemas.openxmlformats.org/officeDocument/2006/relationships/image" Target="media/image3.jpeg"/><Relationship Id="rId219" Type="http://schemas.openxmlformats.org/officeDocument/2006/relationships/image" Target="media/image3.jpeg"/><Relationship Id="rId220" Type="http://schemas.openxmlformats.org/officeDocument/2006/relationships/image" Target="media/image3.jpeg"/><Relationship Id="rId221" Type="http://schemas.openxmlformats.org/officeDocument/2006/relationships/image" Target="media/image3.jpeg"/><Relationship Id="rId222" Type="http://schemas.openxmlformats.org/officeDocument/2006/relationships/image" Target="media/image3.jpeg"/><Relationship Id="rId223" Type="http://schemas.openxmlformats.org/officeDocument/2006/relationships/image" Target="media/image3.jpeg"/><Relationship Id="rId224" Type="http://schemas.openxmlformats.org/officeDocument/2006/relationships/image" Target="media/image3.jpeg"/><Relationship Id="rId225" Type="http://schemas.openxmlformats.org/officeDocument/2006/relationships/image" Target="media/image3.jpeg"/><Relationship Id="rId226" Type="http://schemas.openxmlformats.org/officeDocument/2006/relationships/image" Target="media/image3.jpeg"/><Relationship Id="rId227" Type="http://schemas.openxmlformats.org/officeDocument/2006/relationships/image" Target="media/image3.jpeg"/><Relationship Id="rId228" Type="http://schemas.openxmlformats.org/officeDocument/2006/relationships/image" Target="media/image3.jpeg"/><Relationship Id="rId229" Type="http://schemas.openxmlformats.org/officeDocument/2006/relationships/image" Target="media/image3.jpeg"/><Relationship Id="rId230" Type="http://schemas.openxmlformats.org/officeDocument/2006/relationships/image" Target="media/image3.jpeg"/><Relationship Id="rId231" Type="http://schemas.openxmlformats.org/officeDocument/2006/relationships/image" Target="media/image3.jpeg"/><Relationship Id="rId232" Type="http://schemas.openxmlformats.org/officeDocument/2006/relationships/image" Target="media/image3.jpeg"/><Relationship Id="rId233" Type="http://schemas.openxmlformats.org/officeDocument/2006/relationships/image" Target="media/image3.jpeg"/><Relationship Id="rId234" Type="http://schemas.openxmlformats.org/officeDocument/2006/relationships/image" Target="media/image3.jpeg"/><Relationship Id="rId235" Type="http://schemas.openxmlformats.org/officeDocument/2006/relationships/image" Target="media/image2.jpeg"/><Relationship Id="rId236" Type="http://schemas.openxmlformats.org/officeDocument/2006/relationships/image" Target="media/image3.jpeg"/><Relationship Id="rId237" Type="http://schemas.openxmlformats.org/officeDocument/2006/relationships/image" Target="media/image3.jpeg"/><Relationship Id="rId238" Type="http://schemas.openxmlformats.org/officeDocument/2006/relationships/image" Target="media/image3.jpeg"/><Relationship Id="rId239" Type="http://schemas.openxmlformats.org/officeDocument/2006/relationships/image" Target="media/image3.jpeg"/><Relationship Id="rId240" Type="http://schemas.openxmlformats.org/officeDocument/2006/relationships/image" Target="media/image3.jpeg"/><Relationship Id="rId241" Type="http://schemas.openxmlformats.org/officeDocument/2006/relationships/image" Target="media/image3.jpeg"/><Relationship Id="rId242" Type="http://schemas.openxmlformats.org/officeDocument/2006/relationships/image" Target="media/image3.jpeg"/><Relationship Id="rId243" Type="http://schemas.openxmlformats.org/officeDocument/2006/relationships/image" Target="media/image3.jpeg"/><Relationship Id="rId244" Type="http://schemas.openxmlformats.org/officeDocument/2006/relationships/image" Target="media/image3.jpeg"/><Relationship Id="rId245" Type="http://schemas.openxmlformats.org/officeDocument/2006/relationships/image" Target="media/image3.jpeg"/><Relationship Id="rId246" Type="http://schemas.openxmlformats.org/officeDocument/2006/relationships/image" Target="media/image3.jpeg"/><Relationship Id="rId247" Type="http://schemas.openxmlformats.org/officeDocument/2006/relationships/image" Target="media/image3.jpeg"/><Relationship Id="rId248" Type="http://schemas.openxmlformats.org/officeDocument/2006/relationships/image" Target="media/image2.jpeg"/><Relationship Id="rId249" Type="http://schemas.openxmlformats.org/officeDocument/2006/relationships/image" Target="media/image2.jpeg"/><Relationship Id="rId250" Type="http://schemas.openxmlformats.org/officeDocument/2006/relationships/image" Target="media/image2.jpeg"/><Relationship Id="rId251" Type="http://schemas.openxmlformats.org/officeDocument/2006/relationships/image" Target="media/image2.jpeg"/><Relationship Id="rId252" Type="http://schemas.openxmlformats.org/officeDocument/2006/relationships/image" Target="media/image2.jpeg"/><Relationship Id="rId253" Type="http://schemas.openxmlformats.org/officeDocument/2006/relationships/image" Target="media/image2.jpeg"/><Relationship Id="rId254" Type="http://schemas.openxmlformats.org/officeDocument/2006/relationships/image" Target="media/image2.jpeg"/><Relationship Id="rId255" Type="http://schemas.openxmlformats.org/officeDocument/2006/relationships/image" Target="media/image24.jpeg"/><Relationship Id="rId256" Type="http://schemas.openxmlformats.org/officeDocument/2006/relationships/image" Target="media/image25.jpeg"/><Relationship Id="rId257" Type="http://schemas.openxmlformats.org/officeDocument/2006/relationships/image" Target="media/image2.jpeg"/><Relationship Id="rId258" Type="http://schemas.openxmlformats.org/officeDocument/2006/relationships/image" Target="media/image2.jpeg"/><Relationship Id="rId259" Type="http://schemas.openxmlformats.org/officeDocument/2006/relationships/image" Target="media/image2.jpeg"/><Relationship Id="rId260" Type="http://schemas.openxmlformats.org/officeDocument/2006/relationships/image" Target="media/image2.jpeg"/><Relationship Id="rId261" Type="http://schemas.openxmlformats.org/officeDocument/2006/relationships/image" Target="media/image2.jpeg"/><Relationship Id="rId262" Type="http://schemas.openxmlformats.org/officeDocument/2006/relationships/image" Target="media/image2.jpeg"/><Relationship Id="rId263" Type="http://schemas.openxmlformats.org/officeDocument/2006/relationships/image" Target="media/image2.jpeg"/><Relationship Id="rId264" Type="http://schemas.openxmlformats.org/officeDocument/2006/relationships/image" Target="media/image26.jpeg"/><Relationship Id="rId265" Type="http://schemas.openxmlformats.org/officeDocument/2006/relationships/image" Target="media/image27.jpeg"/><Relationship Id="rId266" Type="http://schemas.openxmlformats.org/officeDocument/2006/relationships/fontTable" Target="fontTable.xml"/><Relationship Id="rId2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34475</Words>
  <Characters>191512</Characters>
  <CharactersWithSpaces>230783</CharactersWithSpaces>
  <Paragraphs>10083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