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600075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626110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8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22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(Mark One)</w:t>
      </w:r>
    </w:p>
    <w:p>
      <w:pPr>
        <w:spacing w:after="0" w:line="117" w:lineRule="exact"/>
        <w:rPr>
          <w:sz w:val="24"/>
          <w:szCs w:val="24"/>
          <w:color w:val="auto"/>
        </w:rPr>
      </w:pPr>
    </w:p>
    <w:p>
      <w:pPr>
        <w:ind w:left="1780" w:hanging="748"/>
        <w:spacing w:after="0"/>
        <w:tabs>
          <w:tab w:leader="none" w:pos="178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spacing w:after="0" w:line="37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27, 2026</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51" w:lineRule="exact"/>
        <w:rPr>
          <w:sz w:val="24"/>
          <w:szCs w:val="24"/>
          <w:color w:val="auto"/>
        </w:rPr>
      </w:pPr>
    </w:p>
    <w:p>
      <w:pPr>
        <w:ind w:left="1760" w:hanging="728"/>
        <w:spacing w:after="0"/>
        <w:tabs>
          <w:tab w:leader="none" w:pos="176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 1934</w:t>
      </w:r>
    </w:p>
    <w:p>
      <w:pPr>
        <w:spacing w:after="0" w:line="36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For the transition period from__________to__________</w:t>
      </w:r>
    </w:p>
    <w:p>
      <w:pPr>
        <w:spacing w:after="0" w:line="225"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Commission File Number: 001-34775</w:t>
      </w:r>
    </w:p>
    <w:p>
      <w:pPr>
        <w:spacing w:after="0" w:line="22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106"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32"/>
          <w:szCs w:val="32"/>
          <w:b w:val="1"/>
          <w:bCs w:val="1"/>
          <w:color w:val="auto"/>
        </w:rPr>
        <w:t>FABRINET</w:t>
      </w:r>
    </w:p>
    <w:p>
      <w:pPr>
        <w:spacing w:after="0" w:line="5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ectPr>
          <w:pgSz w:w="11900" w:h="16838" w:orient="portrait"/>
          <w:cols w:equalWidth="0" w:num="1">
            <w:col w:w="10940"/>
          </w:cols>
          <w:pgMar w:left="320" w:top="229" w:right="639" w:bottom="0" w:gutter="0" w:footer="0" w:header="0"/>
        </w:sectPr>
      </w:pPr>
    </w:p>
    <w:p>
      <w:pPr>
        <w:spacing w:after="0" w:line="171"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98-1228572</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11" w:lineRule="exact"/>
        <w:rPr>
          <w:sz w:val="24"/>
          <w:szCs w:val="24"/>
          <w:color w:val="auto"/>
        </w:rPr>
      </w:pPr>
    </w:p>
    <w:p>
      <w:pPr>
        <w:sectPr>
          <w:pgSz w:w="11900" w:h="16838" w:orient="portrait"/>
          <w:cols w:equalWidth="0" w:num="2">
            <w:col w:w="7000" w:space="720"/>
            <w:col w:w="3220"/>
          </w:cols>
          <w:pgMar w:left="320" w:top="229" w:right="639" w:bottom="0" w:gutter="0" w:footer="0" w:header="0"/>
          <w:type w:val="continuous"/>
        </w:sectPr>
      </w:pPr>
    </w:p>
    <w:p>
      <w:pPr>
        <w:spacing w:after="0" w:line="394"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 Walkers Corporate Ltd.</w:t>
      </w:r>
    </w:p>
    <w:p>
      <w:pPr>
        <w:spacing w:after="0" w:line="31"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190 Elgin Avenue, George Town</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Grand Cayman</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9"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ectPr>
          <w:pgSz w:w="11900" w:h="16838" w:orient="portrait"/>
          <w:cols w:equalWidth="0" w:num="1">
            <w:col w:w="10940"/>
          </w:cols>
          <w:pgMar w:left="320" w:top="229" w:right="6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KY1-9008</w:t>
      </w:r>
    </w:p>
    <w:p>
      <w:pPr>
        <w:spacing w:after="0" w:line="31"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3"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+66 2-524-9600</w:t>
      </w:r>
    </w:p>
    <w:p>
      <w:pPr>
        <w:spacing w:after="0" w:line="31"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3" w:lineRule="exact"/>
        <w:rPr>
          <w:sz w:val="24"/>
          <w:szCs w:val="24"/>
          <w:color w:val="auto"/>
        </w:rPr>
      </w:pPr>
    </w:p>
    <w:tbl>
      <w:tblPr>
        <w:tblLayout w:type="fixed"/>
        <w:tblInd w:w="56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5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r>
      <w:tr>
        <w:trPr>
          <w:trHeight w:val="311"/>
        </w:trPr>
        <w:tc>
          <w:tcPr>
            <w:tcW w:w="60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700" w:type="dxa"/>
            <w:vAlign w:val="bottom"/>
          </w:tcPr>
          <w:p>
            <w:pPr>
              <w:spacing w:after="0"/>
              <w:rPr>
                <w:sz w:val="24"/>
                <w:szCs w:val="24"/>
                <w:color w:val="auto"/>
              </w:rPr>
            </w:pPr>
          </w:p>
        </w:tc>
        <w:tc>
          <w:tcPr>
            <w:tcW w:w="404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6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70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Ordinary Shares, $0.01 par value</w:t>
            </w:r>
          </w:p>
        </w:tc>
        <w:tc>
          <w:tcPr>
            <w:tcW w:w="1360" w:type="dxa"/>
            <w:vAlign w:val="bottom"/>
          </w:tcPr>
          <w:p>
            <w:pPr>
              <w:spacing w:after="0"/>
              <w:rPr>
                <w:sz w:val="21"/>
                <w:szCs w:val="21"/>
                <w:color w:val="auto"/>
              </w:rPr>
            </w:pPr>
          </w:p>
        </w:tc>
        <w:tc>
          <w:tcPr>
            <w:tcW w:w="214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FN</w:t>
            </w:r>
          </w:p>
        </w:tc>
        <w:tc>
          <w:tcPr>
            <w:tcW w:w="70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r>
    </w:tbl>
    <w:p>
      <w:pPr>
        <w:spacing w:after="0" w:line="18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____________________________</w:t>
      </w:r>
    </w:p>
    <w:p>
      <w:pPr>
        <w:spacing w:after="0" w:line="229"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(the “Exchange Act”) during the preceding 12 months (or for such shorter period that the</w:t>
      </w:r>
    </w:p>
    <w:p>
      <w:pPr>
        <w:spacing w:after="0" w:line="121" w:lineRule="exact"/>
        <w:rPr>
          <w:sz w:val="24"/>
          <w:szCs w:val="24"/>
          <w:color w:val="auto"/>
        </w:rPr>
      </w:pPr>
    </w:p>
    <w:p>
      <w:pPr>
        <w:spacing w:after="0" w:line="207" w:lineRule="exact"/>
        <w:tabs>
          <w:tab w:leader="none" w:pos="8580" w:val="left"/>
          <w:tab w:leader="none" w:pos="9300" w:val="left"/>
        </w:tabs>
        <w:rPr>
          <w:sz w:val="20"/>
          <w:szCs w:val="20"/>
          <w:color w:val="auto"/>
        </w:rPr>
      </w:pPr>
      <w:r>
        <w:rPr>
          <w:rFonts w:ascii="Times New Roman" w:cs="Times New Roman" w:eastAsia="Times New Roman" w:hAnsi="Times New Roman"/>
          <w:sz w:val="18"/>
          <w:szCs w:val="18"/>
          <w:color w:val="auto"/>
        </w:rPr>
        <w:t>registrant was required to file such reports), and (2) has been subject to such filing requirements for the past 90 days:</w:t>
        <w:tab/>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4"/>
          <w:szCs w:val="24"/>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ectPr>
          <w:pgSz w:w="11900" w:h="16838" w:orient="portrait"/>
          <w:cols w:equalWidth="0" w:num="1">
            <w:col w:w="10940"/>
          </w:cols>
          <w:pgMar w:left="320" w:top="229" w:right="639" w:bottom="0" w:gutter="0" w:footer="0" w:header="0"/>
          <w:type w:val="continuous"/>
        </w:sectPr>
      </w:pPr>
    </w:p>
    <w:bookmarkStart w:id="1" w:name="page2"/>
    <w:bookmarkEnd w:id="1"/>
    <w:p>
      <w:pPr>
        <w:spacing w:after="0" w:line="207" w:lineRule="exact"/>
        <w:tabs>
          <w:tab w:leader="none" w:pos="580" w:val="left"/>
          <w:tab w:leader="none" w:pos="1300" w:val="left"/>
        </w:tabs>
        <w:rPr>
          <w:sz w:val="20"/>
          <w:szCs w:val="20"/>
          <w:color w:val="auto"/>
        </w:rPr>
      </w:pPr>
      <w:r>
        <w:rPr>
          <w:rFonts w:ascii="Times New Roman" w:cs="Times New Roman" w:eastAsia="Times New Roman" w:hAnsi="Times New Roman"/>
          <w:sz w:val="18"/>
          <w:szCs w:val="18"/>
          <w:color w:val="auto"/>
        </w:rPr>
        <w:t>files).</w:t>
        <w:tab/>
        <w:t xml:space="preserve">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30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00" w:type="dxa"/>
            <w:vAlign w:val="bottom"/>
          </w:tcPr>
          <w:p>
            <w:pPr>
              <w:ind w:left="440"/>
              <w:spacing w:after="0"/>
              <w:rPr>
                <w:sz w:val="20"/>
                <w:szCs w:val="20"/>
                <w:color w:val="auto"/>
              </w:rPr>
            </w:pPr>
            <w:r>
              <w:rPr>
                <w:rFonts w:ascii="Wingdings" w:cs="Wingdings" w:eastAsia="Wingdings" w:hAnsi="Wingdings"/>
                <w:sz w:val="18"/>
                <w:szCs w:val="18"/>
                <w:b w:val="1"/>
                <w:bCs w:val="1"/>
                <w:color w:val="auto"/>
              </w:rPr>
              <w:t>x</w:t>
            </w:r>
          </w:p>
        </w:tc>
        <w:tc>
          <w:tcPr>
            <w:tcW w:w="50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Accelerated filer</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5"/>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46"/>
        </w:trPr>
        <w:tc>
          <w:tcPr>
            <w:tcW w:w="2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5020" w:type="dxa"/>
            <w:vAlign w:val="bottom"/>
          </w:tcPr>
          <w:p>
            <w:pPr>
              <w:ind w:left="2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1"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tabs>
          <w:tab w:leader="none" w:pos="834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sz w:val="20"/>
          <w:szCs w:val="20"/>
          <w:color w:val="auto"/>
        </w:rPr>
        <w:tab/>
      </w:r>
      <w:r>
        <w:rPr>
          <w:rFonts w:ascii="Wingdings" w:cs="Wingdings" w:eastAsia="Wingdings" w:hAnsi="Wingdings"/>
          <w:sz w:val="15"/>
          <w:szCs w:val="15"/>
          <w:b w:val="1"/>
          <w:bCs w:val="1"/>
          <w:color w:val="auto"/>
        </w:rPr>
        <w:t xml:space="preserve">x </w:t>
      </w:r>
      <w:r>
        <w:rPr>
          <w:rFonts w:ascii="Times New Roman" w:cs="Times New Roman" w:eastAsia="Times New Roman" w:hAnsi="Times New Roman"/>
          <w:sz w:val="15"/>
          <w:szCs w:val="15"/>
          <w:color w:val="auto"/>
        </w:rPr>
        <w:t>No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24, 2026, the registrant had 35,829,740 ordinary shares, $0.01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248920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274320</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81"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 ENDED MARCH 27, 2026</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47"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13"/>
        </w:trPr>
        <w:tc>
          <w:tcPr>
            <w:tcW w:w="2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b w:val="1"/>
                <w:bCs w:val="1"/>
                <w:color w:val="0000FF"/>
                <w:w w:val="98"/>
              </w:rPr>
              <w:t>RISK FACTORS SUMMARY</w:t>
            </w:r>
          </w:p>
        </w:tc>
        <w:tc>
          <w:tcPr>
            <w:tcW w:w="80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30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34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10100" w:type="dxa"/>
            <w:vAlign w:val="bottom"/>
            <w:gridSpan w:val="25"/>
          </w:tcPr>
          <w:p>
            <w:pPr>
              <w:ind w:left="20"/>
              <w:spacing w:after="0"/>
              <w:rPr>
                <w:sz w:val="20"/>
                <w:szCs w:val="20"/>
                <w:color w:val="auto"/>
              </w:rPr>
            </w:pPr>
            <w:r>
              <w:rPr>
                <w:rFonts w:ascii="Times New Roman" w:cs="Times New Roman" w:eastAsia="Times New Roman" w:hAnsi="Times New Roman"/>
                <w:sz w:val="18"/>
                <w:szCs w:val="18"/>
                <w:b w:val="1"/>
                <w:bCs w:val="1"/>
                <w:color w:val="0000FF"/>
              </w:rPr>
              <w:t>Item 1.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 as of March 27, 2026 and June 27, 2025 (unaudited)</w:t>
            </w:r>
          </w:p>
        </w:tc>
        <w:tc>
          <w:tcPr>
            <w:tcW w:w="2980" w:type="dxa"/>
            <w:vAlign w:val="bottom"/>
            <w:gridSpan w:val="5"/>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 of Operations and Comprehensive Income for the three and nine months ended March 27, 2026</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9220" w:type="dxa"/>
            <w:vAlign w:val="bottom"/>
            <w:tcBorders>
              <w:top w:val="single" w:sz="8" w:color="0000FF"/>
            </w:tcBorders>
            <w:gridSpan w:val="18"/>
          </w:tcPr>
          <w:p>
            <w:pPr>
              <w:spacing w:after="0" w:line="142" w:lineRule="exact"/>
              <w:rPr>
                <w:sz w:val="20"/>
                <w:szCs w:val="20"/>
                <w:color w:val="auto"/>
              </w:rPr>
            </w:pPr>
            <w:r>
              <w:rPr>
                <w:rFonts w:ascii="Times New Roman" w:cs="Times New Roman" w:eastAsia="Times New Roman" w:hAnsi="Times New Roman"/>
                <w:sz w:val="16"/>
                <w:szCs w:val="16"/>
                <w:color w:val="0000FF"/>
              </w:rPr>
              <w:t>and March 28, 2025 (unaudited)</w:t>
            </w:r>
          </w:p>
        </w:tc>
        <w:tc>
          <w:tcPr>
            <w:tcW w:w="2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and nine months ended March 27, 2026 and March 28,</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56"/>
        </w:trPr>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24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2025 (unaudited)</w:t>
            </w:r>
          </w:p>
        </w:tc>
        <w:tc>
          <w:tcPr>
            <w:tcW w:w="7700" w:type="dxa"/>
            <w:vAlign w:val="bottom"/>
            <w:tcBorders>
              <w:top w:val="single" w:sz="8" w:color="0000FF"/>
            </w:tcBorders>
            <w:gridSpan w:val="12"/>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20" w:type="dxa"/>
            <w:vAlign w:val="bottom"/>
            <w:gridSpan w:val="2"/>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72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nine months ended March 27, 2026 and March 28, 2025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7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70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4"/>
                <w:szCs w:val="24"/>
                <w:color w:val="auto"/>
              </w:rPr>
            </w:pPr>
          </w:p>
        </w:tc>
        <w:tc>
          <w:tcPr>
            <w:tcW w:w="10100" w:type="dxa"/>
            <w:vAlign w:val="bottom"/>
            <w:gridSpan w:val="25"/>
          </w:tcPr>
          <w:p>
            <w:pPr>
              <w:ind w:left="20"/>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5260" w:type="dxa"/>
            <w:vAlign w:val="bottom"/>
            <w:tcBorders>
              <w:top w:val="single" w:sz="8" w:color="0000FF"/>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Item 3. Quantitative and Qualitative Disclosures About Market Risk</w:t>
            </w:r>
          </w:p>
        </w:tc>
        <w:tc>
          <w:tcPr>
            <w:tcW w:w="2160" w:type="dxa"/>
            <w:vAlign w:val="bottom"/>
            <w:tcBorders>
              <w:top w:val="single" w:sz="8" w:color="0000FF"/>
            </w:tcBorders>
            <w:gridSpan w:val="3"/>
          </w:tcPr>
          <w:p>
            <w:pPr>
              <w:spacing w:after="0"/>
              <w:rPr>
                <w:sz w:val="24"/>
                <w:szCs w:val="24"/>
                <w:color w:val="auto"/>
              </w:rPr>
            </w:pPr>
          </w:p>
        </w:tc>
        <w:tc>
          <w:tcPr>
            <w:tcW w:w="268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317"/>
        </w:trPr>
        <w:tc>
          <w:tcPr>
            <w:tcW w:w="320" w:type="dxa"/>
            <w:vAlign w:val="bottom"/>
          </w:tcPr>
          <w:p>
            <w:pPr>
              <w:spacing w:after="0"/>
              <w:rPr>
                <w:sz w:val="24"/>
                <w:szCs w:val="24"/>
                <w:color w:val="auto"/>
              </w:rPr>
            </w:pPr>
          </w:p>
        </w:tc>
        <w:tc>
          <w:tcPr>
            <w:tcW w:w="10100" w:type="dxa"/>
            <w:vAlign w:val="bottom"/>
            <w:gridSpan w:val="25"/>
          </w:tcPr>
          <w:p>
            <w:pPr>
              <w:ind w:left="20"/>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00" w:type="dxa"/>
            <w:vAlign w:val="bottom"/>
            <w:gridSpan w:val="3"/>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76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7980" w:type="dxa"/>
            <w:vAlign w:val="bottom"/>
            <w:gridSpan w:val="13"/>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1A. Risk Factors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60" w:type="dxa"/>
            <w:vAlign w:val="bottom"/>
            <w:gridSpan w:val="23"/>
          </w:tcPr>
          <w:p>
            <w:pPr>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gridSpan w:val="5"/>
            <w:shd w:val="clear" w:color="auto" w:fill="0000FF"/>
          </w:tcPr>
          <w:p>
            <w:pPr>
              <w:spacing w:after="0" w:line="20" w:lineRule="exact"/>
              <w:rPr>
                <w:sz w:val="1"/>
                <w:szCs w:val="1"/>
                <w:color w:val="auto"/>
              </w:rPr>
            </w:pPr>
          </w:p>
        </w:tc>
        <w:tc>
          <w:tcPr>
            <w:tcW w:w="3080" w:type="dxa"/>
            <w:vAlign w:val="bottom"/>
            <w:gridSpan w:val="6"/>
            <w:shd w:val="clear" w:color="auto" w:fill="0000FF"/>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Item 5. Other Information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2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b w:val="1"/>
                <w:bCs w:val="1"/>
                <w:color w:val="0000FF"/>
                <w:w w:val="97"/>
              </w:rPr>
              <w:t>Item 6. Exhibits</w:t>
            </w:r>
          </w:p>
        </w:tc>
        <w:tc>
          <w:tcPr>
            <w:tcW w:w="840" w:type="dxa"/>
            <w:vAlign w:val="bottom"/>
            <w:tcBorders>
              <w:top w:val="single" w:sz="8" w:color="0000FF"/>
            </w:tcBorders>
            <w:gridSpan w:val="5"/>
          </w:tcPr>
          <w:p>
            <w:pPr>
              <w:spacing w:after="0"/>
              <w:rPr>
                <w:sz w:val="24"/>
                <w:szCs w:val="24"/>
                <w:color w:val="auto"/>
              </w:rPr>
            </w:pPr>
          </w:p>
        </w:tc>
        <w:tc>
          <w:tcPr>
            <w:tcW w:w="7900" w:type="dxa"/>
            <w:vAlign w:val="bottom"/>
            <w:gridSpan w:val="12"/>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318"/>
        </w:trPr>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6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54" w:lineRule="exact"/>
        <w:rPr>
          <w:sz w:val="20"/>
          <w:szCs w:val="20"/>
          <w:color w:val="auto"/>
        </w:rPr>
      </w:pPr>
    </w:p>
    <w:p>
      <w:pPr>
        <w:ind w:right="220" w:firstLine="99"/>
        <w:spacing w:after="0" w:line="268" w:lineRule="auto"/>
        <w:rPr>
          <w:sz w:val="20"/>
          <w:szCs w:val="20"/>
          <w:color w:val="auto"/>
        </w:rPr>
      </w:pPr>
      <w:r>
        <w:rPr>
          <w:rFonts w:ascii="Times New Roman" w:cs="Times New Roman" w:eastAsia="Times New Roman" w:hAnsi="Times New Roman"/>
          <w:sz w:val="18"/>
          <w:szCs w:val="18"/>
          <w:i w:val="1"/>
          <w:iCs w:val="1"/>
          <w:color w:val="auto"/>
        </w:rPr>
        <w:t>You should carefully consider the information set forth below under the heading “Risk Factors” in Part II, Item 1A before deciding whether to invest in our securities. Below is a summary of the principal risks associated with an investment in our securities.</w:t>
      </w:r>
    </w:p>
    <w:p>
      <w:pPr>
        <w:spacing w:after="0" w:line="53" w:lineRule="exact"/>
        <w:rPr>
          <w:sz w:val="20"/>
          <w:szCs w:val="20"/>
          <w:color w:val="auto"/>
        </w:rPr>
      </w:pPr>
    </w:p>
    <w:p>
      <w:pPr>
        <w:ind w:left="660" w:right="42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depend on a small number of customers. A reduction in orders from any of these customers, the loss of any of these customers, or a customer exerting significant pricing and margin pressures on us could harm our business, financial condition and operating results.</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in the markets we serve could harm our business, financial condition and operating results.</w:t>
      </w:r>
    </w:p>
    <w:p>
      <w:pPr>
        <w:spacing w:after="0" w:line="225" w:lineRule="exact"/>
        <w:rPr>
          <w:rFonts w:ascii="Times New Roman" w:cs="Times New Roman" w:eastAsia="Times New Roman" w:hAnsi="Times New Roman"/>
          <w:sz w:val="18"/>
          <w:szCs w:val="18"/>
          <w:color w:val="auto"/>
        </w:rPr>
      </w:pPr>
    </w:p>
    <w:p>
      <w:pPr>
        <w:ind w:left="660" w:right="52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optical communications market does not expand as we expect, our business may not grow as fast as we expect, which could adversely impact our business, financial condition and operating results.</w:t>
      </w:r>
    </w:p>
    <w:p>
      <w:pPr>
        <w:spacing w:after="0" w:line="185"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revenues, gross profit margins and operating results have fluctuated significantly and may continue to do so in the future, which may cause the market price of our ordinary shares to decline or be volatile.</w:t>
      </w:r>
    </w:p>
    <w:p>
      <w:pPr>
        <w:spacing w:after="0" w:line="176" w:lineRule="exact"/>
        <w:rPr>
          <w:rFonts w:ascii="Times New Roman" w:cs="Times New Roman" w:eastAsia="Times New Roman" w:hAnsi="Times New Roman"/>
          <w:sz w:val="18"/>
          <w:szCs w:val="18"/>
          <w:color w:val="auto"/>
        </w:rPr>
      </w:pPr>
    </w:p>
    <w:p>
      <w:pPr>
        <w:ind w:left="660" w:right="20" w:hanging="328"/>
        <w:spacing w:after="0" w:line="22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continue diversifying our precision optical and electro-mechanical manufacturing services across other markets within the optics industry, such as the semiconductor processing, biotechnology, metrology and material processing markets, or if these markets do not grow as fast as we expect, our business may not grow as fast as we expect, which could adversely impact our business, financial condition and operating results.</w:t>
      </w:r>
    </w:p>
    <w:p>
      <w:pPr>
        <w:spacing w:after="0" w:line="185" w:lineRule="exact"/>
        <w:rPr>
          <w:rFonts w:ascii="Times New Roman" w:cs="Times New Roman" w:eastAsia="Times New Roman" w:hAnsi="Times New Roman"/>
          <w:sz w:val="18"/>
          <w:szCs w:val="18"/>
          <w:color w:val="auto"/>
        </w:rPr>
      </w:pPr>
    </w:p>
    <w:p>
      <w:pPr>
        <w:ind w:left="660" w:right="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competition in our business. If we are unable to compete successfully against our current and future competitors, our business, financial condition and operating results could be harmed.</w:t>
      </w:r>
    </w:p>
    <w:p>
      <w:pPr>
        <w:spacing w:after="0" w:line="176" w:lineRule="exact"/>
        <w:rPr>
          <w:rFonts w:ascii="Times New Roman" w:cs="Times New Roman" w:eastAsia="Times New Roman" w:hAnsi="Times New Roman"/>
          <w:sz w:val="18"/>
          <w:szCs w:val="18"/>
          <w:color w:val="auto"/>
        </w:rPr>
      </w:pPr>
    </w:p>
    <w:p>
      <w:pPr>
        <w:ind w:left="660" w:right="22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Cancellations, delays or reductions of customer orders and the relatively short-term nature of the commitments of our customers could harm our business, financial condition and operating results.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exposure to financially troubled customers or suppliers could harm our business, financial condition and operating results.</w:t>
      </w:r>
    </w:p>
    <w:p>
      <w:pPr>
        <w:spacing w:after="0" w:line="23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purchase some of the critical materials used in certain of our products from a single source or a limited number of suppliers. Supply shortages have in the past, and could in the future, impair the quality, reduce the availability or increase the cost of materials, which could harm our revenues, profitability and customer relations.</w:t>
      </w:r>
    </w:p>
    <w:p>
      <w:pPr>
        <w:spacing w:after="0" w:line="175" w:lineRule="exact"/>
        <w:rPr>
          <w:rFonts w:ascii="Times New Roman" w:cs="Times New Roman" w:eastAsia="Times New Roman" w:hAnsi="Times New Roman"/>
          <w:sz w:val="18"/>
          <w:szCs w:val="18"/>
          <w:color w:val="auto"/>
        </w:rPr>
      </w:pPr>
    </w:p>
    <w:p>
      <w:pPr>
        <w:ind w:left="660" w:right="16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inventory is complex and may require write-downs due to excess or obsolete inventory, which could cause our operating results to decrease significantly in a given fiscal period.</w:t>
      </w:r>
    </w:p>
    <w:p>
      <w:pPr>
        <w:spacing w:after="0" w:line="198" w:lineRule="exact"/>
        <w:rPr>
          <w:rFonts w:ascii="Times New Roman" w:cs="Times New Roman" w:eastAsia="Times New Roman" w:hAnsi="Times New Roman"/>
          <w:sz w:val="18"/>
          <w:szCs w:val="18"/>
          <w:color w:val="auto"/>
        </w:rPr>
      </w:pPr>
    </w:p>
    <w:p>
      <w:pPr>
        <w:ind w:left="660" w:right="240" w:hanging="328"/>
        <w:spacing w:after="0" w:line="22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adequately expand our manufacturing capacity, we will not be able to grow our business, which would harm our business, financial condition and operating results. Conversely, if we expand too much or too rapidly, we may experience excess capacity, which would harm our business, financial condition and operating results.</w:t>
      </w:r>
    </w:p>
    <w:p>
      <w:pPr>
        <w:spacing w:after="0" w:line="198" w:lineRule="exact"/>
        <w:rPr>
          <w:rFonts w:ascii="Times New Roman" w:cs="Times New Roman" w:eastAsia="Times New Roman" w:hAnsi="Times New Roman"/>
          <w:sz w:val="18"/>
          <w:szCs w:val="18"/>
          <w:color w:val="auto"/>
        </w:rPr>
      </w:pPr>
    </w:p>
    <w:p>
      <w:pPr>
        <w:ind w:left="660" w:right="32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manufacturing yields that are lower than expected, potentially resulting in increased costs, which could harm our business, operating results and customer relations.</w:t>
      </w:r>
    </w:p>
    <w:p>
      <w:pPr>
        <w:spacing w:after="0" w:line="185" w:lineRule="exact"/>
        <w:rPr>
          <w:rFonts w:ascii="Times New Roman" w:cs="Times New Roman" w:eastAsia="Times New Roman" w:hAnsi="Times New Roman"/>
          <w:sz w:val="18"/>
          <w:szCs w:val="18"/>
          <w:color w:val="auto"/>
        </w:rPr>
      </w:pPr>
    </w:p>
    <w:p>
      <w:pPr>
        <w:ind w:left="660" w:right="10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products that we manufacture contain defects, we could incur significant correction costs, demand for our services may decline and we may be exposed to product liability and product warranty claims, which could harm our business, financial condition, operating results and customer relations.</w:t>
      </w:r>
    </w:p>
    <w:p>
      <w:pPr>
        <w:spacing w:after="0" w:line="2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attract additional skilled employees or retain key personnel, our business, financial condition and operating results could suffer.</w:t>
      </w:r>
    </w:p>
    <w:p>
      <w:pPr>
        <w:spacing w:after="0" w:line="225" w:lineRule="exact"/>
        <w:rPr>
          <w:rFonts w:ascii="Times New Roman" w:cs="Times New Roman" w:eastAsia="Times New Roman" w:hAnsi="Times New Roman"/>
          <w:sz w:val="18"/>
          <w:szCs w:val="18"/>
          <w:color w:val="auto"/>
        </w:rPr>
      </w:pPr>
    </w:p>
    <w:p>
      <w:pPr>
        <w:ind w:left="660" w:right="1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foreign currency exchange rates and changes in governmental policies regarding foreign currencies could increase our operating costs, which would adversely affect our operating results.</w:t>
      </w:r>
    </w:p>
    <w:p>
      <w:pPr>
        <w:spacing w:after="0" w:line="162"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conduct operations in a number of countries, which creates logistical and communications challenges for us and exposes us to other risks and challenges that could harm our business, financial condition and operating results.</w:t>
      </w:r>
    </w:p>
    <w:p>
      <w:pPr>
        <w:spacing w:after="0" w:line="176" w:lineRule="exact"/>
        <w:rPr>
          <w:rFonts w:ascii="Times New Roman" w:cs="Times New Roman" w:eastAsia="Times New Roman" w:hAnsi="Times New Roman"/>
          <w:sz w:val="18"/>
          <w:szCs w:val="18"/>
          <w:color w:val="auto"/>
        </w:rPr>
      </w:pPr>
    </w:p>
    <w:p>
      <w:pPr>
        <w:ind w:left="660" w:right="76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governmental export and import controls in several jurisdictions that subject us to a variety of risks, including liability, impairment of our ability to compete in international markets, and decreased sales and customer orders.</w:t>
      </w:r>
    </w:p>
    <w:p>
      <w:pPr>
        <w:spacing w:after="0" w:line="198" w:lineRule="exact"/>
        <w:rPr>
          <w:rFonts w:ascii="Times New Roman" w:cs="Times New Roman" w:eastAsia="Times New Roman" w:hAnsi="Times New Roman"/>
          <w:sz w:val="18"/>
          <w:szCs w:val="18"/>
          <w:color w:val="auto"/>
        </w:rPr>
      </w:pPr>
    </w:p>
    <w:p>
      <w:pPr>
        <w:ind w:left="660" w:right="320" w:hanging="328"/>
        <w:spacing w:after="0" w:line="237"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related to changes in U.S. and international trade policies, including new or increased tariffs on materials that we use in manufacturing, which could adversely affect our business, financial condition and operating results.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660" w:right="56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unrest and demonstrations, as well as changes in the political, social, business or economic conditions in Thailand, could harm our business, financial condition and operating results.</w:t>
      </w:r>
    </w:p>
    <w:p>
      <w:pPr>
        <w:spacing w:after="0" w:line="198" w:lineRule="exact"/>
        <w:rPr>
          <w:rFonts w:ascii="Times New Roman" w:cs="Times New Roman" w:eastAsia="Times New Roman" w:hAnsi="Times New Roman"/>
          <w:sz w:val="18"/>
          <w:szCs w:val="18"/>
          <w:color w:val="auto"/>
        </w:rPr>
      </w:pPr>
    </w:p>
    <w:p>
      <w:pPr>
        <w:ind w:left="660" w:right="22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continue to invest in our manufacturing operations in the People's Republic of China ("PRC"), which will continue to expose us to risks inherent in doing business in the PRC, any of which risks could harm our business, financial condition and operating results.</w:t>
      </w:r>
    </w:p>
    <w:p>
      <w:pPr>
        <w:spacing w:after="0" w:line="185" w:lineRule="exact"/>
        <w:rPr>
          <w:rFonts w:ascii="Times New Roman" w:cs="Times New Roman" w:eastAsia="Times New Roman" w:hAnsi="Times New Roman"/>
          <w:sz w:val="18"/>
          <w:szCs w:val="18"/>
          <w:color w:val="auto"/>
        </w:rPr>
      </w:pPr>
    </w:p>
    <w:p>
      <w:pPr>
        <w:ind w:left="660" w:right="72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epidemics, acts of terrorism and political and economic developments could harm our business, financial condition and operating results.</w:t>
      </w:r>
    </w:p>
    <w:p>
      <w:pPr>
        <w:spacing w:after="0" w:line="189" w:lineRule="exact"/>
        <w:rPr>
          <w:rFonts w:ascii="Times New Roman" w:cs="Times New Roman" w:eastAsia="Times New Roman" w:hAnsi="Times New Roman"/>
          <w:sz w:val="18"/>
          <w:szCs w:val="18"/>
          <w:color w:val="auto"/>
        </w:rPr>
      </w:pPr>
    </w:p>
    <w:p>
      <w:pPr>
        <w:ind w:left="660" w:right="40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worldwide economic conditions (including inflation and supply chain disruptions) may negatively affect our business, financial condition and operating results.</w:t>
      </w:r>
    </w:p>
    <w:p>
      <w:pPr>
        <w:spacing w:after="0" w:line="16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obtain capital when desired on favorable terms, if at all, or without dilution to our shareholders.</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portfolio may become impaired by deterioration of the capital markets.</w:t>
      </w:r>
    </w:p>
    <w:p>
      <w:pPr>
        <w:spacing w:after="0" w:line="225"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fully insured against all potential losses. Natural disasters or other catastrophes could adversely affect our business, financial condition and operating results.</w:t>
      </w:r>
    </w:p>
    <w:p>
      <w:pPr>
        <w:spacing w:after="0" w:line="185" w:lineRule="exact"/>
        <w:rPr>
          <w:rFonts w:ascii="Times New Roman" w:cs="Times New Roman" w:eastAsia="Times New Roman" w:hAnsi="Times New Roman"/>
          <w:sz w:val="18"/>
          <w:szCs w:val="18"/>
          <w:color w:val="auto"/>
        </w:rPr>
      </w:pPr>
    </w:p>
    <w:p>
      <w:pPr>
        <w:ind w:left="660" w:right="14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inherent uncertainties involved in estimates, judgments and assumptions used in the preparation of financial statements in accordance with U.S. GAAP. Any changes in estimates, judgments and assumptions could have a material adverse effect on our business, financial condition and operating results.</w:t>
      </w:r>
    </w:p>
    <w:p>
      <w:pPr>
        <w:spacing w:after="0" w:line="203" w:lineRule="exact"/>
        <w:rPr>
          <w:rFonts w:ascii="Times New Roman" w:cs="Times New Roman" w:eastAsia="Times New Roman" w:hAnsi="Times New Roman"/>
          <w:sz w:val="18"/>
          <w:szCs w:val="18"/>
          <w:color w:val="auto"/>
        </w:rPr>
      </w:pPr>
    </w:p>
    <w:p>
      <w:pPr>
        <w:ind w:left="660" w:right="50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operations would be adversely impacted in the event of a failure of our information technology infrastructure and/or cyber security attacks.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infringement claims against our customers or us could harm our business, financial condition and operating results.</w:t>
      </w:r>
    </w:p>
    <w:p>
      <w:pPr>
        <w:spacing w:after="0" w:line="211" w:lineRule="exact"/>
        <w:rPr>
          <w:rFonts w:ascii="Times New Roman" w:cs="Times New Roman" w:eastAsia="Times New Roman" w:hAnsi="Times New Roman"/>
          <w:sz w:val="18"/>
          <w:szCs w:val="18"/>
          <w:color w:val="auto"/>
        </w:rPr>
      </w:pPr>
    </w:p>
    <w:p>
      <w:pPr>
        <w:ind w:left="660" w:right="74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protect our customers’ intellectual property that we use in the products we manufacture for them could harm our customer relationships and subject us to liability.</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the risk of increased income taxes, which could harm our business, financial condition and operating results.</w:t>
      </w:r>
    </w:p>
    <w:p>
      <w:pPr>
        <w:spacing w:after="0" w:line="211" w:lineRule="exact"/>
        <w:rPr>
          <w:rFonts w:ascii="Times New Roman" w:cs="Times New Roman" w:eastAsia="Times New Roman" w:hAnsi="Times New Roman"/>
          <w:sz w:val="18"/>
          <w:szCs w:val="18"/>
          <w:color w:val="auto"/>
        </w:rPr>
      </w:pPr>
    </w:p>
    <w:p>
      <w:pPr>
        <w:ind w:left="660" w:right="16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incurred and will continue to incur significant increased costs as a result of operating as a public company, and our management will be required to continue to devote substantial resources to various compliance initiatives.</w:t>
      </w:r>
    </w:p>
    <w:p>
      <w:pPr>
        <w:spacing w:after="0" w:line="198" w:lineRule="exact"/>
        <w:rPr>
          <w:rFonts w:ascii="Times New Roman" w:cs="Times New Roman" w:eastAsia="Times New Roman" w:hAnsi="Times New Roman"/>
          <w:sz w:val="18"/>
          <w:szCs w:val="18"/>
          <w:color w:val="auto"/>
        </w:rPr>
      </w:pPr>
    </w:p>
    <w:p>
      <w:pPr>
        <w:ind w:left="660" w:right="14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meet regulatory quality standards applicable to our manufacturing and quality processes for the products we manufacture, our business, financial condition and operating results could be harmed.</w:t>
      </w:r>
    </w:p>
    <w:p>
      <w:pPr>
        <w:spacing w:after="0" w:line="185"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applicable environmental laws and regulations could have a material adverse effect on our business, financial condition and operating results.</w:t>
      </w:r>
    </w:p>
    <w:p>
      <w:pPr>
        <w:spacing w:after="0" w:line="176" w:lineRule="exact"/>
        <w:rPr>
          <w:rFonts w:ascii="Times New Roman" w:cs="Times New Roman" w:eastAsia="Times New Roman" w:hAnsi="Times New Roman"/>
          <w:sz w:val="18"/>
          <w:szCs w:val="18"/>
          <w:color w:val="auto"/>
        </w:rPr>
      </w:pPr>
    </w:p>
    <w:p>
      <w:pPr>
        <w:ind w:left="660" w:right="22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 price may be volatile due to fluctuations in our operating results and other factors, including the activities and operating results of our customers or competitors, any of which could cause our share price to decline.</w:t>
      </w:r>
    </w:p>
    <w:p>
      <w:pPr>
        <w:spacing w:after="0" w:line="198" w:lineRule="exact"/>
        <w:rPr>
          <w:rFonts w:ascii="Times New Roman" w:cs="Times New Roman" w:eastAsia="Times New Roman" w:hAnsi="Times New Roman"/>
          <w:sz w:val="18"/>
          <w:szCs w:val="18"/>
          <w:color w:val="auto"/>
        </w:rPr>
      </w:pPr>
    </w:p>
    <w:p>
      <w:pPr>
        <w:ind w:left="660" w:right="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do not publish research or if they publish misleading or unfavorable research about our business, the market price and trading volume of our ordinary shares could decline.</w:t>
      </w:r>
    </w:p>
    <w:p>
      <w:pPr>
        <w:spacing w:after="0" w:line="18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a passive foreign investment company, which could result in adverse U.S. tax consequences to U.S. investors.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share price could be negatively affected as a result of activist shareholders.</w:t>
      </w:r>
    </w:p>
    <w:p>
      <w:pPr>
        <w:spacing w:after="0" w:line="211" w:lineRule="exact"/>
        <w:rPr>
          <w:rFonts w:ascii="Times New Roman" w:cs="Times New Roman" w:eastAsia="Times New Roman" w:hAnsi="Times New Roman"/>
          <w:sz w:val="18"/>
          <w:szCs w:val="18"/>
          <w:color w:val="auto"/>
        </w:rPr>
      </w:pPr>
    </w:p>
    <w:p>
      <w:pPr>
        <w:ind w:left="660" w:right="880" w:hanging="328"/>
        <w:spacing w:after="0" w:line="23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in our constitutional documents may discourage our acquisition by a third party, which could limit our shareholders' opportunity to sell shares at a premium.</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shareholders may face difficulties in protecting their interests because we are incorporated under Cayman Islands law.</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judgments obtained against us by our shareholders may not be enforceable.</w:t>
      </w:r>
    </w:p>
    <w:p>
      <w:pPr>
        <w:spacing w:after="0" w:line="21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price volatility may negatively impact our business, financial condition and operating results.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PART I: FINANCIAL INFORMATION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data and par value)</w:t>
            </w:r>
          </w:p>
        </w:tc>
        <w:tc>
          <w:tcPr>
            <w:tcW w:w="260" w:type="dxa"/>
            <w:vAlign w:val="bottom"/>
          </w:tcPr>
          <w:p>
            <w:pPr>
              <w:spacing w:after="0"/>
              <w:rPr>
                <w:sz w:val="13"/>
                <w:szCs w:val="13"/>
                <w:color w:val="auto"/>
              </w:rPr>
            </w:pPr>
          </w:p>
        </w:tc>
        <w:tc>
          <w:tcPr>
            <w:tcW w:w="12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280" w:type="dxa"/>
            <w:vAlign w:val="bottom"/>
          </w:tcPr>
          <w:p>
            <w:pPr>
              <w:spacing w:after="0"/>
              <w:rPr>
                <w:sz w:val="13"/>
                <w:szCs w:val="13"/>
                <w:color w:val="auto"/>
              </w:rPr>
            </w:pPr>
          </w:p>
        </w:tc>
        <w:tc>
          <w:tcPr>
            <w:tcW w:w="116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356,562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306,425</w:t>
            </w:r>
          </w:p>
        </w:tc>
        <w:tc>
          <w:tcPr>
            <w:tcW w:w="0" w:type="dxa"/>
            <w:vAlign w:val="bottom"/>
          </w:tcPr>
          <w:p>
            <w:pPr>
              <w:spacing w:after="0"/>
              <w:rPr>
                <w:sz w:val="1"/>
                <w:szCs w:val="1"/>
                <w:color w:val="auto"/>
              </w:rPr>
            </w:pPr>
          </w:p>
        </w:tc>
      </w:tr>
      <w:tr>
        <w:trPr>
          <w:trHeight w:val="19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Short-term investments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588,674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627,819</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Trade accounts receivable, net of allowance for expected credit losses of $1,181 and $1,344, respectively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908,544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758,894</w:t>
            </w:r>
          </w:p>
        </w:tc>
        <w:tc>
          <w:tcPr>
            <w:tcW w:w="0" w:type="dxa"/>
            <w:vAlign w:val="bottom"/>
          </w:tcPr>
          <w:p>
            <w:pPr>
              <w:spacing w:after="0"/>
              <w:rPr>
                <w:sz w:val="1"/>
                <w:szCs w:val="1"/>
                <w:color w:val="auto"/>
              </w:rPr>
            </w:pPr>
          </w:p>
        </w:tc>
      </w:tr>
      <w:tr>
        <w:trPr>
          <w:trHeight w:val="19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Inventories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875,988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581,015</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Prepaid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38,196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38,476</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current assets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177,476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116,210</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2,945,440</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2,428,839</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assets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Long-term restricted cash</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524,973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380,640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Intangibles, net</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2,156</w:t>
            </w:r>
          </w:p>
        </w:tc>
        <w:tc>
          <w:tcPr>
            <w:tcW w:w="0" w:type="dxa"/>
            <w:vAlign w:val="bottom"/>
          </w:tcPr>
          <w:p>
            <w:pPr>
              <w:spacing w:after="0"/>
              <w:rPr>
                <w:sz w:val="1"/>
                <w:szCs w:val="1"/>
                <w:color w:val="auto"/>
              </w:rPr>
            </w:pPr>
          </w:p>
        </w:tc>
      </w:tr>
      <w:tr>
        <w:trPr>
          <w:trHeight w:val="19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right-of-use assets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5,768</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tax assets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13,406</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non-current assets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13,787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623</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non-current assets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563,546</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402,593</w:t>
            </w: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3,508,986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2,831,432</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Trade accounts payable</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859,004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637,417</w:t>
            </w:r>
          </w:p>
        </w:tc>
        <w:tc>
          <w:tcPr>
            <w:tcW w:w="0" w:type="dxa"/>
            <w:vAlign w:val="bottom"/>
          </w:tcPr>
          <w:p>
            <w:pPr>
              <w:spacing w:after="0"/>
              <w:rPr>
                <w:sz w:val="1"/>
                <w:szCs w:val="1"/>
                <w:color w:val="auto"/>
              </w:rPr>
            </w:pPr>
          </w:p>
        </w:tc>
      </w:tr>
      <w:tr>
        <w:trPr>
          <w:trHeight w:val="19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Fixed assets payable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40,781</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Operating lease liabilities, current portion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1,792</w:t>
            </w:r>
          </w:p>
        </w:tc>
        <w:tc>
          <w:tcPr>
            <w:tcW w:w="0" w:type="dxa"/>
            <w:vAlign w:val="bottom"/>
          </w:tcPr>
          <w:p>
            <w:pPr>
              <w:spacing w:after="0"/>
              <w:rPr>
                <w:sz w:val="1"/>
                <w:szCs w:val="1"/>
                <w:color w:val="auto"/>
              </w:rPr>
            </w:pPr>
          </w:p>
        </w:tc>
      </w:tr>
      <w:tr>
        <w:trPr>
          <w:trHeight w:val="19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Income tax payable</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7,939</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Accrued payroll, bonus and related expenses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30,845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24,566</w:t>
            </w:r>
          </w:p>
        </w:tc>
        <w:tc>
          <w:tcPr>
            <w:tcW w:w="0" w:type="dxa"/>
            <w:vAlign w:val="bottom"/>
          </w:tcPr>
          <w:p>
            <w:pPr>
              <w:spacing w:after="0"/>
              <w:rPr>
                <w:sz w:val="1"/>
                <w:szCs w:val="1"/>
                <w:color w:val="auto"/>
              </w:rPr>
            </w:pPr>
          </w:p>
        </w:tc>
      </w:tr>
      <w:tr>
        <w:trPr>
          <w:trHeight w:val="19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Accrued expenses</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36,418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30,630</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Severance liabilities, current portion</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payables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152,915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66,717</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1,155,543</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809,842</w:t>
            </w:r>
          </w:p>
        </w:tc>
        <w:tc>
          <w:tcPr>
            <w:tcW w:w="0" w:type="dxa"/>
            <w:vAlign w:val="bottom"/>
          </w:tcPr>
          <w:p>
            <w:pPr>
              <w:spacing w:after="0"/>
              <w:rPr>
                <w:sz w:val="1"/>
                <w:szCs w:val="1"/>
                <w:color w:val="auto"/>
              </w:rPr>
            </w:pPr>
          </w:p>
        </w:tc>
      </w:tr>
      <w:tr>
        <w:trPr>
          <w:trHeight w:val="17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Non-current liabilities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Deferred tax liability</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0" w:type="dxa"/>
            <w:vAlign w:val="bottom"/>
          </w:tcPr>
          <w:p>
            <w:pPr>
              <w:spacing w:after="0"/>
              <w:rPr>
                <w:sz w:val="1"/>
                <w:szCs w:val="1"/>
                <w:color w:val="auto"/>
              </w:rPr>
            </w:pPr>
          </w:p>
        </w:tc>
      </w:tr>
      <w:tr>
        <w:trPr>
          <w:trHeight w:val="195"/>
        </w:trPr>
        <w:tc>
          <w:tcPr>
            <w:tcW w:w="82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Operating lease liability, non-current portion</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3,679</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Severance liabilities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31,225</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13,052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3,279</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48,732</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39,778</w:t>
            </w:r>
          </w:p>
        </w:tc>
        <w:tc>
          <w:tcPr>
            <w:tcW w:w="0" w:type="dxa"/>
            <w:vAlign w:val="bottom"/>
          </w:tcPr>
          <w:p>
            <w:pPr>
              <w:spacing w:after="0"/>
              <w:rPr>
                <w:sz w:val="1"/>
                <w:szCs w:val="1"/>
                <w:color w:val="auto"/>
              </w:rPr>
            </w:pPr>
          </w:p>
        </w:tc>
      </w:tr>
      <w:tr>
        <w:trPr>
          <w:trHeight w:val="19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1,204,275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849,620</w:t>
            </w:r>
          </w:p>
        </w:tc>
        <w:tc>
          <w:tcPr>
            <w:tcW w:w="0" w:type="dxa"/>
            <w:vAlign w:val="bottom"/>
          </w:tcPr>
          <w:p>
            <w:pPr>
              <w:spacing w:after="0"/>
              <w:rPr>
                <w:sz w:val="1"/>
                <w:szCs w:val="1"/>
                <w:color w:val="auto"/>
              </w:rPr>
            </w:pPr>
          </w:p>
        </w:tc>
      </w:tr>
      <w:tr>
        <w:trPr>
          <w:trHeight w:val="18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14)</w:t>
            </w:r>
          </w:p>
        </w:tc>
        <w:tc>
          <w:tcPr>
            <w:tcW w:w="26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Shareholders’ equity</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Preferred shares (5,000,000 shares authorized, $0.01 par value; no shares issued and outstanding as of March 27, 2026 and June 27, 2025)</w:t>
            </w:r>
          </w:p>
        </w:tc>
        <w:tc>
          <w:tcPr>
            <w:tcW w:w="2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826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Ordinary shares (500,000,000 shares authorized, $0.01 par value; 39,717,065 shares and 39,602,152 shares issued as of March 27, 2026 and</w:t>
            </w:r>
          </w:p>
        </w:tc>
        <w:tc>
          <w:tcPr>
            <w:tcW w:w="260" w:type="dxa"/>
            <w:vAlign w:val="bottom"/>
          </w:tcPr>
          <w:p>
            <w:pPr>
              <w:spacing w:after="0"/>
              <w:rPr>
                <w:sz w:val="11"/>
                <w:szCs w:val="11"/>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June 27, 2025, respectively; and 35,829,221 shares and 35,728,074 shares outstanding as of March 27, 2026 and June 27, 2025, respectively)</w:t>
            </w:r>
          </w:p>
        </w:tc>
        <w:tc>
          <w:tcPr>
            <w:tcW w:w="26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243,038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237,881</w:t>
            </w:r>
          </w:p>
        </w:tc>
        <w:tc>
          <w:tcPr>
            <w:tcW w:w="0" w:type="dxa"/>
            <w:vAlign w:val="bottom"/>
          </w:tcPr>
          <w:p>
            <w:pPr>
              <w:spacing w:after="0"/>
              <w:rPr>
                <w:sz w:val="1"/>
                <w:szCs w:val="1"/>
                <w:color w:val="auto"/>
              </w:rPr>
            </w:pPr>
          </w:p>
        </w:tc>
      </w:tr>
      <w:tr>
        <w:trPr>
          <w:trHeight w:val="195"/>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Treasury shares (3,887,844 shares and 3,874,078 shares as of March 27, 2026 and June 27, 2025, respectively)</w:t>
            </w:r>
          </w:p>
        </w:tc>
        <w:tc>
          <w:tcPr>
            <w:tcW w:w="2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(365,287)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(360,056)</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10,294</w:t>
            </w:r>
          </w:p>
        </w:tc>
        <w:tc>
          <w:tcPr>
            <w:tcW w:w="0" w:type="dxa"/>
            <w:vAlign w:val="bottom"/>
          </w:tcPr>
          <w:p>
            <w:pPr>
              <w:spacing w:after="0"/>
              <w:rPr>
                <w:sz w:val="1"/>
                <w:szCs w:val="1"/>
                <w:color w:val="auto"/>
              </w:rPr>
            </w:pPr>
          </w:p>
        </w:tc>
      </w:tr>
      <w:tr>
        <w:trPr>
          <w:trHeight w:val="19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Retained earnings</w:t>
            </w: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2,427,064</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2,093,297</w:t>
            </w:r>
          </w:p>
        </w:tc>
        <w:tc>
          <w:tcPr>
            <w:tcW w:w="0" w:type="dxa"/>
            <w:vAlign w:val="bottom"/>
          </w:tcPr>
          <w:p>
            <w:pPr>
              <w:spacing w:after="0"/>
              <w:rPr>
                <w:sz w:val="1"/>
                <w:szCs w:val="1"/>
                <w:color w:val="auto"/>
              </w:rPr>
            </w:pPr>
          </w:p>
        </w:tc>
      </w:tr>
      <w:tr>
        <w:trPr>
          <w:trHeight w:val="19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6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2,304,711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1,981,812</w:t>
            </w:r>
          </w:p>
        </w:tc>
        <w:tc>
          <w:tcPr>
            <w:tcW w:w="0" w:type="dxa"/>
            <w:vAlign w:val="bottom"/>
          </w:tcPr>
          <w:p>
            <w:pPr>
              <w:spacing w:after="0"/>
              <w:rPr>
                <w:sz w:val="1"/>
                <w:szCs w:val="1"/>
                <w:color w:val="auto"/>
              </w:rPr>
            </w:pPr>
          </w:p>
        </w:tc>
      </w:tr>
      <w:tr>
        <w:trPr>
          <w:trHeight w:val="203"/>
        </w:trPr>
        <w:tc>
          <w:tcPr>
            <w:tcW w:w="82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3,508,986</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2,831,432</w:t>
            </w: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INCOME (unaudited)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8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520" w:type="dxa"/>
            <w:vAlign w:val="bottom"/>
            <w:gridSpan w:val="4"/>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5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 except per share data)</w:t>
            </w: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6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2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tcPr>
          <w:p>
            <w:pPr>
              <w:jc w:val="right"/>
              <w:ind w:right="252"/>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200"/>
        </w:trPr>
        <w:tc>
          <w:tcPr>
            <w:tcW w:w="556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871,799</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2,509,635</w:t>
            </w:r>
          </w:p>
        </w:tc>
        <w:tc>
          <w:tcPr>
            <w:tcW w:w="0" w:type="dxa"/>
            <w:vAlign w:val="bottom"/>
          </w:tcPr>
          <w:p>
            <w:pPr>
              <w:spacing w:after="0"/>
              <w:rPr>
                <w:sz w:val="1"/>
                <w:szCs w:val="1"/>
                <w:color w:val="auto"/>
              </w:rPr>
            </w:pP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(769,616)</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(2,926,849)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(2,207,577)</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102,183</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302,058</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(65,300)</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78,856</w:t>
            </w:r>
          </w:p>
        </w:tc>
        <w:tc>
          <w:tcPr>
            <w:tcW w:w="1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328,638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235,391</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32,392</w:t>
            </w:r>
          </w:p>
        </w:tc>
        <w:tc>
          <w:tcPr>
            <w:tcW w:w="0" w:type="dxa"/>
            <w:vAlign w:val="bottom"/>
          </w:tcPr>
          <w:p>
            <w:pPr>
              <w:spacing w:after="0"/>
              <w:rPr>
                <w:sz w:val="1"/>
                <w:szCs w:val="1"/>
                <w:color w:val="auto"/>
              </w:rPr>
            </w:pPr>
          </w:p>
        </w:tc>
      </w:tr>
      <w:tr>
        <w:trPr>
          <w:trHeight w:val="229"/>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355,395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261,944</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333,767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245,320</w:t>
            </w:r>
          </w:p>
        </w:tc>
        <w:tc>
          <w:tcPr>
            <w:tcW w:w="0" w:type="dxa"/>
            <w:vAlign w:val="bottom"/>
          </w:tcPr>
          <w:p>
            <w:pPr>
              <w:spacing w:after="0"/>
              <w:rPr>
                <w:sz w:val="1"/>
                <w:szCs w:val="1"/>
                <w:color w:val="auto"/>
              </w:rPr>
            </w:pPr>
          </w:p>
        </w:tc>
      </w:tr>
      <w:tr>
        <w:trPr>
          <w:trHeight w:val="20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net unrealized gain (loss) on available-for-sale securities</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net unrealized gain (loss) on derivative instruments</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30"/>
        </w:trPr>
        <w:tc>
          <w:tcPr>
            <w:tcW w:w="55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0" w:type="dxa"/>
            <w:vAlign w:val="bottom"/>
          </w:tcPr>
          <w:p>
            <w:pPr>
              <w:spacing w:after="0"/>
              <w:rPr>
                <w:sz w:val="1"/>
                <w:szCs w:val="1"/>
                <w:color w:val="auto"/>
              </w:rPr>
            </w:pP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0" w:type="dxa"/>
            <w:vAlign w:val="bottom"/>
          </w:tcPr>
          <w:p>
            <w:pPr>
              <w:spacing w:after="0"/>
              <w:rPr>
                <w:sz w:val="1"/>
                <w:szCs w:val="1"/>
                <w:color w:val="auto"/>
              </w:rPr>
            </w:pPr>
          </w:p>
        </w:tc>
      </w:tr>
      <w:tr>
        <w:trPr>
          <w:trHeight w:val="223"/>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comprehensive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87,490</w:t>
            </w:r>
          </w:p>
        </w:tc>
        <w:tc>
          <w:tcPr>
            <w:tcW w:w="1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322,972</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257,010</w:t>
            </w:r>
          </w:p>
        </w:tc>
        <w:tc>
          <w:tcPr>
            <w:tcW w:w="0" w:type="dxa"/>
            <w:vAlign w:val="bottom"/>
          </w:tcPr>
          <w:p>
            <w:pPr>
              <w:spacing w:after="0"/>
              <w:rPr>
                <w:sz w:val="1"/>
                <w:szCs w:val="1"/>
                <w:color w:val="auto"/>
              </w:rPr>
            </w:pP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176"/>
        </w:trPr>
        <w:tc>
          <w:tcPr>
            <w:tcW w:w="55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Weighted-average number of ordinary shares outstanding (in</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thousands of shares)</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35,828</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35,914</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35,809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36,094</w:t>
            </w:r>
          </w:p>
        </w:tc>
        <w:tc>
          <w:tcPr>
            <w:tcW w:w="0" w:type="dxa"/>
            <w:vAlign w:val="bottom"/>
          </w:tcPr>
          <w:p>
            <w:pPr>
              <w:spacing w:after="0"/>
              <w:rPr>
                <w:sz w:val="1"/>
                <w:szCs w:val="1"/>
                <w:color w:val="auto"/>
              </w:rPr>
            </w:pPr>
          </w:p>
        </w:tc>
      </w:tr>
      <w:tr>
        <w:trPr>
          <w:trHeight w:val="234"/>
        </w:trPr>
        <w:tc>
          <w:tcPr>
            <w:tcW w:w="5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36,172</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27, 2026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22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5"/>
                <w:szCs w:val="5"/>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5"/>
                <w:szCs w:val="5"/>
                <w:color w:val="auto"/>
              </w:rPr>
            </w:pPr>
          </w:p>
        </w:tc>
        <w:tc>
          <w:tcPr>
            <w:tcW w:w="12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5"/>
                <w:szCs w:val="5"/>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data)</w:t>
            </w:r>
          </w:p>
        </w:tc>
        <w:tc>
          <w:tcPr>
            <w:tcW w:w="132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940" w:type="dxa"/>
            <w:vAlign w:val="bottom"/>
            <w:vMerge w:val="continue"/>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00" w:type="dxa"/>
            <w:vAlign w:val="bottom"/>
          </w:tcPr>
          <w:p>
            <w:pPr>
              <w:spacing w:after="0"/>
              <w:rPr>
                <w:sz w:val="17"/>
                <w:szCs w:val="17"/>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26, 2025</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39,709,931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233,235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(365,136)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2,301,851</w:t>
            </w: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2,184,786</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warrant</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357 shares held as</w:t>
            </w: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176"/>
        </w:trPr>
        <w:tc>
          <w:tcPr>
            <w:tcW w:w="2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withholdings related to net share</w:t>
            </w: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0" w:type="dxa"/>
            <w:vAlign w:val="bottom"/>
          </w:tcPr>
          <w:p>
            <w:pPr>
              <w:spacing w:after="0"/>
              <w:rPr>
                <w:sz w:val="1"/>
                <w:szCs w:val="1"/>
                <w:color w:val="auto"/>
              </w:rPr>
            </w:pPr>
          </w:p>
        </w:tc>
      </w:tr>
      <w:tr>
        <w:trPr>
          <w:trHeight w:val="248"/>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27, 2026</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39,717,065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2,304,711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March 27, 2026</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tcPr>
          <w:p>
            <w:pPr>
              <w:spacing w:after="0"/>
              <w:rPr>
                <w:sz w:val="15"/>
                <w:szCs w:val="15"/>
                <w:color w:val="auto"/>
              </w:rPr>
            </w:pPr>
          </w:p>
        </w:tc>
        <w:tc>
          <w:tcPr>
            <w:tcW w:w="222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940" w:type="dxa"/>
            <w:vAlign w:val="bottom"/>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5"/>
                <w:szCs w:val="5"/>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60" w:type="dxa"/>
            <w:vAlign w:val="bottom"/>
          </w:tcPr>
          <w:p>
            <w:pPr>
              <w:spacing w:after="0"/>
              <w:rPr>
                <w:sz w:val="5"/>
                <w:szCs w:val="5"/>
                <w:color w:val="auto"/>
              </w:rPr>
            </w:pPr>
          </w:p>
        </w:tc>
        <w:tc>
          <w:tcPr>
            <w:tcW w:w="130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5"/>
                <w:szCs w:val="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9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data)</w:t>
            </w:r>
          </w:p>
        </w:tc>
        <w:tc>
          <w:tcPr>
            <w:tcW w:w="134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940" w:type="dxa"/>
            <w:vAlign w:val="bottom"/>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7"/>
                <w:szCs w:val="17"/>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2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27, 2025</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39,602,152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237,881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(360,056)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2,093,297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1,981,812</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333,767</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0" w:type="dxa"/>
            <w:vAlign w:val="bottom"/>
          </w:tcPr>
          <w:p>
            <w:pPr>
              <w:spacing w:after="0"/>
              <w:rPr>
                <w:sz w:val="1"/>
                <w:szCs w:val="1"/>
                <w:color w:val="auto"/>
              </w:rPr>
            </w:pPr>
          </w:p>
        </w:tc>
      </w:tr>
      <w:tr>
        <w:trPr>
          <w:trHeight w:val="229"/>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warrant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114,913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9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13,766 shares held as</w:t>
            </w: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0" w:type="dxa"/>
            <w:vAlign w:val="bottom"/>
          </w:tcPr>
          <w:p>
            <w:pPr>
              <w:spacing w:after="0"/>
              <w:rPr>
                <w:sz w:val="1"/>
                <w:szCs w:val="1"/>
                <w:color w:val="auto"/>
              </w:rPr>
            </w:pPr>
          </w:p>
        </w:tc>
      </w:tr>
      <w:tr>
        <w:trPr>
          <w:trHeight w:val="175"/>
        </w:trPr>
        <w:tc>
          <w:tcPr>
            <w:tcW w:w="29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withholdings related to net share</w:t>
            </w: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(24,388)</w:t>
            </w:r>
          </w:p>
        </w:tc>
        <w:tc>
          <w:tcPr>
            <w:tcW w:w="0" w:type="dxa"/>
            <w:vAlign w:val="bottom"/>
          </w:tcPr>
          <w:p>
            <w:pPr>
              <w:spacing w:after="0"/>
              <w:rPr>
                <w:sz w:val="1"/>
                <w:szCs w:val="1"/>
                <w:color w:val="auto"/>
              </w:rPr>
            </w:pPr>
          </w:p>
        </w:tc>
      </w:tr>
      <w:tr>
        <w:trPr>
          <w:trHeight w:val="248"/>
        </w:trPr>
        <w:tc>
          <w:tcPr>
            <w:tcW w:w="2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27, 2026</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39,717,065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243,038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(365,287)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2,427,064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2,304,711</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 (unaudited)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Three Months Ended March 28, 2025</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23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5"/>
                <w:szCs w:val="5"/>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5"/>
                <w:szCs w:val="5"/>
                <w:color w:val="auto"/>
              </w:rPr>
            </w:pPr>
          </w:p>
        </w:tc>
        <w:tc>
          <w:tcPr>
            <w:tcW w:w="130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5"/>
                <w:szCs w:val="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data)</w:t>
            </w: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288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December 27,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39,585,188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218,449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1,924,800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1,842,971</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warrant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6"/>
        </w:trPr>
        <w:tc>
          <w:tcPr>
            <w:tcW w:w="2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162,133 shares held as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(34,775)</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withholdings related to net share</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48"/>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28, 2025</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39,596,609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1,907,194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Nine Months Ended March 28, 2025</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80" w:type="dxa"/>
            <w:vAlign w:val="bottom"/>
          </w:tcPr>
          <w:p>
            <w:pPr>
              <w:spacing w:after="0"/>
              <w:rPr>
                <w:sz w:val="15"/>
                <w:szCs w:val="15"/>
                <w:color w:val="auto"/>
              </w:rPr>
            </w:pPr>
          </w:p>
        </w:tc>
        <w:tc>
          <w:tcPr>
            <w:tcW w:w="23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Ordinary Share</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880" w:type="dxa"/>
            <w:vAlign w:val="bottom"/>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gridSpan w:val="2"/>
            <w:vMerge w:val="restart"/>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5"/>
                <w:szCs w:val="5"/>
                <w:color w:val="auto"/>
              </w:rPr>
            </w:pPr>
          </w:p>
        </w:tc>
        <w:tc>
          <w:tcPr>
            <w:tcW w:w="10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5"/>
                <w:szCs w:val="5"/>
                <w:color w:val="auto"/>
              </w:rPr>
            </w:pPr>
          </w:p>
        </w:tc>
        <w:tc>
          <w:tcPr>
            <w:tcW w:w="1300" w:type="dxa"/>
            <w:vAlign w:val="bottom"/>
            <w:gridSpan w:val="2"/>
            <w:vMerge w:val="restart"/>
          </w:tcPr>
          <w:p>
            <w:pPr>
              <w:jc w:val="center"/>
              <w:ind w:right="260"/>
              <w:spacing w:after="0" w:line="122"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5"/>
                <w:szCs w:val="5"/>
                <w:color w:val="auto"/>
              </w:rPr>
            </w:pPr>
          </w:p>
        </w:tc>
        <w:tc>
          <w:tcPr>
            <w:tcW w:w="10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4"/>
        </w:trPr>
        <w:tc>
          <w:tcPr>
            <w:tcW w:w="2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 except share data)</w:t>
            </w:r>
          </w:p>
        </w:tc>
        <w:tc>
          <w:tcPr>
            <w:tcW w:w="140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2"/>
                <w:szCs w:val="12"/>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880" w:type="dxa"/>
            <w:vAlign w:val="bottom"/>
            <w:vMerge w:val="continue"/>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80" w:type="dxa"/>
            <w:vAlign w:val="bottom"/>
          </w:tcPr>
          <w:p>
            <w:pPr>
              <w:spacing w:after="0"/>
              <w:rPr>
                <w:sz w:val="17"/>
                <w:szCs w:val="17"/>
                <w:color w:val="auto"/>
              </w:rPr>
            </w:pP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7"/>
                <w:szCs w:val="17"/>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24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June 28,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39,457,462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222,044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(234,323)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1,760,770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1,745,745</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245,320</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warrant</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0" w:type="dxa"/>
            <w:vAlign w:val="bottom"/>
          </w:tcPr>
          <w:p>
            <w:pPr>
              <w:spacing w:after="0"/>
              <w:rPr>
                <w:sz w:val="1"/>
                <w:szCs w:val="1"/>
                <w:color w:val="auto"/>
              </w:rPr>
            </w:pPr>
          </w:p>
        </w:tc>
      </w:tr>
      <w:tr>
        <w:trPr>
          <w:trHeight w:val="230"/>
        </w:trPr>
        <w:tc>
          <w:tcPr>
            <w:tcW w:w="2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ordinary shares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2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Repurchase of 453,913 shares held as</w:t>
            </w: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(103,475)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(103,475)</w:t>
            </w:r>
          </w:p>
        </w:tc>
        <w:tc>
          <w:tcPr>
            <w:tcW w:w="0" w:type="dxa"/>
            <w:vAlign w:val="bottom"/>
          </w:tcPr>
          <w:p>
            <w:pPr>
              <w:spacing w:after="0"/>
              <w:rPr>
                <w:sz w:val="1"/>
                <w:szCs w:val="1"/>
                <w:color w:val="auto"/>
              </w:rPr>
            </w:pPr>
          </w:p>
        </w:tc>
      </w:tr>
      <w:tr>
        <w:trPr>
          <w:trHeight w:val="175"/>
        </w:trPr>
        <w:tc>
          <w:tcPr>
            <w:tcW w:w="28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withholdings related to net share</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settlement of restricted share units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0" w:type="dxa"/>
            <w:vAlign w:val="bottom"/>
          </w:tcPr>
          <w:p>
            <w:pPr>
              <w:spacing w:after="0"/>
              <w:rPr>
                <w:sz w:val="1"/>
                <w:szCs w:val="1"/>
                <w:color w:val="auto"/>
              </w:rPr>
            </w:pPr>
          </w:p>
        </w:tc>
      </w:tr>
      <w:tr>
        <w:trPr>
          <w:trHeight w:val="248"/>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Balances at March 28, 2025</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39,596,609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(337,798)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2,006,090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1,907,194</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9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4"/>
          </w:tcPr>
          <w:p>
            <w:pPr>
              <w:jc w:val="right"/>
              <w:ind w:right="77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260" w:type="dxa"/>
            <w:vAlign w:val="bottom"/>
          </w:tcPr>
          <w:p>
            <w:pPr>
              <w:spacing w:after="0"/>
              <w:rPr>
                <w:sz w:val="11"/>
                <w:szCs w:val="11"/>
                <w:color w:val="auto"/>
              </w:rPr>
            </w:pPr>
          </w:p>
        </w:tc>
        <w:tc>
          <w:tcPr>
            <w:tcW w:w="128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60" w:type="dxa"/>
            <w:vAlign w:val="bottom"/>
          </w:tcPr>
          <w:p>
            <w:pPr>
              <w:spacing w:after="0"/>
              <w:rPr>
                <w:sz w:val="11"/>
                <w:szCs w:val="11"/>
                <w:color w:val="auto"/>
              </w:rPr>
            </w:pPr>
          </w:p>
        </w:tc>
        <w:tc>
          <w:tcPr>
            <w:tcW w:w="1180" w:type="dxa"/>
            <w:vAlign w:val="bottom"/>
          </w:tcPr>
          <w:p>
            <w:pPr>
              <w:jc w:val="right"/>
              <w:ind w:right="311"/>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5"/>
        </w:trPr>
        <w:tc>
          <w:tcPr>
            <w:tcW w:w="826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5"/>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the period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333,767</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245,320</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39,223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(Gain) loss on disposal of property, plant and equipment and intangibles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Amortization of discount (premium) of short-term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Inventory obsolescence impairment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(Reversal of) allowance for expected credit losses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Unrealized loss (gain) on exchange rate and fair value of foreign currency forward contracts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4,067</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Share-based compensation</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Customer warrant</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3,929</w:t>
            </w:r>
          </w:p>
        </w:tc>
        <w:tc>
          <w:tcPr>
            <w:tcW w:w="0" w:type="dxa"/>
            <w:vAlign w:val="bottom"/>
          </w:tcPr>
          <w:p>
            <w:pPr>
              <w:spacing w:after="0"/>
              <w:rPr>
                <w:sz w:val="1"/>
                <w:szCs w:val="1"/>
                <w:color w:val="auto"/>
              </w:rPr>
            </w:pPr>
          </w:p>
        </w:tc>
      </w:tr>
      <w:tr>
        <w:trPr>
          <w:trHeight w:val="230"/>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non-cash expenses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Trade accounts receivable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(65,271)</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Inventories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(68,132)</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current assets and non-current assets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w:t>
            </w:r>
          </w:p>
        </w:tc>
        <w:tc>
          <w:tcPr>
            <w:tcW w:w="0" w:type="dxa"/>
            <w:vAlign w:val="bottom"/>
          </w:tcPr>
          <w:p>
            <w:pPr>
              <w:spacing w:after="0"/>
              <w:rPr>
                <w:sz w:val="1"/>
                <w:szCs w:val="1"/>
                <w:color w:val="auto"/>
              </w:rPr>
            </w:pPr>
          </w:p>
        </w:tc>
      </w:tr>
      <w:tr>
        <w:trPr>
          <w:trHeight w:val="229"/>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Trade accounts payable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79,196</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Income tax payable</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0" w:type="dxa"/>
            <w:vAlign w:val="bottom"/>
          </w:tcPr>
          <w:p>
            <w:pPr>
              <w:spacing w:after="0"/>
              <w:rPr>
                <w:sz w:val="1"/>
                <w:szCs w:val="1"/>
                <w:color w:val="auto"/>
              </w:rPr>
            </w:pPr>
          </w:p>
        </w:tc>
      </w:tr>
      <w:tr>
        <w:trPr>
          <w:trHeight w:val="230"/>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payables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30"/>
        </w:trPr>
        <w:tc>
          <w:tcPr>
            <w:tcW w:w="82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Severance liabilities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Other current liabilities and non-current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201,758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273,272</w:t>
            </w:r>
          </w:p>
        </w:tc>
        <w:tc>
          <w:tcPr>
            <w:tcW w:w="0" w:type="dxa"/>
            <w:vAlign w:val="bottom"/>
          </w:tcPr>
          <w:p>
            <w:pPr>
              <w:spacing w:after="0"/>
              <w:rPr>
                <w:sz w:val="1"/>
                <w:szCs w:val="1"/>
                <w:color w:val="auto"/>
              </w:rPr>
            </w:pPr>
          </w:p>
        </w:tc>
      </w:tr>
      <w:tr>
        <w:trPr>
          <w:trHeight w:val="21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(304,189)</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122,129</w:t>
            </w: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(160,634)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(70,668)</w:t>
            </w: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intangibles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Proceeds from disposal of property, plant and equipment</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(253,126)</w:t>
            </w:r>
          </w:p>
        </w:tc>
        <w:tc>
          <w:tcPr>
            <w:tcW w:w="0" w:type="dxa"/>
            <w:vAlign w:val="bottom"/>
          </w:tcPr>
          <w:p>
            <w:pPr>
              <w:spacing w:after="0"/>
              <w:rPr>
                <w:sz w:val="1"/>
                <w:szCs w:val="1"/>
                <w:color w:val="auto"/>
              </w:rPr>
            </w:pPr>
          </w:p>
        </w:tc>
      </w:tr>
      <w:tr>
        <w:trPr>
          <w:trHeight w:val="20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(103,475)</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Withholding tax related to net share settlement of restricted share units</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(20,918)</w:t>
            </w: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(124,393)</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(104,247)</w:t>
            </w:r>
          </w:p>
        </w:tc>
        <w:tc>
          <w:tcPr>
            <w:tcW w:w="0" w:type="dxa"/>
            <w:vAlign w:val="bottom"/>
          </w:tcPr>
          <w:p>
            <w:pPr>
              <w:spacing w:after="0"/>
              <w:rPr>
                <w:sz w:val="1"/>
                <w:szCs w:val="1"/>
                <w:color w:val="auto"/>
              </w:rPr>
            </w:pPr>
          </w:p>
        </w:tc>
      </w:tr>
      <w:tr>
        <w:trPr>
          <w:trHeight w:val="20"/>
        </w:trPr>
        <w:tc>
          <w:tcPr>
            <w:tcW w:w="82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Movement in cash, cash equivalents and restricted cash</w:t>
            </w: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the beginning of period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306,425</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409,973</w:t>
            </w: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(104,247)</w:t>
            </w: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on cash, cash equivalents and restricted cash</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the end of period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Non-cash investing and financing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26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Construction, software and equipment-related payables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 (Continued)</w:t>
      </w:r>
    </w:p>
    <w:p>
      <w:pPr>
        <w:spacing w:after="0" w:line="229" w:lineRule="exact"/>
        <w:rPr>
          <w:sz w:val="20"/>
          <w:szCs w:val="20"/>
          <w:color w:val="auto"/>
        </w:rPr>
      </w:pPr>
    </w:p>
    <w:p>
      <w:pPr>
        <w:ind w:right="240"/>
        <w:spacing w:after="0" w:line="270"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unaudited condensed consolidated balance sheets that sum to the total of the same amounts shown in the unaudited condensed consolidated statements of cash flows:</w:t>
      </w:r>
    </w:p>
    <w:tbl>
      <w:tblPr>
        <w:tblLayout w:type="fixed"/>
        <w:tblInd w:w="0" w:type="dxa"/>
        <w:tblCellMar>
          <w:top w:w="0" w:type="dxa"/>
          <w:left w:w="0" w:type="dxa"/>
          <w:bottom w:w="0" w:type="dxa"/>
          <w:right w:w="0" w:type="dxa"/>
        </w:tblCellMar>
      </w:tblPr>
      <w:tr>
        <w:trPr>
          <w:trHeight w:val="149"/>
        </w:trPr>
        <w:tc>
          <w:tcPr>
            <w:tcW w:w="82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of U.S. dollars)</w:t>
            </w: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80" w:type="dxa"/>
            <w:vAlign w:val="bottom"/>
          </w:tcPr>
          <w:p>
            <w:pPr>
              <w:spacing w:after="0"/>
              <w:rPr>
                <w:sz w:val="12"/>
                <w:szCs w:val="12"/>
                <w:color w:val="auto"/>
              </w:rPr>
            </w:pPr>
          </w:p>
        </w:tc>
        <w:tc>
          <w:tcPr>
            <w:tcW w:w="1260" w:type="dxa"/>
            <w:vAlign w:val="bottom"/>
          </w:tcPr>
          <w:p>
            <w:pPr>
              <w:jc w:val="right"/>
              <w:ind w:right="477"/>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5"/>
        </w:trPr>
        <w:tc>
          <w:tcPr>
            <w:tcW w:w="82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80" w:type="dxa"/>
            <w:vAlign w:val="bottom"/>
          </w:tcPr>
          <w:p>
            <w:pPr>
              <w:spacing w:after="0"/>
              <w:rPr>
                <w:sz w:val="16"/>
                <w:szCs w:val="16"/>
                <w:color w:val="auto"/>
              </w:rPr>
            </w:pPr>
          </w:p>
        </w:tc>
        <w:tc>
          <w:tcPr>
            <w:tcW w:w="126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March 28, 2025</w:t>
            </w:r>
          </w:p>
        </w:tc>
        <w:tc>
          <w:tcPr>
            <w:tcW w:w="0" w:type="dxa"/>
            <w:vAlign w:val="bottom"/>
          </w:tcPr>
          <w:p>
            <w:pPr>
              <w:spacing w:after="0"/>
              <w:rPr>
                <w:sz w:val="1"/>
                <w:szCs w:val="1"/>
                <w:color w:val="auto"/>
              </w:rPr>
            </w:pPr>
          </w:p>
        </w:tc>
      </w:tr>
      <w:tr>
        <w:trPr>
          <w:trHeight w:val="228"/>
        </w:trPr>
        <w:tc>
          <w:tcPr>
            <w:tcW w:w="8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356,562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306,905</w:t>
            </w: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357,256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306,905</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FABRINET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of U.S. dollars unless otherwise noted)</w:t>
      </w:r>
    </w:p>
    <w:p>
      <w:pPr>
        <w:spacing w:after="0" w:line="9" w:lineRule="exact"/>
        <w:rPr>
          <w:sz w:val="20"/>
          <w:szCs w:val="20"/>
          <w:color w:val="auto"/>
        </w:rPr>
      </w:pPr>
    </w:p>
    <w:p>
      <w:pPr>
        <w:ind w:left="340" w:right="8880" w:hanging="332"/>
        <w:spacing w:after="0" w:line="365" w:lineRule="auto"/>
        <w:tabs>
          <w:tab w:leader="none" w:pos="331"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organization General</w:t>
      </w:r>
    </w:p>
    <w:p>
      <w:pPr>
        <w:ind w:left="3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Fabrinet (“Fabrinet” or the “Parent Company”) was incorporated on August 12, 1999, and commenced operations on January 1, 2000. The Parent Company is an exempted company incorporated in the Cayman Islands, British West Indies. The “Company” refers to Fabrinet and its subsidiaries as a group.</w:t>
      </w:r>
    </w:p>
    <w:p>
      <w:pPr>
        <w:spacing w:after="0" w:line="67" w:lineRule="exact"/>
        <w:rPr>
          <w:rFonts w:ascii="Times New Roman" w:cs="Times New Roman" w:eastAsia="Times New Roman" w:hAnsi="Times New Roman"/>
          <w:sz w:val="18"/>
          <w:szCs w:val="18"/>
          <w:b w:val="1"/>
          <w:bCs w:val="1"/>
          <w:color w:val="auto"/>
        </w:rPr>
      </w:pPr>
    </w:p>
    <w:p>
      <w:pPr>
        <w:ind w:left="340" w:right="24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provides advanced optical packaging and precision optical, electro-mechanical and electronic manufacturing services to original equipment manufacturers of complex products, such as optical communication components, modules and sub-systems, automotive components, industrial lasers, medical devices and sensors. The Company offers a broad range of advanced optical and electro-mechanical capabilities across the entire manufacturing process, including process design and engineering, supply chain management, manufacturing, complex printed circuit board assembly, advanced packaging, integration, final assembly and testing. The Company is capable of producing a wide variety of high complexity products in any mix and any volume. The principal subsidiaries of Fabrinet include Fabrinet Co., Ltd. (“Fabrinet Thailand”), Casix, Inc. (“Casix”), Fabrinet West, Inc. (“Fabrinet West”) and Fabrinet Israel Ltd. (“Fabrinet Israel”).</w:t>
      </w:r>
    </w:p>
    <w:p>
      <w:pPr>
        <w:spacing w:after="0" w:line="292" w:lineRule="exact"/>
        <w:rPr>
          <w:rFonts w:ascii="Times New Roman" w:cs="Times New Roman" w:eastAsia="Times New Roman" w:hAnsi="Times New Roman"/>
          <w:sz w:val="18"/>
          <w:szCs w:val="18"/>
          <w:b w:val="1"/>
          <w:bCs w:val="1"/>
          <w:color w:val="auto"/>
        </w:rPr>
      </w:pPr>
    </w:p>
    <w:p>
      <w:pPr>
        <w:ind w:left="340" w:right="9320" w:hanging="332"/>
        <w:spacing w:after="0" w:line="400" w:lineRule="auto"/>
        <w:tabs>
          <w:tab w:leader="none" w:pos="331"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Accounting policies </w:t>
      </w:r>
      <w:r>
        <w:rPr>
          <w:rFonts w:ascii="Times New Roman" w:cs="Times New Roman" w:eastAsia="Times New Roman" w:hAnsi="Times New Roman"/>
          <w:sz w:val="17"/>
          <w:szCs w:val="17"/>
          <w:b w:val="1"/>
          <w:bCs w:val="1"/>
          <w:i w:val="1"/>
          <w:iCs w:val="1"/>
          <w:color w:val="auto"/>
        </w:rPr>
        <w:t>Basis of presentation</w:t>
      </w:r>
    </w:p>
    <w:p>
      <w:pPr>
        <w:ind w:left="340" w:right="60"/>
        <w:spacing w:after="0" w:line="25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accompanying unaudited condensed consolidated financial statements for Fabrinet as of March 27, 2026 and for the three and nine months ended March 27, 2026 and March 28, 2025 include normal recurring adjustments necessary for a fair statement of the financial statements set forth herein, in accordance with accounting principles generally accepted in the United States of America (“U.S. GAAP” or "GAAP") for interim financial information and the rules and regulations of the Securities and Exchange Commission (“SEC”). Accordingly, such information does not include all of the information and footnotes required by U.S. GAAP for annual financial statements. For further information, please refer to the consolidated financial statements and footnotes thereto included in Fabrinet’s Annual Report on Form 10-K for the year ended June 27, 2025.</w:t>
      </w:r>
    </w:p>
    <w:p>
      <w:pPr>
        <w:spacing w:after="0" w:line="79" w:lineRule="exact"/>
        <w:rPr>
          <w:rFonts w:ascii="Times New Roman" w:cs="Times New Roman" w:eastAsia="Times New Roman" w:hAnsi="Times New Roman"/>
          <w:sz w:val="17"/>
          <w:szCs w:val="17"/>
          <w:b w:val="1"/>
          <w:bCs w:val="1"/>
          <w:color w:val="auto"/>
        </w:rPr>
      </w:pPr>
    </w:p>
    <w:p>
      <w:pPr>
        <w:ind w:left="340" w:right="28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balance sheet as of June 27, 2025 has been derived from the audited financial statements at that date but does not include all of the information and footnotes required by U.S. GAAP for complete financial statements.</w:t>
      </w:r>
    </w:p>
    <w:p>
      <w:pPr>
        <w:spacing w:after="0" w:line="53" w:lineRule="exact"/>
        <w:rPr>
          <w:rFonts w:ascii="Times New Roman" w:cs="Times New Roman" w:eastAsia="Times New Roman" w:hAnsi="Times New Roman"/>
          <w:sz w:val="17"/>
          <w:szCs w:val="17"/>
          <w:b w:val="1"/>
          <w:bCs w:val="1"/>
          <w:color w:val="auto"/>
        </w:rPr>
      </w:pPr>
    </w:p>
    <w:p>
      <w:pPr>
        <w:ind w:left="340" w:right="520"/>
        <w:spacing w:after="0" w:line="28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results for the three and nine months ended March 27, 2026 may not be indicative of results for the year ending June 26, 2026 or any future periods.</w:t>
      </w:r>
    </w:p>
    <w:p>
      <w:pPr>
        <w:spacing w:after="0" w:line="157" w:lineRule="exact"/>
        <w:rPr>
          <w:rFonts w:ascii="Times New Roman" w:cs="Times New Roman" w:eastAsia="Times New Roman" w:hAnsi="Times New Roman"/>
          <w:sz w:val="17"/>
          <w:szCs w:val="17"/>
          <w:b w:val="1"/>
          <w:bCs w:val="1"/>
          <w:color w:val="auto"/>
        </w:rPr>
      </w:pPr>
    </w:p>
    <w:p>
      <w:pPr>
        <w:ind w:left="34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rFonts w:ascii="Times New Roman" w:cs="Times New Roman" w:eastAsia="Times New Roman" w:hAnsi="Times New Roman"/>
          <w:sz w:val="17"/>
          <w:szCs w:val="17"/>
          <w:b w:val="1"/>
          <w:bCs w:val="1"/>
          <w:color w:val="auto"/>
        </w:rPr>
      </w:pPr>
    </w:p>
    <w:p>
      <w:pPr>
        <w:ind w:left="340" w:right="40"/>
        <w:spacing w:after="0" w:line="25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U.S. GAAP requires management to make estimates and assumptions that affect the reported amounts of assets and liabilities and disclosure of contingent liabilities at the date of the financial statements and the reported amount of total revenues and expenses during the year. The Company bases estimates on historical experience and various assumptions about the future that are believed to be reasonable based on available information. The Company’s reported financial position or results of operations may be materially different under different conditions or when using different estimates and assumptions, particularly with respect to significant accounting policies, which are discussed below. Significant assumptions are used in accounting for share-based compensation, the fair value of warrant shares at grant date, allowance for expected credit losses, income taxes, and inventory obsolescence. Due to the inherent uncertainty involved in making estimates, actual results reported in future periods may be different from these estimates. In the event that the Company's estimates or assumptions prove to be different from actual results, adjustments will be made in subsequent periods to reflect more current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Fiscal years</w:t>
      </w:r>
    </w:p>
    <w:p>
      <w:pPr>
        <w:spacing w:after="0" w:line="121" w:lineRule="exact"/>
        <w:rPr>
          <w:sz w:val="20"/>
          <w:szCs w:val="20"/>
          <w:color w:val="auto"/>
        </w:rPr>
      </w:pPr>
    </w:p>
    <w:p>
      <w:pPr>
        <w:ind w:left="340" w:right="420"/>
        <w:spacing w:after="0" w:line="266" w:lineRule="auto"/>
        <w:rPr>
          <w:sz w:val="20"/>
          <w:szCs w:val="20"/>
          <w:color w:val="auto"/>
        </w:rPr>
      </w:pPr>
      <w:r>
        <w:rPr>
          <w:rFonts w:ascii="Times New Roman" w:cs="Times New Roman" w:eastAsia="Times New Roman" w:hAnsi="Times New Roman"/>
          <w:sz w:val="18"/>
          <w:szCs w:val="18"/>
          <w:color w:val="auto"/>
        </w:rPr>
        <w:t>The Company utilizes a 52-53 week fiscal year ending on the Friday in June closest to June 30. The three months ended March 27, 2026 and March 28, 2025 consisted of 13 weeks. The nine months ended March 27, 2026 and March 28, 2025 consisted of 39 weeks. Fiscal year 2026 will comprise 52 weeks and will end on June 26, 2026.</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Standards—not yet adopted by the Company</w:t>
      </w:r>
    </w:p>
    <w:p>
      <w:pPr>
        <w:spacing w:after="0" w:line="229" w:lineRule="exact"/>
        <w:rPr>
          <w:sz w:val="20"/>
          <w:szCs w:val="20"/>
          <w:color w:val="auto"/>
        </w:rPr>
      </w:pPr>
    </w:p>
    <w:p>
      <w:pPr>
        <w:ind w:left="340" w:right="40"/>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which requires more detailed income tax disclosures. This ASU requires entities to disclose disaggregated information about their effective tax rate reconciliation as well as expanded information on income taxes paid by jurisdiction. This ASU is effective for all entities for fiscal years beginning after December 15, 2024, with early adoption permitted for annual financial statements that have not yet been issued or made available for issuance. This ASU will be effective for the Company beginning in fiscal year 2026. The Company is currently assessing the impact to its disclosures.</w:t>
      </w:r>
    </w:p>
    <w:p>
      <w:pPr>
        <w:spacing w:after="0" w:line="183"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which requires additional disclosure, in notes to financial statements, of specified information about certain costs and expenses in the same tabular format disclosure as the other disaggregation requirements in the amendments in this ASU. This ASU is effective for all entities for fiscal years beginning after December 15, 2026, and interim reporting periods beginning after December 15, 2027, with early adoption permitted. This ASU is effective for the Company's annual periods beginning June 26, 2027, and interim periods beginning July 1, 2028, and will be applied retrospectively to all prior periods presented in the financial statements. The Company is currently evaluating the ASU to determine its impact on the Company's disclosures.</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20" w:hanging="312"/>
        <w:spacing w:after="0"/>
        <w:tabs>
          <w:tab w:leader="none" w:pos="3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from contracts with customers</w:t>
      </w:r>
    </w:p>
    <w:p>
      <w:pPr>
        <w:spacing w:after="0" w:line="117"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Revenue by Geographic Area, End Market and Product Category</w:t>
      </w:r>
    </w:p>
    <w:p>
      <w:pPr>
        <w:spacing w:after="0" w:line="121" w:lineRule="exact"/>
        <w:rPr>
          <w:rFonts w:ascii="Times New Roman" w:cs="Times New Roman" w:eastAsia="Times New Roman" w:hAnsi="Times New Roman"/>
          <w:sz w:val="18"/>
          <w:szCs w:val="18"/>
          <w:b w:val="1"/>
          <w:bCs w:val="1"/>
          <w:color w:val="auto"/>
        </w:rPr>
      </w:pPr>
    </w:p>
    <w:p>
      <w:pPr>
        <w:ind w:left="340" w:right="4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Revenues are attributed to a particular geographic area based on the bill-to-location of the Company’s customers. The Company operates in three geographic regions: North America; Asia-Pacific and others; and Europe.</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total revenues by geographic region: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As a % of Total</w:t>
            </w: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5"/>
        </w:trPr>
        <w:tc>
          <w:tcPr>
            <w:tcW w:w="340" w:type="dxa"/>
            <w:vAlign w:val="bottom"/>
          </w:tcPr>
          <w:p>
            <w:pPr>
              <w:spacing w:after="0"/>
              <w:rPr>
                <w:sz w:val="18"/>
                <w:szCs w:val="18"/>
                <w:color w:val="auto"/>
              </w:rPr>
            </w:pPr>
          </w:p>
        </w:tc>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630,218</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1,578,178</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in North America</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633,029</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1,585,875</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 and others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Israel</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211,394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675,638</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103,660</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314,303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Hong Kong</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116,947</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89,873</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25,121</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16,781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51,838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Singapore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14,777</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52,529</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2,893</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in Asia-Pacific and others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453,881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1,407,676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U.K.</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89,641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204,836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33,882</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Finland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37,994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18,437</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55,046</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in Europe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127,383</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331,758</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1,214,293</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3,325,309</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4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331"/>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0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0" w:type="dxa"/>
            <w:vAlign w:val="bottom"/>
          </w:tcPr>
          <w:p>
            <w:pPr>
              <w:spacing w:after="0"/>
              <w:rPr>
                <w:sz w:val="1"/>
                <w:szCs w:val="1"/>
                <w:color w:val="auto"/>
              </w:rPr>
            </w:pPr>
          </w:p>
        </w:tc>
      </w:tr>
      <w:tr>
        <w:trPr>
          <w:trHeight w:val="195"/>
        </w:trPr>
        <w:tc>
          <w:tcPr>
            <w:tcW w:w="44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2025</w:t>
            </w: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28, 2025</w:t>
            </w:r>
          </w:p>
        </w:tc>
        <w:tc>
          <w:tcPr>
            <w:tcW w:w="150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4"/>
        </w:trPr>
        <w:tc>
          <w:tcPr>
            <w:tcW w:w="4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North America</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401,769</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1,080,701</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Others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in North America</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403,126</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1,085,007</w:t>
            </w:r>
          </w:p>
        </w:tc>
        <w:tc>
          <w:tcPr>
            <w:tcW w:w="1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Asia-Pacific and others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Israel</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226,406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758,030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India</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86,027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238,486</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Hong Kong</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26,773</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65,735</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Thailand</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China</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14,694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40,216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Singapore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33,948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27,980</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Malaysia</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8,224</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23,287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in Asia-Pacific and others</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399,837</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1,230,657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0" w:type="dxa"/>
            <w:vAlign w:val="bottom"/>
          </w:tcPr>
          <w:p>
            <w:pPr>
              <w:spacing w:after="0"/>
              <w:rPr>
                <w:sz w:val="1"/>
                <w:szCs w:val="1"/>
                <w:color w:val="auto"/>
              </w:rPr>
            </w:pPr>
          </w:p>
        </w:tc>
      </w:tr>
      <w:tr>
        <w:trPr>
          <w:trHeight w:val="229"/>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Europe</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U.K.</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108,617</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Germany</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11,822</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32,033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20,109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in Europe</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68,836</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193,971</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7.8 %</w:t>
            </w: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871,799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2,509,635</w:t>
            </w:r>
          </w:p>
        </w:tc>
        <w:tc>
          <w:tcPr>
            <w:tcW w:w="1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260" w:hanging="8"/>
        <w:spacing w:after="0" w:line="340" w:lineRule="auto"/>
        <w:tabs>
          <w:tab w:leader="none" w:pos="652"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Others includes revenues from external customers based in our country of domicile, the Cayman Islands, which for each period presented is $0. The following table presents revenues by end market and product category: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As a % of Total</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As a % of Total</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7"/>
                <w:szCs w:val="17"/>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90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Optical communications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Telecom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431,366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1,179,334</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Datacom</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811,680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6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Datacenter interconnect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196,896</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477,176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Optical communications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888,704</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2,468,190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Non-optical communications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Automotive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354,403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High-performance computing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207,705</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Industrial laser</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59,173</w:t>
            </w:r>
          </w:p>
        </w:tc>
        <w:tc>
          <w:tcPr>
            <w:tcW w:w="1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169,729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Non-optical communications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325,589</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857,119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1,214,293</w:t>
            </w:r>
          </w:p>
        </w:tc>
        <w:tc>
          <w:tcPr>
            <w:tcW w:w="1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3,325,309</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14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0" w:type="dxa"/>
            <w:vAlign w:val="bottom"/>
          </w:tcPr>
          <w:p>
            <w:pPr>
              <w:spacing w:after="0"/>
              <w:rPr>
                <w:sz w:val="1"/>
                <w:szCs w:val="1"/>
                <w:color w:val="auto"/>
              </w:rPr>
            </w:pPr>
          </w:p>
        </w:tc>
      </w:tr>
      <w:tr>
        <w:trPr>
          <w:trHeight w:val="195"/>
        </w:trPr>
        <w:tc>
          <w:tcPr>
            <w:tcW w:w="4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2025</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28, 2025</w:t>
            </w:r>
          </w:p>
        </w:tc>
        <w:tc>
          <w:tcPr>
            <w:tcW w:w="150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4"/>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Optical communications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Telecom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302,736</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776,373</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Datacom</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251,105</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879,087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Datacenter interconnect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103,390</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275,236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Optical communications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657,231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1,930,696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Non-optical communications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Automotive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129,468</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336,456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Industrial laser</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40,464</w:t>
            </w: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113,332</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Non-optical communications</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214,568</w:t>
            </w:r>
          </w:p>
        </w:tc>
        <w:tc>
          <w:tcPr>
            <w:tcW w:w="100" w:type="dxa"/>
            <w:vAlign w:val="bottom"/>
            <w:tcBorders>
              <w:bottom w:val="single" w:sz="8" w:color="CCEEFF"/>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578,939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871,799</w:t>
            </w:r>
          </w:p>
        </w:tc>
        <w:tc>
          <w:tcPr>
            <w:tcW w:w="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2,509,635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Datacenter interconnect (DCI) modules are opto-electronic modules used to connect two or more geographically separated data centers.</w:t>
      </w:r>
    </w:p>
    <w:p>
      <w:pPr>
        <w:spacing w:after="0" w:line="1" w:lineRule="exact"/>
        <w:rPr>
          <w:rFonts w:ascii="Times New Roman" w:cs="Times New Roman" w:eastAsia="Times New Roman" w:hAnsi="Times New Roman"/>
          <w:sz w:val="23"/>
          <w:szCs w:val="23"/>
          <w:color w:val="auto"/>
          <w:vertAlign w:val="superscript"/>
        </w:rPr>
      </w:pPr>
    </w:p>
    <w:p>
      <w:pPr>
        <w:ind w:left="660" w:right="160" w:hanging="328"/>
        <w:spacing w:after="0" w:line="219" w:lineRule="auto"/>
        <w:tabs>
          <w:tab w:leader="none" w:pos="648" w:val="left"/>
        </w:tabs>
        <w:numPr>
          <w:ilvl w:val="0"/>
          <w:numId w:val="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High-performance computing (HPC) products are massively parallel computing systems built from interconnected high-performance processors, accelerators, high-speed memory, and low-latency networking to solve complex, compute-intensive problems.</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Contract Assets and Liabilities</w:t>
      </w:r>
    </w:p>
    <w:p>
      <w:pPr>
        <w:spacing w:after="0" w:line="121" w:lineRule="exact"/>
        <w:rPr>
          <w:sz w:val="20"/>
          <w:szCs w:val="20"/>
          <w:color w:val="auto"/>
        </w:rPr>
      </w:pPr>
    </w:p>
    <w:p>
      <w:pPr>
        <w:ind w:left="340" w:right="240"/>
        <w:spacing w:after="0" w:line="266" w:lineRule="auto"/>
        <w:rPr>
          <w:sz w:val="20"/>
          <w:szCs w:val="20"/>
          <w:color w:val="auto"/>
        </w:rPr>
      </w:pPr>
      <w:r>
        <w:rPr>
          <w:rFonts w:ascii="Times New Roman" w:cs="Times New Roman" w:eastAsia="Times New Roman" w:hAnsi="Times New Roman"/>
          <w:sz w:val="18"/>
          <w:szCs w:val="18"/>
          <w:color w:val="auto"/>
        </w:rPr>
        <w:t>A contract asset is recognized when the Company has recognized revenues, but has not yet issued an invoice to its customer for payment. Contract assets are recognized in the unaudited condensed consolidated balance sheets under other current assets and transferred to accounts receivable when rights to payment become unconditional.</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27, 2026 and June 27, 2025, the Company's contract assets were de minimis.</w:t>
      </w:r>
    </w:p>
    <w:p>
      <w:pPr>
        <w:spacing w:after="0" w:line="117" w:lineRule="exact"/>
        <w:rPr>
          <w:sz w:val="20"/>
          <w:szCs w:val="20"/>
          <w:color w:val="auto"/>
        </w:rPr>
      </w:pPr>
    </w:p>
    <w:p>
      <w:pPr>
        <w:ind w:left="340" w:right="240"/>
        <w:spacing w:after="0" w:line="266" w:lineRule="auto"/>
        <w:rPr>
          <w:sz w:val="20"/>
          <w:szCs w:val="20"/>
          <w:color w:val="auto"/>
        </w:rPr>
      </w:pPr>
      <w:r>
        <w:rPr>
          <w:rFonts w:ascii="Times New Roman" w:cs="Times New Roman" w:eastAsia="Times New Roman" w:hAnsi="Times New Roman"/>
          <w:sz w:val="18"/>
          <w:szCs w:val="18"/>
          <w:color w:val="auto"/>
        </w:rPr>
        <w:t>A contract liability is recognized when the Company has advance payment arrangements with customers. Contract liabilities are recognized in the unaudited condensed consolidated balance sheets under other payables. The contract liabilities balance is normally recognized as revenue within six months.</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in the Company’s contract liabilities:</w:t>
      </w:r>
    </w:p>
    <w:p>
      <w:pPr>
        <w:spacing w:after="0" w:line="259"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Pr>
          <w:p>
            <w:pPr>
              <w:spacing w:after="0"/>
              <w:rPr>
                <w:sz w:val="11"/>
                <w:szCs w:val="11"/>
                <w:color w:val="auto"/>
              </w:rPr>
            </w:pPr>
          </w:p>
        </w:tc>
        <w:tc>
          <w:tcPr>
            <w:tcW w:w="126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60" w:type="dxa"/>
            <w:vAlign w:val="bottom"/>
          </w:tcPr>
          <w:p>
            <w:pPr>
              <w:spacing w:after="0"/>
              <w:rPr>
                <w:sz w:val="11"/>
                <w:szCs w:val="11"/>
                <w:color w:val="auto"/>
              </w:rPr>
            </w:pPr>
          </w:p>
        </w:tc>
        <w:tc>
          <w:tcPr>
            <w:tcW w:w="1140" w:type="dxa"/>
            <w:vAlign w:val="bottom"/>
          </w:tcPr>
          <w:p>
            <w:pPr>
              <w:jc w:val="right"/>
              <w:ind w:right="296"/>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6"/>
        </w:trPr>
        <w:tc>
          <w:tcPr>
            <w:tcW w:w="760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14,467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7,846</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Advance payments received during the period</w:t>
            </w:r>
          </w:p>
        </w:tc>
        <w:tc>
          <w:tcPr>
            <w:tcW w:w="240" w:type="dxa"/>
            <w:vAlign w:val="bottom"/>
          </w:tcPr>
          <w:p>
            <w:pPr>
              <w:spacing w:after="0"/>
              <w:rPr>
                <w:sz w:val="19"/>
                <w:szCs w:val="19"/>
                <w:color w:val="auto"/>
              </w:rPr>
            </w:pPr>
          </w:p>
        </w:tc>
        <w:tc>
          <w:tcPr>
            <w:tcW w:w="11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72,650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2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(28,290)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(10,455)</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end of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58,827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8,925</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Warrant</w:t>
      </w:r>
    </w:p>
    <w:p>
      <w:pPr>
        <w:spacing w:after="0" w:line="119"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 xml:space="preserve">Warrants issued to customers are accounted for as equity instruments and measured in accordance with ASC 718, </w:t>
      </w:r>
      <w:r>
        <w:rPr>
          <w:rFonts w:ascii="Times New Roman" w:cs="Times New Roman" w:eastAsia="Times New Roman" w:hAnsi="Times New Roman"/>
          <w:sz w:val="18"/>
          <w:szCs w:val="18"/>
          <w:i w:val="1"/>
          <w:iCs w:val="1"/>
          <w:color w:val="auto"/>
        </w:rPr>
        <w:t>Compensation –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Compensation. </w:t>
      </w:r>
      <w:r>
        <w:rPr>
          <w:rFonts w:ascii="Times New Roman" w:cs="Times New Roman" w:eastAsia="Times New Roman" w:hAnsi="Times New Roman"/>
          <w:sz w:val="18"/>
          <w:szCs w:val="18"/>
          <w:color w:val="auto"/>
        </w:rPr>
        <w:t>For awards granted to a customer which are not in exchange for distinct goods or services, the fair value of the awards earned based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service or performance conditions is recorded as a reduction of the transaction price, in accordance with ASC 606, </w:t>
      </w:r>
      <w:r>
        <w:rPr>
          <w:rFonts w:ascii="Times New Roman" w:cs="Times New Roman" w:eastAsia="Times New Roman" w:hAnsi="Times New Roman"/>
          <w:sz w:val="18"/>
          <w:szCs w:val="18"/>
          <w:i w:val="1"/>
          <w:iCs w:val="1"/>
          <w:color w:val="auto"/>
        </w:rPr>
        <w:t>Revenue from Contracts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Customers</w:t>
      </w:r>
      <w:r>
        <w:rPr>
          <w:rFonts w:ascii="Times New Roman" w:cs="Times New Roman" w:eastAsia="Times New Roman" w:hAnsi="Times New Roman"/>
          <w:sz w:val="18"/>
          <w:szCs w:val="18"/>
          <w:color w:val="auto"/>
        </w:rPr>
        <w:t>.</w:t>
      </w:r>
    </w:p>
    <w:p>
      <w:pPr>
        <w:spacing w:after="0" w:line="74"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To determine the fair value of warrants in accordance with ASC 718, the Company uses the Black-Scholes option pricing model, based in part on assumptions for which management is required to use judgment. Based on the fair value of the awards, the Company determines the amount of warrant expense based on the customer’s achievement of vesting conditions, which is recorded as a reduction of revenues on the unaudited condensed consolidated statement of operations. The dilutive impact of customer warrants is determined using the treasury stock method.</w:t>
      </w:r>
    </w:p>
    <w:p>
      <w:pPr>
        <w:spacing w:after="0" w:line="72" w:lineRule="exact"/>
        <w:rPr>
          <w:sz w:val="20"/>
          <w:szCs w:val="20"/>
          <w:color w:val="auto"/>
        </w:rPr>
      </w:pPr>
    </w:p>
    <w:p>
      <w:pPr>
        <w:ind w:left="340" w:right="16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27, 2026 and March 28, 2025, the Company recognized $2.0 million and $3.9 million, respectively, as a reduction to revenue on the unaudited condensed consolidated statements of operations.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For the nine months ended March 27, 2026 and March 28, 2025, the Company recognized $3.2 million and $3.9 million, respectively, as a reduction to revenue on the unaudited condensed consolidated statements of operations.</w:t>
      </w:r>
    </w:p>
    <w:p>
      <w:pPr>
        <w:spacing w:after="0" w:line="158"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ordinary share</w:t>
      </w:r>
    </w:p>
    <w:p>
      <w:pPr>
        <w:spacing w:after="0" w:line="121" w:lineRule="exact"/>
        <w:rPr>
          <w:rFonts w:ascii="Times New Roman" w:cs="Times New Roman" w:eastAsia="Times New Roman" w:hAnsi="Times New Roman"/>
          <w:sz w:val="18"/>
          <w:szCs w:val="18"/>
          <w:b w:val="1"/>
          <w:bCs w:val="1"/>
          <w:color w:val="auto"/>
        </w:rPr>
      </w:pPr>
    </w:p>
    <w:p>
      <w:pPr>
        <w:ind w:left="340" w:right="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Basic earnings per ordinary share is computed by dividing reported net income by the weighted-average number of ordinary shares outstanding during each period. Diluted earnings per ordinary share is computed by calculating the effect of potential dilutive ordinary shares outstanding during the period using the treasury stock method. Dilutive ordinary equivalent shares consist of restricted share units, performance share units and warrant shares.</w:t>
      </w:r>
    </w:p>
    <w:p>
      <w:pPr>
        <w:spacing w:after="0" w:line="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Earnings per ordinary share was calculated as follows: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6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64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94"/>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94"/>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CCEEFF"/>
            </w:tcBorders>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54"/>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shareholders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333,767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245,320</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number of ordinary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35,828</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35,914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35,809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36,094</w:t>
            </w: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Incremental shares arising from the assumed vesting of</w:t>
            </w: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share units and performance share units</w:t>
            </w: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Incremental shares arising from the assumed vesting of</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customer warrant</w:t>
            </w: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462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Weighted-average number of ordinary shares for diluted</w:t>
            </w: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earnings per ordinary share</w:t>
            </w: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36,172</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36,217</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36,327</w:t>
            </w:r>
          </w:p>
        </w:tc>
        <w:tc>
          <w:tcPr>
            <w:tcW w:w="0" w:type="dxa"/>
            <w:vAlign w:val="bottom"/>
          </w:tcPr>
          <w:p>
            <w:pPr>
              <w:spacing w:after="0"/>
              <w:rPr>
                <w:sz w:val="1"/>
                <w:szCs w:val="1"/>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per ordinary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ordinary share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0" w:type="dxa"/>
            <w:vAlign w:val="bottom"/>
          </w:tcPr>
          <w:p>
            <w:pPr>
              <w:spacing w:after="0"/>
              <w:rPr>
                <w:sz w:val="1"/>
                <w:szCs w:val="1"/>
                <w:color w:val="auto"/>
              </w:rPr>
            </w:pPr>
          </w:p>
        </w:tc>
      </w:tr>
      <w:tr>
        <w:trPr>
          <w:trHeight w:val="176"/>
        </w:trPr>
        <w:tc>
          <w:tcPr>
            <w:tcW w:w="4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Outstanding performance share units excluded from the</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6"/>
        </w:trPr>
        <w:tc>
          <w:tcPr>
            <w:tcW w:w="4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computation of diluted earnings per ordinary share </w:t>
            </w:r>
            <w:r>
              <w:rPr>
                <w:rFonts w:ascii="Times New Roman" w:cs="Times New Roman" w:eastAsia="Times New Roman" w:hAnsi="Times New Roman"/>
                <w:sz w:val="23"/>
                <w:szCs w:val="23"/>
                <w:color w:val="auto"/>
                <w:vertAlign w:val="superscript"/>
              </w:rPr>
              <w:t>(1)</w:t>
            </w:r>
          </w:p>
        </w:tc>
        <w:tc>
          <w:tcPr>
            <w:tcW w:w="2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160" w:hanging="328"/>
        <w:spacing w:after="0" w:line="229" w:lineRule="auto"/>
        <w:tabs>
          <w:tab w:leader="none" w:pos="64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These performance share units were not included in the computation of diluted earnings per ordinary share because they are not expected to vest based on the Company’s current assessment of the related performance obligations.</w:t>
      </w:r>
    </w:p>
    <w:p>
      <w:pPr>
        <w:spacing w:after="0" w:line="200" w:lineRule="exact"/>
        <w:rPr>
          <w:sz w:val="20"/>
          <w:szCs w:val="20"/>
          <w:color w:val="auto"/>
        </w:rPr>
      </w:pP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cash, cash equivalents, and short-term investments are as follows: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jc w:val="center"/>
              <w:ind w:right="280"/>
              <w:spacing w:after="0" w:line="129" w:lineRule="exact"/>
              <w:rPr>
                <w:sz w:val="20"/>
                <w:szCs w:val="20"/>
                <w:color w:val="auto"/>
              </w:rPr>
            </w:pPr>
            <w:r>
              <w:rPr>
                <w:rFonts w:ascii="Times New Roman" w:cs="Times New Roman" w:eastAsia="Times New Roman" w:hAnsi="Times New Roman"/>
                <w:sz w:val="14"/>
                <w:szCs w:val="14"/>
                <w:b w:val="1"/>
                <w:bCs w:val="1"/>
                <w:color w:val="auto"/>
              </w:rPr>
              <w:t>Cash and</w:t>
            </w:r>
          </w:p>
        </w:tc>
        <w:tc>
          <w:tcPr>
            <w:tcW w:w="200" w:type="dxa"/>
            <w:vAlign w:val="bottom"/>
          </w:tcPr>
          <w:p>
            <w:pPr>
              <w:spacing w:after="0"/>
              <w:rPr>
                <w:sz w:val="11"/>
                <w:szCs w:val="11"/>
                <w:color w:val="auto"/>
              </w:rPr>
            </w:pPr>
          </w:p>
        </w:tc>
        <w:tc>
          <w:tcPr>
            <w:tcW w:w="11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0" w:type="dxa"/>
            <w:vAlign w:val="bottom"/>
          </w:tcPr>
          <w:p>
            <w:pPr>
              <w:spacing w:after="0"/>
              <w:rPr>
                <w:sz w:val="11"/>
                <w:szCs w:val="11"/>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8"/>
        </w:trPr>
        <w:tc>
          <w:tcPr>
            <w:tcW w:w="37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Cash</w:t>
            </w: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37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Equivalents</w:t>
            </w: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0" w:type="dxa"/>
            <w:vAlign w:val="bottom"/>
          </w:tcPr>
          <w:p>
            <w:pPr>
              <w:spacing w:after="0"/>
              <w:rPr>
                <w:sz w:val="17"/>
                <w:szCs w:val="17"/>
                <w:color w:val="auto"/>
              </w:rPr>
            </w:pPr>
          </w:p>
        </w:tc>
        <w:tc>
          <w:tcPr>
            <w:tcW w:w="10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0" w:type="dxa"/>
            <w:vAlign w:val="bottom"/>
          </w:tcPr>
          <w:p>
            <w:pPr>
              <w:spacing w:after="0"/>
              <w:rPr>
                <w:sz w:val="1"/>
                <w:szCs w:val="1"/>
                <w:color w:val="auto"/>
              </w:rPr>
            </w:pPr>
          </w:p>
        </w:tc>
      </w:tr>
      <w:tr>
        <w:trPr>
          <w:trHeight w:val="21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27, 2026</w:t>
            </w:r>
          </w:p>
        </w:tc>
        <w:tc>
          <w:tcPr>
            <w:tcW w:w="2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226,832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226,832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Certificates of deposit and time deposits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75,782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U.S. agency and U.S. treasury securities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300,612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720" w:type="dxa"/>
            <w:vAlign w:val="bottom"/>
            <w:tcBorders>
              <w:top w:val="single" w:sz="8" w:color="CCEEFF"/>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937,845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588,674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As of June 27, 2025</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7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Certificates of deposit and time deposits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145,752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189,973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U.S. agency and U.S. treasury securities</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925,526</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306,425</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627,819</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
        </w:trPr>
        <w:tc>
          <w:tcPr>
            <w:tcW w:w="3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All highly liquid investments with original maturities of three months or less at the date of purchase are classified as cash equivalents. Management determines the appropriate classification of its investments at the time of purchase. The Company may sell certain of its short-term investments prior to their stated maturities for strategic reasons including, but not limited to, anticipation of credit deterioration and duration management. The maturities of the Company’s short-term investments generally range from three months to three years.</w:t>
      </w:r>
    </w:p>
    <w:p>
      <w:pPr>
        <w:spacing w:after="0" w:line="72"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cost and estimated fair value of debt securities classified as available-for-sale securities based on stated effective maturities as of March 27, 2026 and June 27, 2025:</w:t>
      </w:r>
    </w:p>
    <w:p>
      <w:pPr>
        <w:spacing w:after="0" w:line="83"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6"/>
                <w:szCs w:val="16"/>
                <w:b w:val="1"/>
                <w:bCs w:val="1"/>
                <w:color w:val="auto"/>
              </w:rPr>
              <w:t>March 27, 2026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4"/>
          </w:tcPr>
          <w:p>
            <w:pPr>
              <w:jc w:val="right"/>
              <w:ind w:right="875"/>
              <w:spacing w:after="0"/>
              <w:rPr>
                <w:sz w:val="20"/>
                <w:szCs w:val="20"/>
                <w:color w:val="auto"/>
              </w:rPr>
            </w:pPr>
            <w:r>
              <w:rPr>
                <w:rFonts w:ascii="Times New Roman" w:cs="Times New Roman" w:eastAsia="Times New Roman" w:hAnsi="Times New Roman"/>
                <w:sz w:val="16"/>
                <w:szCs w:val="16"/>
                <w:b w:val="1"/>
                <w:bCs w:val="1"/>
                <w:color w:val="auto"/>
              </w:rPr>
              <w:t>June 27, 2025</w:t>
            </w:r>
          </w:p>
        </w:tc>
        <w:tc>
          <w:tcPr>
            <w:tcW w:w="0" w:type="dxa"/>
            <w:vAlign w:val="bottom"/>
          </w:tcPr>
          <w:p>
            <w:pPr>
              <w:spacing w:after="0"/>
              <w:rPr>
                <w:sz w:val="1"/>
                <w:szCs w:val="1"/>
                <w:color w:val="auto"/>
              </w:rPr>
            </w:pPr>
          </w:p>
        </w:tc>
      </w:tr>
      <w:tr>
        <w:trPr>
          <w:trHeight w:val="134"/>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12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60" w:type="dxa"/>
            <w:vAlign w:val="bottom"/>
          </w:tcPr>
          <w:p>
            <w:pPr>
              <w:spacing w:after="0"/>
              <w:rPr>
                <w:sz w:val="11"/>
                <w:szCs w:val="11"/>
                <w:color w:val="auto"/>
              </w:rPr>
            </w:pPr>
          </w:p>
        </w:tc>
        <w:tc>
          <w:tcPr>
            <w:tcW w:w="1240" w:type="dxa"/>
            <w:vAlign w:val="bottom"/>
            <w:gridSpan w:val="2"/>
          </w:tcPr>
          <w:p>
            <w:pPr>
              <w:jc w:val="center"/>
              <w:ind w:right="360"/>
              <w:spacing w:after="0" w:line="134"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1140" w:type="dxa"/>
            <w:vAlign w:val="bottom"/>
            <w:vMerge w:val="restart"/>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95"/>
        </w:trPr>
        <w:tc>
          <w:tcPr>
            <w:tcW w:w="46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4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128,958</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129,977</w:t>
            </w:r>
          </w:p>
        </w:tc>
        <w:tc>
          <w:tcPr>
            <w:tcW w:w="0" w:type="dxa"/>
            <w:vAlign w:val="bottom"/>
          </w:tcPr>
          <w:p>
            <w:pPr>
              <w:spacing w:after="0"/>
              <w:rPr>
                <w:sz w:val="1"/>
                <w:szCs w:val="1"/>
                <w:color w:val="auto"/>
              </w:rPr>
            </w:pPr>
          </w:p>
        </w:tc>
      </w:tr>
      <w:tr>
        <w:trPr>
          <w:trHeight w:val="229"/>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between one to five years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505,501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512,424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490,143</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497,842</w:t>
            </w:r>
          </w:p>
        </w:tc>
        <w:tc>
          <w:tcPr>
            <w:tcW w:w="0" w:type="dxa"/>
            <w:vAlign w:val="bottom"/>
          </w:tcPr>
          <w:p>
            <w:pPr>
              <w:spacing w:after="0"/>
              <w:rPr>
                <w:sz w:val="1"/>
                <w:szCs w:val="1"/>
                <w:color w:val="auto"/>
              </w:rPr>
            </w:pP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588,674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619,101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627,819</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320" w:hanging="312"/>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rFonts w:ascii="Times New Roman" w:cs="Times New Roman" w:eastAsia="Times New Roman" w:hAnsi="Times New Roman"/>
          <w:sz w:val="18"/>
          <w:szCs w:val="18"/>
          <w:b w:val="1"/>
          <w:bCs w:val="1"/>
          <w:color w:val="auto"/>
        </w:rPr>
      </w:pPr>
    </w:p>
    <w:p>
      <w:pPr>
        <w:ind w:left="340" w:right="1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A fair value hierarchy is established, which requires an entity to maximize the use of observable inputs and minimize the use of unobservable inputs for the valuation of an asset or liability as of the measurement date. The three levels of inputs that may be used to measure fair value are defined as follows:</w:t>
      </w:r>
    </w:p>
    <w:p>
      <w:pPr>
        <w:spacing w:after="0" w:line="7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17" w:lineRule="exact"/>
        <w:rPr>
          <w:rFonts w:ascii="Times New Roman" w:cs="Times New Roman" w:eastAsia="Times New Roman" w:hAnsi="Times New Roman"/>
          <w:sz w:val="18"/>
          <w:szCs w:val="18"/>
          <w:b w:val="1"/>
          <w:bCs w:val="1"/>
          <w:color w:val="auto"/>
        </w:rPr>
      </w:pPr>
    </w:p>
    <w:p>
      <w:pPr>
        <w:ind w:left="340" w:right="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2 inputs are inputs other than quoted prices included within Level 1 that are observable for assets or liabilities, either directly or indirectly. If the assets or liabilities have a specified (contractual) term, Level 2 inputs must be observable for substantially the full term of assets or liabilities.</w:t>
      </w:r>
    </w:p>
    <w:p>
      <w:pPr>
        <w:spacing w:after="0" w:line="53" w:lineRule="exact"/>
        <w:rPr>
          <w:rFonts w:ascii="Times New Roman" w:cs="Times New Roman" w:eastAsia="Times New Roman" w:hAnsi="Times New Roman"/>
          <w:sz w:val="18"/>
          <w:szCs w:val="18"/>
          <w:b w:val="1"/>
          <w:bCs w:val="1"/>
          <w:color w:val="auto"/>
        </w:rPr>
      </w:pPr>
    </w:p>
    <w:p>
      <w:pPr>
        <w:ind w:left="340" w:right="78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Level 3 inputs are unobservable inputs for assets or liabilities, which require the reporting entity to develop its own valuation techniques and assumptions.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right="400"/>
        <w:spacing w:after="0" w:line="282" w:lineRule="auto"/>
        <w:rPr>
          <w:sz w:val="20"/>
          <w:szCs w:val="20"/>
          <w:color w:val="auto"/>
        </w:rPr>
      </w:pPr>
      <w:r>
        <w:rPr>
          <w:rFonts w:ascii="Times New Roman" w:cs="Times New Roman" w:eastAsia="Times New Roman" w:hAnsi="Times New Roman"/>
          <w:sz w:val="18"/>
          <w:szCs w:val="18"/>
          <w:color w:val="auto"/>
        </w:rPr>
        <w:t>The Company utilizes the market approach to measure fair value for its financial assets and liabilities. The market approach uses prices and other relevant information generated by market transactions involving identical or comparable assets or liabilities.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details of the financial instruments measured at fair value on a recurring basis, including:</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2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4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6"/>
                <w:szCs w:val="16"/>
                <w:color w:val="auto"/>
              </w:rPr>
            </w:pP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March 27, 2026</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129,730</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129,730</w:t>
            </w:r>
          </w:p>
        </w:tc>
        <w:tc>
          <w:tcPr>
            <w:tcW w:w="0" w:type="dxa"/>
            <w:vAlign w:val="bottom"/>
          </w:tcPr>
          <w:p>
            <w:pPr>
              <w:spacing w:after="0"/>
              <w:rPr>
                <w:sz w:val="1"/>
                <w:szCs w:val="1"/>
                <w:color w:val="auto"/>
              </w:rPr>
            </w:pPr>
          </w:p>
        </w:tc>
      </w:tr>
      <w:tr>
        <w:trPr>
          <w:trHeight w:val="229"/>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Certificates of deposit and time deposits</w:t>
            </w:r>
          </w:p>
        </w:tc>
        <w:tc>
          <w:tcPr>
            <w:tcW w:w="2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212,238</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212,238</w:t>
            </w:r>
          </w:p>
        </w:tc>
        <w:tc>
          <w:tcPr>
            <w:tcW w:w="0" w:type="dxa"/>
            <w:vAlign w:val="bottom"/>
          </w:tcPr>
          <w:p>
            <w:pPr>
              <w:spacing w:after="0"/>
              <w:rPr>
                <w:sz w:val="1"/>
                <w:szCs w:val="1"/>
                <w:color w:val="auto"/>
              </w:rPr>
            </w:pPr>
          </w:p>
        </w:tc>
      </w:tr>
      <w:tr>
        <w:trPr>
          <w:trHeight w:val="229"/>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agency and U.S. treasury securities</w:t>
            </w:r>
          </w:p>
        </w:tc>
        <w:tc>
          <w:tcPr>
            <w:tcW w:w="2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300,186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300,186</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718,404</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718,404</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32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Derivative liabilities – current portion</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22"/>
              <w:spacing w:after="0" w:line="230" w:lineRule="exact"/>
              <w:rPr>
                <w:sz w:val="20"/>
                <w:szCs w:val="20"/>
                <w:color w:val="auto"/>
              </w:rPr>
            </w:pPr>
            <w:r>
              <w:rPr>
                <w:rFonts w:ascii="Times New Roman" w:cs="Times New Roman" w:eastAsia="Times New Roman" w:hAnsi="Times New Roman"/>
                <w:sz w:val="18"/>
                <w:szCs w:val="18"/>
                <w:color w:val="auto"/>
              </w:rPr>
              <w:t xml:space="preserve">(10,835) </w:t>
            </w:r>
            <w:r>
              <w:rPr>
                <w:rFonts w:ascii="Times New Roman" w:cs="Times New Roman" w:eastAsia="Times New Roman" w:hAnsi="Times New Roman"/>
                <w:sz w:val="23"/>
                <w:szCs w:val="23"/>
                <w:color w:val="auto"/>
                <w:vertAlign w:val="superscript"/>
              </w:rPr>
              <w:t>(1)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0" w:type="dxa"/>
            <w:vAlign w:val="bottom"/>
          </w:tcPr>
          <w:p>
            <w:pPr>
              <w:spacing w:after="0"/>
              <w:rPr>
                <w:sz w:val="1"/>
                <w:szCs w:val="1"/>
                <w:color w:val="auto"/>
              </w:rPr>
            </w:pPr>
          </w:p>
        </w:tc>
      </w:tr>
      <w:tr>
        <w:trPr>
          <w:trHeight w:val="223"/>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18"/>
        </w:trPr>
        <w:tc>
          <w:tcPr>
            <w:tcW w:w="4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2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at Reporting Date Using</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3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430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6"/>
                <w:szCs w:val="16"/>
                <w:color w:val="auto"/>
              </w:rPr>
            </w:pPr>
          </w:p>
        </w:tc>
        <w:tc>
          <w:tcPr>
            <w:tcW w:w="102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6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3"/>
        </w:trPr>
        <w:tc>
          <w:tcPr>
            <w:tcW w:w="43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of June 27, 2025</w:t>
            </w: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Cash equivalents</w:t>
            </w: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11,183</w:t>
            </w:r>
          </w:p>
        </w:tc>
        <w:tc>
          <w:tcPr>
            <w:tcW w:w="0" w:type="dxa"/>
            <w:vAlign w:val="bottom"/>
          </w:tcPr>
          <w:p>
            <w:pPr>
              <w:spacing w:after="0"/>
              <w:rPr>
                <w:sz w:val="1"/>
                <w:szCs w:val="1"/>
                <w:color w:val="auto"/>
              </w:rPr>
            </w:pPr>
          </w:p>
        </w:tc>
      </w:tr>
      <w:tr>
        <w:trPr>
          <w:trHeight w:val="229"/>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Certificates of deposit and time deposits</w:t>
            </w:r>
          </w:p>
        </w:tc>
        <w:tc>
          <w:tcPr>
            <w:tcW w:w="2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145,752</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145,752</w:t>
            </w:r>
          </w:p>
        </w:tc>
        <w:tc>
          <w:tcPr>
            <w:tcW w:w="0" w:type="dxa"/>
            <w:vAlign w:val="bottom"/>
          </w:tcPr>
          <w:p>
            <w:pPr>
              <w:spacing w:after="0"/>
              <w:rPr>
                <w:sz w:val="1"/>
                <w:szCs w:val="1"/>
                <w:color w:val="auto"/>
              </w:rPr>
            </w:pPr>
          </w:p>
        </w:tc>
      </w:tr>
      <w:tr>
        <w:trPr>
          <w:trHeight w:val="230"/>
        </w:trPr>
        <w:tc>
          <w:tcPr>
            <w:tcW w:w="43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189,973</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189,973</w:t>
            </w:r>
          </w:p>
        </w:tc>
        <w:tc>
          <w:tcPr>
            <w:tcW w:w="0" w:type="dxa"/>
            <w:vAlign w:val="bottom"/>
          </w:tcPr>
          <w:p>
            <w:pPr>
              <w:spacing w:after="0"/>
              <w:rPr>
                <w:sz w:val="1"/>
                <w:szCs w:val="1"/>
                <w:color w:val="auto"/>
              </w:rPr>
            </w:pPr>
          </w:p>
        </w:tc>
      </w:tr>
      <w:tr>
        <w:trPr>
          <w:trHeight w:val="230"/>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U.S. agency and U.S. treasury securities</w:t>
            </w:r>
          </w:p>
        </w:tc>
        <w:tc>
          <w:tcPr>
            <w:tcW w:w="2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292,094</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292,094</w:t>
            </w:r>
          </w:p>
        </w:tc>
        <w:tc>
          <w:tcPr>
            <w:tcW w:w="0" w:type="dxa"/>
            <w:vAlign w:val="bottom"/>
          </w:tcPr>
          <w:p>
            <w:pPr>
              <w:spacing w:after="0"/>
              <w:rPr>
                <w:sz w:val="1"/>
                <w:szCs w:val="1"/>
                <w:color w:val="auto"/>
              </w:rPr>
            </w:pPr>
          </w:p>
        </w:tc>
      </w:tr>
      <w:tr>
        <w:trPr>
          <w:trHeight w:val="230"/>
        </w:trPr>
        <w:tc>
          <w:tcPr>
            <w:tcW w:w="4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Derivative assets – current portion</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3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23"/>
        </w:trPr>
        <w:tc>
          <w:tcPr>
            <w:tcW w:w="43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641,963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641,963</w:t>
            </w: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Derivative liabilities – current portion</w:t>
            </w:r>
          </w:p>
        </w:tc>
        <w:tc>
          <w:tcPr>
            <w:tcW w:w="20" w:type="dxa"/>
            <w:vAlign w:val="bottom"/>
          </w:tcPr>
          <w:p>
            <w:pPr>
              <w:spacing w:after="0"/>
              <w:rPr>
                <w:sz w:val="19"/>
                <w:szCs w:val="19"/>
                <w:color w:val="auto"/>
              </w:rPr>
            </w:pPr>
          </w:p>
        </w:tc>
        <w:tc>
          <w:tcPr>
            <w:tcW w:w="28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60" w:type="dxa"/>
            <w:vAlign w:val="bottom"/>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122"/>
              <w:spacing w:after="0" w:line="230" w:lineRule="exact"/>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23"/>
                <w:szCs w:val="23"/>
                <w:color w:val="auto"/>
                <w:vertAlign w:val="superscript"/>
              </w:rPr>
              <w:t>(3)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48"/>
        </w:trPr>
        <w:tc>
          <w:tcPr>
            <w:tcW w:w="43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640" w:hanging="308"/>
        <w:spacing w:after="0"/>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Foreign currency forward contracts with an aggregate notional amount of $253.0 million and 0.4 million Canadian dollars.</w:t>
      </w:r>
    </w:p>
    <w:p>
      <w:pPr>
        <w:spacing w:after="0" w:line="1"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Foreign currency forward contracts with an aggregate notional amount of $130.0 million and 0.5 million Canadian dollars.</w:t>
      </w:r>
    </w:p>
    <w:p>
      <w:pPr>
        <w:spacing w:after="0" w:line="2" w:lineRule="exact"/>
        <w:rPr>
          <w:rFonts w:ascii="Times New Roman" w:cs="Times New Roman" w:eastAsia="Times New Roman" w:hAnsi="Times New Roman"/>
          <w:sz w:val="23"/>
          <w:szCs w:val="23"/>
          <w:color w:val="auto"/>
          <w:vertAlign w:val="superscript"/>
        </w:rPr>
      </w:pPr>
    </w:p>
    <w:p>
      <w:pPr>
        <w:ind w:left="640" w:hanging="308"/>
        <w:spacing w:after="0" w:line="194" w:lineRule="auto"/>
        <w:tabs>
          <w:tab w:leader="none" w:pos="64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Foreign currency forward contracts with an aggregate notional amount of $35.0 million.</w:t>
      </w:r>
    </w:p>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12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Company utilizes derivative financial instruments to hedge foreign exchange risk associated with certain foreign currency denominated assets and liabilities and other foreign currency transactions.</w:t>
      </w:r>
    </w:p>
    <w:p>
      <w:pPr>
        <w:spacing w:after="0" w:line="54"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The Company minimizes the credit risk associated with its derivative instruments by limiting the exposure to any single counterparty and by entering into derivative instruments only with counterparties that meet the Company’s minimum credit quality standard.</w:t>
      </w:r>
    </w:p>
    <w:p>
      <w:pPr>
        <w:spacing w:after="0" w:line="200" w:lineRule="exact"/>
        <w:rPr>
          <w:sz w:val="20"/>
          <w:szCs w:val="20"/>
          <w:color w:val="auto"/>
        </w:rPr>
      </w:pPr>
    </w:p>
    <w:p>
      <w:pPr>
        <w:spacing w:after="0" w:line="29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forward and option contracts</w:t>
      </w:r>
    </w:p>
    <w:p>
      <w:pPr>
        <w:spacing w:after="0" w:line="121" w:lineRule="exact"/>
        <w:rPr>
          <w:sz w:val="20"/>
          <w:szCs w:val="20"/>
          <w:color w:val="auto"/>
        </w:rPr>
      </w:pPr>
    </w:p>
    <w:p>
      <w:pPr>
        <w:ind w:left="340" w:right="20"/>
        <w:spacing w:after="0" w:line="258" w:lineRule="auto"/>
        <w:rPr>
          <w:sz w:val="20"/>
          <w:szCs w:val="20"/>
          <w:color w:val="auto"/>
        </w:rPr>
      </w:pPr>
      <w:r>
        <w:rPr>
          <w:rFonts w:ascii="Times New Roman" w:cs="Times New Roman" w:eastAsia="Times New Roman" w:hAnsi="Times New Roman"/>
          <w:sz w:val="18"/>
          <w:szCs w:val="18"/>
          <w:color w:val="auto"/>
        </w:rPr>
        <w:t>As a result of foreign currency rate fluctuations, the U.S. dollar equivalent values of the Company’s foreign currency denominated assets and liabilities fluctuate. The Company uses foreign currency forward and option contracts to manage the foreign exchange risk associated with a portion of its foreign currency denominated assets and liabilities and other foreign currency transactions. The Company enters into foreign currency forward and option contracts to hedge fluctuations in the U.S. dollar value of forecasted transactions denominated in Thai baht and Canadian dollars with counterparties that meet the Company’s minimum credit quality standard.</w:t>
      </w:r>
    </w:p>
    <w:p>
      <w:pPr>
        <w:spacing w:after="0" w:line="75" w:lineRule="exact"/>
        <w:rPr>
          <w:sz w:val="20"/>
          <w:szCs w:val="20"/>
          <w:color w:val="auto"/>
        </w:rPr>
      </w:pPr>
    </w:p>
    <w:p>
      <w:pPr>
        <w:ind w:left="340" w:right="100"/>
        <w:spacing w:after="0" w:line="272" w:lineRule="auto"/>
        <w:rPr>
          <w:sz w:val="20"/>
          <w:szCs w:val="20"/>
          <w:color w:val="auto"/>
        </w:rPr>
      </w:pPr>
      <w:r>
        <w:rPr>
          <w:rFonts w:ascii="Times New Roman" w:cs="Times New Roman" w:eastAsia="Times New Roman" w:hAnsi="Times New Roman"/>
          <w:sz w:val="17"/>
          <w:szCs w:val="17"/>
          <w:color w:val="auto"/>
        </w:rPr>
        <w:t>The Company may enter into foreign currency forward contracts with maturities of up to 12 months to hedge fluctuations in the U.S. dollar value of forecasted transactions denominated in Thai baht, including inventory purchases, payroll and other operating expenses. The Company considers these forward contracts as dual-purpose hedges, that hedge both the foreign exchange fluctuation (i) from inception through the forecasted expenditure, and</w:t>
      </w:r>
    </w:p>
    <w:p>
      <w:pPr>
        <w:spacing w:after="0" w:line="2" w:lineRule="exact"/>
        <w:rPr>
          <w:sz w:val="20"/>
          <w:szCs w:val="20"/>
          <w:color w:val="auto"/>
        </w:rPr>
      </w:pPr>
    </w:p>
    <w:p>
      <w:pPr>
        <w:ind w:left="340" w:hanging="8"/>
        <w:spacing w:after="0" w:line="251" w:lineRule="auto"/>
        <w:tabs>
          <w:tab w:leader="none" w:pos="60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subsequent revaluation of the account payable or accrual. The Company may designate the forward contracts that hedge the foreign exchange fluctuation from inception through the forecasted expenditure as cash flow hedges. The gain or loss on a derivative instrument designated and qualified as a cash flow hedging instrument is recorded as a component of other comprehensive income and reclassified into earnings in the same period or periods during which the hedged forecasted transaction affects earnings. The reclassified amounts are presented in the same income statement line item as the earnings effect of the hedged item. Once the forecasted transactions are recorded, the Company will discontinue the hedging relationship by de-designating the derivative instrument and recording subsequent changes in fair value through contract maturity to foreign exchange gain (loss), net in the unaudited condensed consolidated statements of operations and comprehensive income as a natural hedge against the Thai baht denominated assets and liabilities.</w:t>
      </w:r>
    </w:p>
    <w:p>
      <w:pPr>
        <w:spacing w:after="0" w:line="86"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The Company may also enter into non-designated foreign currency forward and option contracts to provide an offset to the re-measurement of foreign currency denominated assets and liabilities and to hedge certain forecasted exposures. Changes in the fair value of these non-designated derivatives are recorded as foreign exchange gain (loss), net in the unaudited condensed consolidated statements of operations and comprehensive income.</w:t>
      </w:r>
    </w:p>
    <w:p>
      <w:pPr>
        <w:spacing w:after="0" w:line="68" w:lineRule="exact"/>
        <w:rPr>
          <w:sz w:val="20"/>
          <w:szCs w:val="20"/>
          <w:color w:val="auto"/>
        </w:rPr>
      </w:pPr>
    </w:p>
    <w:p>
      <w:pPr>
        <w:ind w:left="340" w:right="80"/>
        <w:spacing w:after="0" w:line="266" w:lineRule="auto"/>
        <w:rPr>
          <w:sz w:val="20"/>
          <w:szCs w:val="20"/>
          <w:color w:val="auto"/>
        </w:rPr>
      </w:pPr>
      <w:r>
        <w:rPr>
          <w:rFonts w:ascii="Times New Roman" w:cs="Times New Roman" w:eastAsia="Times New Roman" w:hAnsi="Times New Roman"/>
          <w:sz w:val="18"/>
          <w:szCs w:val="18"/>
          <w:color w:val="auto"/>
        </w:rPr>
        <w:t>As of March 27, 2026, the Company had 253 outstanding U.S. dollar foreign currency forward contracts against Thai baht, with an aggregate notional amount of $253.0 million and maturity dates ranging from April 2026 through October 2026 and one outstanding Canadian dollar foreign currency forward contract with a notional amount of 0.4 million Canadian dollars and a maturity date in June 2026.</w:t>
      </w:r>
    </w:p>
    <w:p>
      <w:pPr>
        <w:spacing w:after="0" w:line="68" w:lineRule="exact"/>
        <w:rPr>
          <w:sz w:val="20"/>
          <w:szCs w:val="20"/>
          <w:color w:val="auto"/>
        </w:rPr>
      </w:pPr>
    </w:p>
    <w:p>
      <w:pPr>
        <w:jc w:val="both"/>
        <w:ind w:left="340" w:right="240"/>
        <w:spacing w:after="0" w:line="266" w:lineRule="auto"/>
        <w:rPr>
          <w:sz w:val="20"/>
          <w:szCs w:val="20"/>
          <w:color w:val="auto"/>
        </w:rPr>
      </w:pPr>
      <w:r>
        <w:rPr>
          <w:rFonts w:ascii="Times New Roman" w:cs="Times New Roman" w:eastAsia="Times New Roman" w:hAnsi="Times New Roman"/>
          <w:sz w:val="18"/>
          <w:szCs w:val="18"/>
          <w:color w:val="auto"/>
        </w:rPr>
        <w:t>As of June 27, 2025, the Company had 165 outstanding U.S. dollar foreign currency forward contracts against Thai baht with an aggregate notional amount of $165.0 million and maturity dates ranging from July 2025 through December 2025, and one outstanding foreign currency contract with a notional amount of 0.5 million Canadian dollars and a maturity date in September 2025.</w:t>
      </w:r>
    </w:p>
    <w:p>
      <w:pPr>
        <w:spacing w:after="0" w:line="68" w:lineRule="exact"/>
        <w:rPr>
          <w:sz w:val="20"/>
          <w:szCs w:val="20"/>
          <w:color w:val="auto"/>
        </w:rPr>
      </w:pPr>
    </w:p>
    <w:p>
      <w:pPr>
        <w:ind w:left="340" w:right="100"/>
        <w:spacing w:after="0" w:line="266" w:lineRule="auto"/>
        <w:rPr>
          <w:sz w:val="20"/>
          <w:szCs w:val="20"/>
          <w:color w:val="auto"/>
        </w:rPr>
      </w:pPr>
      <w:r>
        <w:rPr>
          <w:rFonts w:ascii="Times New Roman" w:cs="Times New Roman" w:eastAsia="Times New Roman" w:hAnsi="Times New Roman"/>
          <w:sz w:val="18"/>
          <w:szCs w:val="18"/>
          <w:color w:val="auto"/>
        </w:rPr>
        <w:t>As of March 27, 2026, the hedging relationship over foreign currency forward contracts designated for hedge accounting was determined to be highly effective based on the performance of retrospective and prospective regression testing. As of March 27, 2026, the amount in accumulated other comprehensive income (“AOCI”) expected to be reclassified into earnings within 12 months was a loss of $8.9 million.</w:t>
      </w:r>
    </w:p>
    <w:p>
      <w:pPr>
        <w:spacing w:after="0" w:line="68" w:lineRule="exact"/>
        <w:rPr>
          <w:sz w:val="20"/>
          <w:szCs w:val="20"/>
          <w:color w:val="auto"/>
        </w:rPr>
      </w:pPr>
    </w:p>
    <w:p>
      <w:pPr>
        <w:ind w:left="340" w:right="260"/>
        <w:spacing w:after="0" w:line="266" w:lineRule="auto"/>
        <w:rPr>
          <w:sz w:val="20"/>
          <w:szCs w:val="20"/>
          <w:color w:val="auto"/>
        </w:rPr>
      </w:pPr>
      <w:r>
        <w:rPr>
          <w:rFonts w:ascii="Times New Roman" w:cs="Times New Roman" w:eastAsia="Times New Roman" w:hAnsi="Times New Roman"/>
          <w:sz w:val="18"/>
          <w:szCs w:val="18"/>
          <w:color w:val="auto"/>
        </w:rPr>
        <w:t>As of June 27, 2025, the hedging relationship over foreign currency forward contracts designated for hedge accounting had been tested to be highly effective based on the performance of retrospective and prospective regression testing. As of June 27, 2025, the amount in AOCI expected to be reclassified into earnings within 12 months as gain was $1.5 million.</w:t>
      </w:r>
    </w:p>
    <w:p>
      <w:pPr>
        <w:spacing w:after="0" w:line="68" w:lineRule="exact"/>
        <w:rPr>
          <w:sz w:val="20"/>
          <w:szCs w:val="20"/>
          <w:color w:val="auto"/>
        </w:rPr>
      </w:pPr>
    </w:p>
    <w:p>
      <w:pPr>
        <w:ind w:left="340" w:right="2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27, 2026, the Company included an unrealized loss of $4.2 million and $4.3 million, respectively, from changes in the fair value of a foreign currency forward contract that was not designated for hedge accounting in earnings as foreign exchange gain (loss), net in the unaudited condensed consolidated statements of operations and comprehensive income.</w:t>
      </w:r>
    </w:p>
    <w:p>
      <w:pPr>
        <w:spacing w:after="0" w:line="68" w:lineRule="exact"/>
        <w:rPr>
          <w:sz w:val="20"/>
          <w:szCs w:val="20"/>
          <w:color w:val="auto"/>
        </w:rPr>
      </w:pPr>
    </w:p>
    <w:p>
      <w:pPr>
        <w:ind w:left="340" w:right="20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March 28, 2025, the Company included unrealized gain of $1.6 million and $0.6 million, respectively, from changes in the fair value of a foreign currency forward contract that was not designated for hedge accounting in earnings as foreign exchange gain (loss), net in the unaudited condensed consolidated statements of operations and comprehensive income.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line="291" w:lineRule="auto"/>
        <w:rPr>
          <w:sz w:val="20"/>
          <w:szCs w:val="20"/>
          <w:color w:val="auto"/>
        </w:rPr>
      </w:pPr>
      <w:r>
        <w:rPr>
          <w:rFonts w:ascii="Times New Roman" w:cs="Times New Roman" w:eastAsia="Times New Roman" w:hAnsi="Times New Roman"/>
          <w:sz w:val="17"/>
          <w:szCs w:val="17"/>
          <w:color w:val="auto"/>
        </w:rPr>
        <w:t>The following table provides a summary of the impact of derivative gain (loss) of the Company’s foreign currency forward contracts and interest rate swaps which were designated as cash flow hedges on the unaudited condensed consolidated statements of operations and other comprehensive income:</w:t>
      </w:r>
    </w:p>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15"/>
        </w:trPr>
        <w:tc>
          <w:tcPr>
            <w:tcW w:w="3580" w:type="dxa"/>
            <w:vAlign w:val="bottom"/>
          </w:tcPr>
          <w:p>
            <w:pPr>
              <w:spacing w:after="0"/>
              <w:rPr>
                <w:sz w:val="18"/>
                <w:szCs w:val="18"/>
                <w:color w:val="auto"/>
              </w:rPr>
            </w:pPr>
          </w:p>
        </w:tc>
        <w:tc>
          <w:tcPr>
            <w:tcW w:w="15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2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20"/>
        </w:trPr>
        <w:tc>
          <w:tcPr>
            <w:tcW w:w="3580" w:type="dxa"/>
            <w:vAlign w:val="bottom"/>
          </w:tcPr>
          <w:p>
            <w:pPr>
              <w:spacing w:after="0"/>
              <w:rPr>
                <w:sz w:val="10"/>
                <w:szCs w:val="10"/>
                <w:color w:val="auto"/>
              </w:rPr>
            </w:pPr>
          </w:p>
        </w:tc>
        <w:tc>
          <w:tcPr>
            <w:tcW w:w="15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200" w:type="dxa"/>
            <w:vAlign w:val="bottom"/>
          </w:tcPr>
          <w:p>
            <w:pPr>
              <w:spacing w:after="0"/>
              <w:rPr>
                <w:sz w:val="10"/>
                <w:szCs w:val="10"/>
                <w:color w:val="auto"/>
              </w:rPr>
            </w:pPr>
          </w:p>
        </w:tc>
        <w:tc>
          <w:tcPr>
            <w:tcW w:w="11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200" w:type="dxa"/>
            <w:vAlign w:val="bottom"/>
          </w:tcPr>
          <w:p>
            <w:pPr>
              <w:spacing w:after="0"/>
              <w:rPr>
                <w:sz w:val="10"/>
                <w:szCs w:val="10"/>
                <w:color w:val="auto"/>
              </w:rPr>
            </w:pP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180" w:type="dxa"/>
            <w:vAlign w:val="bottom"/>
          </w:tcPr>
          <w:p>
            <w:pPr>
              <w:spacing w:after="0"/>
              <w:rPr>
                <w:sz w:val="10"/>
                <w:szCs w:val="10"/>
                <w:color w:val="auto"/>
              </w:rPr>
            </w:pPr>
          </w:p>
        </w:tc>
        <w:tc>
          <w:tcPr>
            <w:tcW w:w="1060" w:type="dxa"/>
            <w:vAlign w:val="bottom"/>
            <w:vMerge w:val="restart"/>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March 28,</w:t>
            </w:r>
          </w:p>
        </w:tc>
        <w:tc>
          <w:tcPr>
            <w:tcW w:w="0" w:type="dxa"/>
            <w:vAlign w:val="bottom"/>
          </w:tcPr>
          <w:p>
            <w:pPr>
              <w:spacing w:after="0"/>
              <w:rPr>
                <w:sz w:val="1"/>
                <w:szCs w:val="1"/>
                <w:color w:val="auto"/>
              </w:rPr>
            </w:pPr>
          </w:p>
        </w:tc>
      </w:tr>
      <w:tr>
        <w:trPr>
          <w:trHeight w:val="146"/>
        </w:trPr>
        <w:tc>
          <w:tcPr>
            <w:tcW w:w="358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58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statements</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line item</w:t>
            </w:r>
          </w:p>
        </w:tc>
        <w:tc>
          <w:tcPr>
            <w:tcW w:w="200" w:type="dxa"/>
            <w:vAlign w:val="bottom"/>
          </w:tcPr>
          <w:p>
            <w:pPr>
              <w:spacing w:after="0"/>
              <w:rPr>
                <w:sz w:val="17"/>
                <w:szCs w:val="17"/>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55"/>
        </w:trPr>
        <w:tc>
          <w:tcPr>
            <w:tcW w:w="358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Derivatives gain (loss) recognized in other</w:t>
            </w: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3580" w:type="dxa"/>
            <w:vAlign w:val="bottom"/>
          </w:tcPr>
          <w:p>
            <w:pPr>
              <w:ind w:left="120"/>
              <w:spacing w:after="0" w:line="176"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1580" w:type="dxa"/>
            <w:vAlign w:val="bottom"/>
            <w:gridSpan w:val="2"/>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7"/>
              </w:rPr>
              <w:t>Other</w:t>
            </w: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580" w:type="dxa"/>
            <w:vAlign w:val="bottom"/>
          </w:tcPr>
          <w:p>
            <w:pPr>
              <w:spacing w:after="0"/>
              <w:rPr>
                <w:sz w:val="16"/>
                <w:szCs w:val="16"/>
                <w:color w:val="auto"/>
              </w:rPr>
            </w:pPr>
          </w:p>
        </w:tc>
        <w:tc>
          <w:tcPr>
            <w:tcW w:w="158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9"/>
              </w:rPr>
              <w:t>comprehensive</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5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income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155"/>
        </w:trPr>
        <w:tc>
          <w:tcPr>
            <w:tcW w:w="35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derivatives gain (loss) recognized in</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(16,187)</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0" w:type="dxa"/>
            <w:vAlign w:val="bottom"/>
          </w:tcPr>
          <w:p>
            <w:pPr>
              <w:spacing w:after="0"/>
              <w:rPr>
                <w:sz w:val="1"/>
                <w:szCs w:val="1"/>
                <w:color w:val="auto"/>
              </w:rPr>
            </w:pPr>
          </w:p>
        </w:tc>
      </w:tr>
      <w:tr>
        <w:trPr>
          <w:trHeight w:val="155"/>
        </w:trPr>
        <w:tc>
          <w:tcPr>
            <w:tcW w:w="35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Derivatives (gain) loss reclassified from</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into earnings: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Cost of revenues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0" w:type="dxa"/>
            <w:vAlign w:val="bottom"/>
          </w:tcPr>
          <w:p>
            <w:pPr>
              <w:spacing w:after="0"/>
              <w:rPr>
                <w:sz w:val="1"/>
                <w:szCs w:val="1"/>
                <w:color w:val="auto"/>
              </w:rPr>
            </w:pPr>
          </w:p>
        </w:tc>
      </w:tr>
      <w:tr>
        <w:trPr>
          <w:trHeight w:val="229"/>
        </w:trPr>
        <w:tc>
          <w:tcPr>
            <w:tcW w:w="3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SG&amp;A</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0" w:type="dxa"/>
            <w:vAlign w:val="bottom"/>
          </w:tcPr>
          <w:p>
            <w:pPr>
              <w:spacing w:after="0"/>
              <w:rPr>
                <w:sz w:val="1"/>
                <w:szCs w:val="1"/>
                <w:color w:val="auto"/>
              </w:rPr>
            </w:pPr>
          </w:p>
        </w:tc>
      </w:tr>
      <w:tr>
        <w:trPr>
          <w:trHeight w:val="176"/>
        </w:trPr>
        <w:tc>
          <w:tcPr>
            <w:tcW w:w="3580" w:type="dxa"/>
            <w:vAlign w:val="bottom"/>
            <w:shd w:val="clear" w:color="auto" w:fill="CCEEFF"/>
          </w:tcPr>
          <w:p>
            <w:pPr>
              <w:ind w:left="120"/>
              <w:spacing w:after="0" w:line="176" w:lineRule="exact"/>
              <w:rPr>
                <w:sz w:val="20"/>
                <w:szCs w:val="20"/>
                <w:color w:val="auto"/>
              </w:rPr>
            </w:pPr>
            <w:r>
              <w:rPr>
                <w:rFonts w:ascii="Times New Roman" w:cs="Times New Roman" w:eastAsia="Times New Roman" w:hAnsi="Times New Roman"/>
                <w:sz w:val="18"/>
                <w:szCs w:val="18"/>
                <w:color w:val="auto"/>
              </w:rPr>
              <w:t>Foreign currency forward contracts</w:t>
            </w:r>
          </w:p>
        </w:tc>
        <w:tc>
          <w:tcPr>
            <w:tcW w:w="1580" w:type="dxa"/>
            <w:vAlign w:val="bottom"/>
            <w:gridSpan w:val="2"/>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auto"/>
                <w:w w:val="99"/>
              </w:rPr>
              <w:t>Foreign exchange</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80" w:type="dxa"/>
            <w:vAlign w:val="bottom"/>
            <w:shd w:val="clear" w:color="auto" w:fill="CCEEFF"/>
          </w:tcPr>
          <w:p>
            <w:pPr>
              <w:spacing w:after="0"/>
              <w:rPr>
                <w:sz w:val="21"/>
                <w:szCs w:val="21"/>
                <w:color w:val="auto"/>
              </w:rPr>
            </w:pP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gain (loss), net</w:t>
            </w: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156"/>
        </w:trPr>
        <w:tc>
          <w:tcPr>
            <w:tcW w:w="35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Total derivatives (gain) loss reclassified from</w:t>
            </w: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58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accumulated other comprehensive income</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(loss) into earnings</w:t>
            </w:r>
          </w:p>
        </w:tc>
        <w:tc>
          <w:tcPr>
            <w:tcW w:w="14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156"/>
        </w:trPr>
        <w:tc>
          <w:tcPr>
            <w:tcW w:w="358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b w:val="1"/>
                <w:bCs w:val="1"/>
                <w:color w:val="auto"/>
              </w:rPr>
              <w:t>Change in net unrealized gain (loss) on</w:t>
            </w:r>
          </w:p>
        </w:tc>
        <w:tc>
          <w:tcPr>
            <w:tcW w:w="1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(13,197)</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(10,459)</w:t>
            </w:r>
          </w:p>
        </w:tc>
        <w:tc>
          <w:tcPr>
            <w:tcW w:w="12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w:t>
            </w:r>
          </w:p>
        </w:tc>
        <w:tc>
          <w:tcPr>
            <w:tcW w:w="0" w:type="dxa"/>
            <w:vAlign w:val="bottom"/>
          </w:tcPr>
          <w:p>
            <w:pPr>
              <w:spacing w:after="0"/>
              <w:rPr>
                <w:sz w:val="1"/>
                <w:szCs w:val="1"/>
                <w:color w:val="auto"/>
              </w:rPr>
            </w:pPr>
          </w:p>
        </w:tc>
      </w:tr>
      <w:tr>
        <w:trPr>
          <w:trHeight w:val="236"/>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instruments</w:t>
            </w:r>
          </w:p>
        </w:tc>
        <w:tc>
          <w:tcPr>
            <w:tcW w:w="14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fair values of the Company’s derivative financial instruments for the periods presented:</w:t>
      </w:r>
    </w:p>
    <w:p>
      <w:pPr>
        <w:spacing w:after="0" w:line="86" w:lineRule="exact"/>
        <w:rPr>
          <w:sz w:val="20"/>
          <w:szCs w:val="20"/>
          <w:color w:val="auto"/>
        </w:rPr>
      </w:pPr>
    </w:p>
    <w:tbl>
      <w:tblPr>
        <w:tblLayout w:type="fixed"/>
        <w:tblInd w:w="340" w:type="dxa"/>
        <w:tblCellMar>
          <w:top w:w="0" w:type="dxa"/>
          <w:left w:w="0" w:type="dxa"/>
          <w:bottom w:w="0" w:type="dxa"/>
          <w:right w:w="0" w:type="dxa"/>
        </w:tblCellMar>
      </w:tblPr>
      <w:tr>
        <w:trPr>
          <w:trHeight w:val="184"/>
        </w:trPr>
        <w:tc>
          <w:tcPr>
            <w:tcW w:w="5060" w:type="dxa"/>
            <w:vAlign w:val="bottom"/>
          </w:tcPr>
          <w:p>
            <w:pPr>
              <w:spacing w:after="0"/>
              <w:rPr>
                <w:sz w:val="16"/>
                <w:szCs w:val="16"/>
                <w:color w:val="auto"/>
              </w:rPr>
            </w:pPr>
          </w:p>
        </w:tc>
        <w:tc>
          <w:tcPr>
            <w:tcW w:w="2780" w:type="dxa"/>
            <w:vAlign w:val="bottom"/>
            <w:gridSpan w:val="6"/>
          </w:tcPr>
          <w:p>
            <w:pPr>
              <w:ind w:left="980"/>
              <w:spacing w:after="0"/>
              <w:rPr>
                <w:sz w:val="20"/>
                <w:szCs w:val="20"/>
                <w:color w:val="auto"/>
              </w:rPr>
            </w:pPr>
            <w:r>
              <w:rPr>
                <w:rFonts w:ascii="Times New Roman" w:cs="Times New Roman" w:eastAsia="Times New Roman" w:hAnsi="Times New Roman"/>
                <w:sz w:val="16"/>
                <w:szCs w:val="16"/>
                <w:b w:val="1"/>
                <w:bCs w:val="1"/>
                <w:color w:val="auto"/>
              </w:rPr>
              <w:t>March 27,</w:t>
            </w:r>
          </w:p>
        </w:tc>
        <w:tc>
          <w:tcPr>
            <w:tcW w:w="2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27,</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0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50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020" w:type="dxa"/>
            <w:vAlign w:val="bottom"/>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ind w:left="80"/>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80" w:type="dxa"/>
            <w:vAlign w:val="bottom"/>
            <w:gridSpan w:val="2"/>
          </w:tcPr>
          <w:p>
            <w:pPr>
              <w:jc w:val="center"/>
              <w:ind w:right="300"/>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260" w:type="dxa"/>
            <w:vAlign w:val="bottom"/>
          </w:tcPr>
          <w:p>
            <w:pPr>
              <w:spacing w:after="0"/>
              <w:rPr>
                <w:sz w:val="13"/>
                <w:szCs w:val="13"/>
                <w:color w:val="auto"/>
              </w:rPr>
            </w:pPr>
          </w:p>
        </w:tc>
        <w:tc>
          <w:tcPr>
            <w:tcW w:w="1020" w:type="dxa"/>
            <w:vAlign w:val="bottom"/>
          </w:tcPr>
          <w:p>
            <w:pPr>
              <w:jc w:val="right"/>
              <w:ind w:right="194"/>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214"/>
        </w:trPr>
        <w:tc>
          <w:tcPr>
            <w:tcW w:w="5060" w:type="dxa"/>
            <w:vAlign w:val="bottom"/>
            <w:vMerge w:val="continue"/>
          </w:tcPr>
          <w:p>
            <w:pPr>
              <w:spacing w:after="0"/>
              <w:rPr>
                <w:sz w:val="18"/>
                <w:szCs w:val="18"/>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0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Pr>
          <w:p>
            <w:pPr>
              <w:spacing w:after="0"/>
              <w:rPr>
                <w:sz w:val="18"/>
                <w:szCs w:val="18"/>
                <w:color w:val="auto"/>
              </w:rPr>
            </w:pPr>
          </w:p>
        </w:tc>
        <w:tc>
          <w:tcPr>
            <w:tcW w:w="102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11"/>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not designated as hedging instruments</w:t>
            </w:r>
          </w:p>
        </w:tc>
        <w:tc>
          <w:tcPr>
            <w:tcW w:w="10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forward and option contracts</w:t>
            </w:r>
          </w:p>
        </w:tc>
        <w:tc>
          <w:tcPr>
            <w:tcW w:w="1020" w:type="dxa"/>
            <w:vAlign w:val="bottom"/>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 instruments</w:t>
            </w: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102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48"/>
        </w:trPr>
        <w:tc>
          <w:tcPr>
            <w:tcW w:w="5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gross balances</w:t>
            </w:r>
          </w:p>
        </w:tc>
        <w:tc>
          <w:tcPr>
            <w:tcW w:w="102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the fair value of derivative financial instruments in the unaudited condensed consolidated balance sheets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8"/>
                <w:szCs w:val="18"/>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Derivative Financial Instruments</w:t>
            </w:r>
          </w:p>
        </w:tc>
        <w:tc>
          <w:tcPr>
            <w:tcW w:w="1440" w:type="dxa"/>
            <w:vAlign w:val="bottom"/>
          </w:tcPr>
          <w:p>
            <w:pPr>
              <w:spacing w:after="0"/>
              <w:rPr>
                <w:sz w:val="18"/>
                <w:szCs w:val="18"/>
                <w:color w:val="auto"/>
              </w:rPr>
            </w:pPr>
          </w:p>
        </w:tc>
        <w:tc>
          <w:tcPr>
            <w:tcW w:w="348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Balance Sheet line item</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340" w:type="dxa"/>
            <w:vAlign w:val="bottom"/>
          </w:tcPr>
          <w:p>
            <w:pPr>
              <w:spacing w:after="0"/>
              <w:rPr>
                <w:sz w:val="24"/>
                <w:szCs w:val="24"/>
                <w:color w:val="auto"/>
              </w:rPr>
            </w:pPr>
          </w:p>
        </w:tc>
        <w:tc>
          <w:tcPr>
            <w:tcW w:w="2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of Derivative Assets</w:t>
            </w:r>
          </w:p>
        </w:tc>
        <w:tc>
          <w:tcPr>
            <w:tcW w:w="1440" w:type="dxa"/>
            <w:vAlign w:val="bottom"/>
          </w:tcPr>
          <w:p>
            <w:pPr>
              <w:spacing w:after="0"/>
              <w:rPr>
                <w:sz w:val="24"/>
                <w:szCs w:val="24"/>
                <w:color w:val="auto"/>
              </w:rPr>
            </w:pPr>
          </w:p>
        </w:tc>
        <w:tc>
          <w:tcPr>
            <w:tcW w:w="3480" w:type="dxa"/>
            <w:vAlign w:val="bottom"/>
            <w:gridSpan w:val="4"/>
          </w:tcPr>
          <w:p>
            <w:pPr>
              <w:ind w:left="1460"/>
              <w:spacing w:after="0"/>
              <w:rPr>
                <w:sz w:val="20"/>
                <w:szCs w:val="20"/>
                <w:color w:val="auto"/>
              </w:rPr>
            </w:pPr>
            <w:r>
              <w:rPr>
                <w:rFonts w:ascii="Times New Roman" w:cs="Times New Roman" w:eastAsia="Times New Roman" w:hAnsi="Times New Roman"/>
                <w:sz w:val="18"/>
                <w:szCs w:val="18"/>
                <w:color w:val="auto"/>
              </w:rPr>
              <w:t>Other current assets</w:t>
            </w: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Fair Value of Derivative Liabilities</w:t>
            </w:r>
          </w:p>
        </w:tc>
        <w:tc>
          <w:tcPr>
            <w:tcW w:w="3480" w:type="dxa"/>
            <w:vAlign w:val="bottom"/>
            <w:gridSpan w:val="4"/>
          </w:tcPr>
          <w:p>
            <w:pPr>
              <w:ind w:left="1460"/>
              <w:spacing w:after="0"/>
              <w:rPr>
                <w:sz w:val="20"/>
                <w:szCs w:val="20"/>
                <w:color w:val="auto"/>
              </w:rPr>
            </w:pPr>
            <w:r>
              <w:rPr>
                <w:rFonts w:ascii="Times New Roman" w:cs="Times New Roman" w:eastAsia="Times New Roman" w:hAnsi="Times New Roman"/>
                <w:sz w:val="18"/>
                <w:szCs w:val="18"/>
                <w:color w:val="auto"/>
              </w:rPr>
              <w:t>Accrued expenses</w:t>
            </w: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Inventories</w:t>
            </w:r>
          </w:p>
        </w:tc>
        <w:tc>
          <w:tcPr>
            <w:tcW w:w="14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40" w:type="dxa"/>
            <w:vAlign w:val="bottom"/>
          </w:tcPr>
          <w:p>
            <w:pPr>
              <w:spacing w:after="0"/>
              <w:rPr>
                <w:sz w:val="22"/>
                <w:szCs w:val="22"/>
                <w:color w:val="auto"/>
              </w:rPr>
            </w:pPr>
          </w:p>
        </w:tc>
        <w:tc>
          <w:tcPr>
            <w:tcW w:w="4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As of March 27,</w:t>
            </w:r>
          </w:p>
        </w:tc>
        <w:tc>
          <w:tcPr>
            <w:tcW w:w="220" w:type="dxa"/>
            <w:vAlign w:val="bottom"/>
          </w:tcPr>
          <w:p>
            <w:pPr>
              <w:spacing w:after="0"/>
              <w:rPr>
                <w:sz w:val="22"/>
                <w:szCs w:val="22"/>
                <w:color w:val="auto"/>
              </w:rPr>
            </w:pP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of June 27,</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4000" w:type="dxa"/>
            <w:vAlign w:val="bottom"/>
            <w:tcBorders>
              <w:bottom w:val="single" w:sz="8" w:color="CCEEFF"/>
            </w:tcBorders>
            <w:gridSpan w:val="2"/>
            <w:vMerge w:val="continue"/>
          </w:tcPr>
          <w:p>
            <w:pPr>
              <w:spacing w:after="0"/>
              <w:rPr>
                <w:sz w:val="17"/>
                <w:szCs w:val="17"/>
                <w:color w:val="auto"/>
              </w:rPr>
            </w:pPr>
          </w:p>
        </w:tc>
        <w:tc>
          <w:tcPr>
            <w:tcW w:w="1460" w:type="dxa"/>
            <w:vAlign w:val="bottom"/>
            <w:tcBorders>
              <w:bottom w:val="single" w:sz="8" w:color="CCEEFF"/>
            </w:tcBorders>
          </w:tcPr>
          <w:p>
            <w:pPr>
              <w:spacing w:after="0"/>
              <w:rPr>
                <w:sz w:val="17"/>
                <w:szCs w:val="17"/>
                <w:color w:val="auto"/>
              </w:rPr>
            </w:pPr>
          </w:p>
        </w:tc>
        <w:tc>
          <w:tcPr>
            <w:tcW w:w="178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3280" w:type="dxa"/>
            <w:vAlign w:val="bottom"/>
            <w:gridSpan w:val="3"/>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145,128</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Work in progress</w:t>
            </w:r>
          </w:p>
        </w:tc>
        <w:tc>
          <w:tcPr>
            <w:tcW w:w="14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544,218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377,736</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46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35,373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33,016</w:t>
            </w: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Goods in transit</w:t>
            </w:r>
          </w:p>
        </w:tc>
        <w:tc>
          <w:tcPr>
            <w:tcW w:w="1460" w:type="dxa"/>
            <w:vAlign w:val="bottom"/>
            <w:tcBorders>
              <w:bottom w:val="single" w:sz="8" w:color="CCEEFF"/>
            </w:tcBorders>
          </w:tcPr>
          <w:p>
            <w:pPr>
              <w:spacing w:after="0"/>
              <w:rPr>
                <w:sz w:val="19"/>
                <w:szCs w:val="19"/>
                <w:color w:val="auto"/>
              </w:rPr>
            </w:pPr>
          </w:p>
        </w:tc>
        <w:tc>
          <w:tcPr>
            <w:tcW w:w="17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55,975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25,135</w:t>
            </w:r>
          </w:p>
        </w:tc>
        <w:tc>
          <w:tcPr>
            <w:tcW w:w="0" w:type="dxa"/>
            <w:vAlign w:val="bottom"/>
          </w:tcPr>
          <w:p>
            <w:pPr>
              <w:spacing w:after="0"/>
              <w:rPr>
                <w:sz w:val="1"/>
                <w:szCs w:val="1"/>
                <w:color w:val="auto"/>
              </w:rPr>
            </w:pPr>
          </w:p>
        </w:tc>
      </w:tr>
      <w:tr>
        <w:trPr>
          <w:trHeight w:val="248"/>
        </w:trPr>
        <w:tc>
          <w:tcPr>
            <w:tcW w:w="340" w:type="dxa"/>
            <w:vAlign w:val="bottom"/>
          </w:tcPr>
          <w:p>
            <w:pPr>
              <w:spacing w:after="0"/>
              <w:rPr>
                <w:sz w:val="21"/>
                <w:szCs w:val="21"/>
                <w:color w:val="auto"/>
              </w:rPr>
            </w:pPr>
          </w:p>
        </w:tc>
        <w:tc>
          <w:tcPr>
            <w:tcW w:w="4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3280" w:type="dxa"/>
            <w:vAlign w:val="bottom"/>
            <w:tcBorders>
              <w:bottom w:val="single" w:sz="8" w:color="CCEEFF"/>
            </w:tcBorders>
            <w:gridSpan w:val="3"/>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875,988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581,015</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rFonts w:ascii="Times New Roman" w:cs="Times New Roman" w:eastAsia="Times New Roman" w:hAnsi="Times New Roman"/>
          <w:sz w:val="18"/>
          <w:szCs w:val="18"/>
          <w:b w:val="1"/>
          <w:bCs w:val="1"/>
          <w:color w:val="auto"/>
        </w:rPr>
      </w:pPr>
    </w:p>
    <w:p>
      <w:pPr>
        <w:ind w:left="340" w:right="4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leases facilities under non-cancelable operating lease agreements. The Company leases a portion of its capital equipment and vehicles, certain land and buildings for its facilities in Thailand, the Cayman Islands, the PRC, the U.S., Israel and Singapore under operating lease arrangements that expire at various dates through 2034. Certain of these lease arrangements provide the Company the ability to extend the lease term following the expiration of the current term. However, the Company has excluded all lease extension options from its right of use (“ROU”) assets and lease liabilities as the Company is not reasonably assured that it will exercise these options. None of the lease agreements contain residual value guarantees provided by the lessee.</w:t>
      </w:r>
    </w:p>
    <w:p>
      <w:pPr>
        <w:spacing w:after="0" w:line="183"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Operating leases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27, 2026, the maturities of the Company’s operating lease liabilities, by fiscal year, were as follows: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89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8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2"/>
              </w:rPr>
              <w:t>(1)</w:t>
            </w:r>
          </w:p>
        </w:tc>
        <w:tc>
          <w:tcPr>
            <w:tcW w:w="0" w:type="dxa"/>
            <w:vAlign w:val="bottom"/>
          </w:tcPr>
          <w:p>
            <w:pPr>
              <w:spacing w:after="0"/>
              <w:rPr>
                <w:sz w:val="1"/>
                <w:szCs w:val="1"/>
                <w:color w:val="auto"/>
              </w:rPr>
            </w:pPr>
          </w:p>
        </w:tc>
      </w:tr>
      <w:tr>
        <w:trPr>
          <w:trHeight w:val="248"/>
        </w:trPr>
        <w:tc>
          <w:tcPr>
            <w:tcW w:w="8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present value of lease liabilities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w:t>
            </w:r>
          </w:p>
        </w:tc>
        <w:tc>
          <w:tcPr>
            <w:tcW w:w="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340"/>
        <w:spacing w:after="0"/>
        <w:tabs>
          <w:tab w:leader="none" w:pos="620" w:val="left"/>
        </w:tabs>
        <w:rPr>
          <w:sz w:val="20"/>
          <w:szCs w:val="20"/>
          <w:color w:val="auto"/>
        </w:rPr>
      </w:pPr>
      <w:r>
        <w:rPr>
          <w:rFonts w:ascii="Times New Roman" w:cs="Times New Roman" w:eastAsia="Times New Roman" w:hAnsi="Times New Roman"/>
          <w:sz w:val="23"/>
          <w:szCs w:val="23"/>
          <w:color w:val="auto"/>
          <w:vertAlign w:val="superscript"/>
        </w:rPr>
        <w:t>(1)</w:t>
      </w:r>
      <w:r>
        <w:rPr>
          <w:sz w:val="20"/>
          <w:szCs w:val="20"/>
          <w:color w:val="auto"/>
        </w:rPr>
        <w:tab/>
      </w:r>
      <w:r>
        <w:rPr>
          <w:rFonts w:ascii="Times New Roman" w:cs="Times New Roman" w:eastAsia="Times New Roman" w:hAnsi="Times New Roman"/>
          <w:sz w:val="18"/>
          <w:szCs w:val="18"/>
          <w:color w:val="auto"/>
        </w:rPr>
        <w:t>Includes current portion of operating lease liabilities of $1.5 million.</w:t>
      </w:r>
    </w:p>
    <w:p>
      <w:pPr>
        <w:spacing w:after="0" w:line="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Rental expense related to the Company’s operating leases is recognized on a straight-line basis over the lease term.</w:t>
      </w:r>
    </w:p>
    <w:p>
      <w:pPr>
        <w:spacing w:after="0" w:line="117" w:lineRule="exact"/>
        <w:rPr>
          <w:sz w:val="20"/>
          <w:szCs w:val="20"/>
          <w:color w:val="auto"/>
        </w:rPr>
      </w:pPr>
    </w:p>
    <w:p>
      <w:pPr>
        <w:ind w:left="340" w:right="220"/>
        <w:spacing w:after="0" w:line="282" w:lineRule="auto"/>
        <w:rPr>
          <w:sz w:val="20"/>
          <w:szCs w:val="20"/>
          <w:color w:val="auto"/>
        </w:rPr>
      </w:pPr>
      <w:r>
        <w:rPr>
          <w:rFonts w:ascii="Times New Roman" w:cs="Times New Roman" w:eastAsia="Times New Roman" w:hAnsi="Times New Roman"/>
          <w:sz w:val="18"/>
          <w:szCs w:val="18"/>
          <w:color w:val="auto"/>
        </w:rPr>
        <w:t>Rental expense for long-term leases for the three and nine months ended March 27, 2026 was $0.5 million and $1.6 million, respectively, and for the three and nine months ended March 28, 2025 was $0.5 million and $1.4 million, respectively.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Rental expense for short-term leases for the three and nine months ended March 27, 2026 and March 28, 2025 was de minimis.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summarizes additional information related to the Company’s operating leases:</w:t>
      </w:r>
    </w:p>
    <w:p>
      <w:pPr>
        <w:spacing w:after="0" w:line="12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50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95"/>
        </w:trPr>
        <w:tc>
          <w:tcPr>
            <w:tcW w:w="7380" w:type="dxa"/>
            <w:vAlign w:val="bottom"/>
          </w:tcPr>
          <w:p>
            <w:pPr>
              <w:spacing w:after="0"/>
              <w:rPr>
                <w:sz w:val="16"/>
                <w:szCs w:val="16"/>
                <w:color w:val="auto"/>
              </w:rPr>
            </w:pP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5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June 27, 2025</w:t>
            </w:r>
          </w:p>
        </w:tc>
      </w:tr>
      <w:tr>
        <w:trPr>
          <w:trHeight w:val="228"/>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(in years)</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6.9 %</w:t>
            </w:r>
          </w:p>
        </w:tc>
        <w:tc>
          <w:tcPr>
            <w:tcW w:w="12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6.6 %</w:t>
            </w:r>
          </w:p>
        </w:tc>
      </w:tr>
    </w:tbl>
    <w:p>
      <w:pPr>
        <w:spacing w:after="0" w:line="179"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The following table presents supplemental disclosure for the unaudited condensed consolidated statements of cash flows related to operating leases for the three and nine months ended March 27, 2026 and March 28,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40" w:type="dxa"/>
            <w:vAlign w:val="bottom"/>
            <w:gridSpan w:val="5"/>
          </w:tcPr>
          <w:p>
            <w:pPr>
              <w:ind w:left="4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8"/>
                <w:szCs w:val="18"/>
                <w:color w:val="auto"/>
              </w:rPr>
            </w:pPr>
          </w:p>
        </w:tc>
        <w:tc>
          <w:tcPr>
            <w:tcW w:w="3020" w:type="dxa"/>
            <w:vAlign w:val="bottom"/>
            <w:gridSpan w:val="5"/>
          </w:tcPr>
          <w:p>
            <w:pPr>
              <w:ind w:left="5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134"/>
        </w:trPr>
        <w:tc>
          <w:tcPr>
            <w:tcW w:w="340" w:type="dxa"/>
            <w:vAlign w:val="bottom"/>
          </w:tcPr>
          <w:p>
            <w:pPr>
              <w:spacing w:after="0"/>
              <w:rPr>
                <w:sz w:val="11"/>
                <w:szCs w:val="11"/>
                <w:color w:val="auto"/>
              </w:rPr>
            </w:pPr>
          </w:p>
        </w:tc>
        <w:tc>
          <w:tcPr>
            <w:tcW w:w="46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99"/>
              <w:spacing w:after="0" w:line="13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40"/>
              <w:spacing w:after="0" w:line="134"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99"/>
              <w:spacing w:after="0" w:line="134"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5"/>
        </w:trPr>
        <w:tc>
          <w:tcPr>
            <w:tcW w:w="340" w:type="dxa"/>
            <w:vAlign w:val="bottom"/>
          </w:tcPr>
          <w:p>
            <w:pPr>
              <w:spacing w:after="0"/>
              <w:rPr>
                <w:sz w:val="16"/>
                <w:szCs w:val="16"/>
                <w:color w:val="auto"/>
              </w:rPr>
            </w:pPr>
          </w:p>
        </w:tc>
        <w:tc>
          <w:tcPr>
            <w:tcW w:w="466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0" w:type="dxa"/>
            <w:vAlign w:val="bottom"/>
          </w:tcPr>
          <w:p>
            <w:pPr>
              <w:spacing w:after="0"/>
              <w:rPr>
                <w:sz w:val="14"/>
                <w:szCs w:val="14"/>
                <w:color w:val="auto"/>
              </w:rPr>
            </w:pPr>
          </w:p>
        </w:tc>
        <w:tc>
          <w:tcPr>
            <w:tcW w:w="466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w:t>
            </w:r>
          </w:p>
        </w:tc>
        <w:tc>
          <w:tcPr>
            <w:tcW w:w="2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liabilities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4"/>
        </w:trPr>
        <w:tc>
          <w:tcPr>
            <w:tcW w:w="34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598"/>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Intangibles</w:t>
      </w:r>
    </w:p>
    <w:p>
      <w:pPr>
        <w:spacing w:after="0" w:line="12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tables present details of the Company’s intangibles:</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3"/>
                <w:szCs w:val="13"/>
                <w:color w:val="auto"/>
              </w:rPr>
            </w:pPr>
          </w:p>
        </w:tc>
        <w:tc>
          <w:tcPr>
            <w:tcW w:w="12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6"/>
        </w:trPr>
        <w:tc>
          <w:tcPr>
            <w:tcW w:w="76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200" w:type="dxa"/>
            <w:vAlign w:val="bottom"/>
          </w:tcPr>
          <w:p>
            <w:pPr>
              <w:spacing w:after="0"/>
              <w:rPr>
                <w:sz w:val="17"/>
                <w:szCs w:val="17"/>
                <w:color w:val="auto"/>
              </w:rPr>
            </w:pPr>
          </w:p>
        </w:tc>
        <w:tc>
          <w:tcPr>
            <w:tcW w:w="1200" w:type="dxa"/>
            <w:vAlign w:val="bottom"/>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0" w:type="dxa"/>
            <w:vAlign w:val="bottom"/>
          </w:tcPr>
          <w:p>
            <w:pPr>
              <w:spacing w:after="0"/>
              <w:rPr>
                <w:sz w:val="1"/>
                <w:szCs w:val="1"/>
                <w:color w:val="auto"/>
              </w:rPr>
            </w:pPr>
          </w:p>
        </w:tc>
      </w:tr>
      <w:tr>
        <w:trPr>
          <w:trHeight w:val="216"/>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Software</w:t>
            </w: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carrying amount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0" w:type="dxa"/>
            <w:vAlign w:val="bottom"/>
          </w:tcPr>
          <w:p>
            <w:pPr>
              <w:spacing w:after="0"/>
              <w:rPr>
                <w:sz w:val="1"/>
                <w:szCs w:val="1"/>
                <w:color w:val="auto"/>
              </w:rPr>
            </w:pPr>
          </w:p>
        </w:tc>
      </w:tr>
      <w:tr>
        <w:trPr>
          <w:trHeight w:val="223"/>
        </w:trPr>
        <w:tc>
          <w:tcPr>
            <w:tcW w:w="76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right="100"/>
        <w:spacing w:after="0" w:line="282" w:lineRule="auto"/>
        <w:rPr>
          <w:sz w:val="20"/>
          <w:szCs w:val="20"/>
          <w:color w:val="auto"/>
        </w:rPr>
      </w:pPr>
      <w:r>
        <w:rPr>
          <w:rFonts w:ascii="Times New Roman" w:cs="Times New Roman" w:eastAsia="Times New Roman" w:hAnsi="Times New Roman"/>
          <w:sz w:val="18"/>
          <w:szCs w:val="18"/>
          <w:color w:val="auto"/>
        </w:rPr>
        <w:t>The Company recorded amortization expense relating to intangibles of $0.3 million and $0.2 million for the three months ended March 27, 2026 and March 28, 2025, respectively, and $0.7 million for each of the nine months ended March 27, 2026 and March 28, 2025.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weighted-average remaining life of software was:</w:t>
      </w:r>
    </w:p>
    <w:p>
      <w:pPr>
        <w:spacing w:after="0" w:line="12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(years)</w:t>
            </w:r>
          </w:p>
        </w:tc>
        <w:tc>
          <w:tcPr>
            <w:tcW w:w="1220" w:type="dxa"/>
            <w:vAlign w:val="bottom"/>
          </w:tcPr>
          <w:p>
            <w:pPr>
              <w:jc w:val="center"/>
              <w:ind w:left="18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June 27, 2025</w:t>
            </w:r>
          </w:p>
        </w:tc>
        <w:tc>
          <w:tcPr>
            <w:tcW w:w="0" w:type="dxa"/>
            <w:vAlign w:val="bottom"/>
          </w:tcPr>
          <w:p>
            <w:pPr>
              <w:spacing w:after="0"/>
              <w:rPr>
                <w:sz w:val="1"/>
                <w:szCs w:val="1"/>
                <w:color w:val="auto"/>
              </w:rPr>
            </w:pPr>
          </w:p>
        </w:tc>
      </w:tr>
      <w:tr>
        <w:trPr>
          <w:trHeight w:val="228"/>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1220" w:type="dxa"/>
            <w:vAlign w:val="bottom"/>
            <w:shd w:val="clear" w:color="auto" w:fill="CCEEFF"/>
          </w:tcPr>
          <w:p>
            <w:pPr>
              <w:spacing w:after="0"/>
              <w:rPr>
                <w:sz w:val="19"/>
                <w:szCs w:val="19"/>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Based on the carrying amount of intangibles as of March 27, 2026, and assuming no future impairment of the underlying assets, the estimated future amortization during each fiscal year was as follows:</w:t>
      </w:r>
    </w:p>
    <w:p>
      <w:pPr>
        <w:spacing w:after="0" w:line="115"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9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5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
        </w:trPr>
        <w:tc>
          <w:tcPr>
            <w:tcW w:w="9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9"/>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 (remaining three months)</w:t>
            </w: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r>
      <w:tr>
        <w:trPr>
          <w:trHeight w:val="229"/>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30"/>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30"/>
        </w:trPr>
        <w:tc>
          <w:tcPr>
            <w:tcW w:w="9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48"/>
        </w:trPr>
        <w:tc>
          <w:tcPr>
            <w:tcW w:w="9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w:t>
            </w:r>
          </w:p>
        </w:tc>
      </w:tr>
      <w:tr>
        <w:trPr>
          <w:trHeight w:val="20"/>
        </w:trPr>
        <w:tc>
          <w:tcPr>
            <w:tcW w:w="9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left="340" w:right="220"/>
        <w:spacing w:after="0" w:line="282" w:lineRule="auto"/>
        <w:rPr>
          <w:sz w:val="20"/>
          <w:szCs w:val="20"/>
          <w:color w:val="auto"/>
        </w:rPr>
      </w:pPr>
      <w:r>
        <w:rPr>
          <w:rFonts w:ascii="Times New Roman" w:cs="Times New Roman" w:eastAsia="Times New Roman" w:hAnsi="Times New Roman"/>
          <w:sz w:val="18"/>
          <w:szCs w:val="18"/>
          <w:color w:val="auto"/>
        </w:rPr>
        <w:t>As of March 27, 2026 and June 27, 2025, the liability for uncertain tax positions including accrued interest and penalties was $4.4 million and $2.2 million, respectively.</w:t>
      </w:r>
    </w:p>
    <w:p>
      <w:pPr>
        <w:spacing w:after="0" w:line="54"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and foreign tax jurisdictions. The tax years from 2018 to 2024 remain open to examination by U.S. federal and state, and foreign tax authorities. The Company is currently under examination by the U.S. Internal Revenue Service (“IRS”) for fiscal year 2022. In fiscal year 2025, the IRS completed its examination of the Company’s U.S. subsidiaries for fiscal year 2022 and fiscal year 2023. The Company’s income tax is recognized based on the best estimate of the expected annual effective tax rate for the full financial year of Fabrinet and each of its subsidiaries, adjusted for discrete items arising in that quarter. If the Company’s estimated annual effective tax rate changes, the Company makes a cumulative adjustment in that quarter.</w:t>
      </w:r>
    </w:p>
    <w:p>
      <w:pPr>
        <w:spacing w:after="0" w:line="79"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The effective tax rate for the Company for the three months ended March 27, 2026 and March 28, 2025 was 6.7% and 5.8%, respectively, of net income. The increase was due to an increase in income subject to tax.</w:t>
      </w:r>
    </w:p>
    <w:p>
      <w:pPr>
        <w:spacing w:after="0" w:line="162" w:lineRule="exact"/>
        <w:rPr>
          <w:sz w:val="20"/>
          <w:szCs w:val="20"/>
          <w:color w:val="auto"/>
        </w:rPr>
      </w:pPr>
    </w:p>
    <w:p>
      <w:pPr>
        <w:ind w:left="340" w:right="480"/>
        <w:spacing w:after="0" w:line="282" w:lineRule="auto"/>
        <w:rPr>
          <w:sz w:val="20"/>
          <w:szCs w:val="20"/>
          <w:color w:val="auto"/>
        </w:rPr>
      </w:pPr>
      <w:r>
        <w:rPr>
          <w:rFonts w:ascii="Times New Roman" w:cs="Times New Roman" w:eastAsia="Times New Roman" w:hAnsi="Times New Roman"/>
          <w:sz w:val="18"/>
          <w:szCs w:val="18"/>
          <w:color w:val="auto"/>
        </w:rPr>
        <w:t>The effective tax rate for the Company for the nine months ended March 27, 2026 and March 28, 2025 was 6.1% and 6.3%, respectively, of net income. The decrease was due to an increase in income not subject to tax.</w:t>
      </w:r>
    </w:p>
    <w:p>
      <w:pPr>
        <w:spacing w:after="0" w:line="15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Share-based compensation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grant date fair value of restricted share units and performance share units is based on the market value of Fabrinet's ordinary shares on the date of grant.</w:t>
      </w:r>
    </w:p>
    <w:p>
      <w:pPr>
        <w:spacing w:after="0" w:line="200" w:lineRule="exact"/>
        <w:rPr>
          <w:sz w:val="20"/>
          <w:szCs w:val="20"/>
          <w:color w:val="auto"/>
        </w:rPr>
      </w:pPr>
    </w:p>
    <w:p>
      <w:pPr>
        <w:spacing w:after="0" w:line="29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effect of recording share-based compensation expense for the three and nine months ended March 27, 2026 and March 28, 2025 was as follows:</w:t>
      </w:r>
    </w:p>
    <w:p>
      <w:pPr>
        <w:spacing w:after="0" w:line="138"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640" w:type="dxa"/>
            <w:vAlign w:val="bottom"/>
            <w:gridSpan w:val="4"/>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95"/>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95"/>
              <w:spacing w:after="0" w:line="129"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CCEEFF"/>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 expense by type of award:</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Restricted share units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4,777</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16,887</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15,920</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Performance share units</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8,983</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effect on share-based compensation expense</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effect on share-based compensation expense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both"/>
        <w:ind w:left="340" w:right="400"/>
        <w:spacing w:after="0" w:line="282" w:lineRule="auto"/>
        <w:rPr>
          <w:sz w:val="20"/>
          <w:szCs w:val="20"/>
          <w:color w:val="auto"/>
        </w:rPr>
      </w:pPr>
      <w:r>
        <w:rPr>
          <w:rFonts w:ascii="Times New Roman" w:cs="Times New Roman" w:eastAsia="Times New Roman" w:hAnsi="Times New Roman"/>
          <w:sz w:val="18"/>
          <w:szCs w:val="18"/>
          <w:color w:val="auto"/>
        </w:rPr>
        <w:t>Share-based compensation expense was recorded in the unaudited condensed consolidated statements of operations and comprehensive income as follows:</w:t>
      </w:r>
    </w:p>
    <w:p>
      <w:pPr>
        <w:spacing w:after="0" w:line="74"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4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640" w:type="dxa"/>
            <w:vAlign w:val="bottom"/>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4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4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ind w:right="297"/>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5"/>
        </w:trPr>
        <w:tc>
          <w:tcPr>
            <w:tcW w:w="464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7,883</w:t>
            </w: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17,020</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24,903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The Company did not capitalize any share-based compensation expense as part of any asset costs during the three and nine months ended March 27, 2026 and March 28, 2025.</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award activity</w:t>
      </w:r>
    </w:p>
    <w:p>
      <w:pPr>
        <w:spacing w:after="0" w:line="121" w:lineRule="exact"/>
        <w:rPr>
          <w:sz w:val="20"/>
          <w:szCs w:val="20"/>
          <w:color w:val="auto"/>
        </w:rPr>
      </w:pPr>
    </w:p>
    <w:p>
      <w:pPr>
        <w:ind w:left="340"/>
        <w:spacing w:after="0" w:line="256" w:lineRule="auto"/>
        <w:rPr>
          <w:sz w:val="20"/>
          <w:szCs w:val="20"/>
          <w:color w:val="auto"/>
        </w:rPr>
      </w:pPr>
      <w:r>
        <w:rPr>
          <w:rFonts w:ascii="Times New Roman" w:cs="Times New Roman" w:eastAsia="Times New Roman" w:hAnsi="Times New Roman"/>
          <w:sz w:val="18"/>
          <w:szCs w:val="18"/>
          <w:color w:val="auto"/>
        </w:rPr>
        <w:t>On December 12, 2019, the Company’s shareholders approved Fabrinet’s 2020 Equity Incentive Plan (the “2020 Plan”). Upon the approval of the 2020 Plan, Fabrinet’s Amended and Restated 2010 Performance Incentive Plan (the “2010 Plan”) was simultaneously terminated. The 2020 Plan provides for the grant of equity awards thereunder with respect to (i) 1,700,000 ordinary shares, plus (ii) up to 1,300,000 ordinary shares that, as of immediately prior to the termination of the 2010 Plan, had been reserved but not issued pursuant to any awards granted under the 2010 Plan and are not subject to any awards thereunder. Upon termination of the 2010 Plan, 1,281,619 ordinary shares were reserved for issuance under the 2020 Plan pursuant to clause (ii) of the preceding sentence.</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2, 2017, the Company adopted the 2017 Inducement Equity Incentive Plan (the “2017 Inducement Plan”) with a reserve</w:t>
      </w:r>
    </w:p>
    <w:p>
      <w:pPr>
        <w:spacing w:after="0" w:line="27" w:lineRule="exact"/>
        <w:rPr>
          <w:sz w:val="20"/>
          <w:szCs w:val="20"/>
          <w:color w:val="auto"/>
        </w:rPr>
      </w:pPr>
    </w:p>
    <w:p>
      <w:pPr>
        <w:ind w:left="340"/>
        <w:spacing w:after="0" w:line="255" w:lineRule="auto"/>
        <w:rPr>
          <w:sz w:val="20"/>
          <w:szCs w:val="20"/>
          <w:color w:val="auto"/>
        </w:rPr>
      </w:pPr>
      <w:r>
        <w:rPr>
          <w:rFonts w:ascii="Times New Roman" w:cs="Times New Roman" w:eastAsia="Times New Roman" w:hAnsi="Times New Roman"/>
          <w:sz w:val="18"/>
          <w:szCs w:val="18"/>
          <w:color w:val="auto"/>
        </w:rPr>
        <w:t>of 160,000 ordinary shares authorized for future issuance solely for the granting of inducement share options and equity awards to new employees. The 2017 Inducement Plan was adopted without shareholder approval in reliance on the “employment inducement exemption” provided under the New York Stock Exchange Listed Company Manual.</w:t>
      </w:r>
    </w:p>
    <w:p>
      <w:pPr>
        <w:spacing w:after="0" w:line="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2020 Plan and 2017 Inducement Plan are collectively referred to as the “Equity Incentive Plans.”</w:t>
      </w:r>
    </w:p>
    <w:p>
      <w:pPr>
        <w:spacing w:after="0" w:line="117" w:lineRule="exact"/>
        <w:rPr>
          <w:sz w:val="20"/>
          <w:szCs w:val="20"/>
          <w:color w:val="auto"/>
        </w:rPr>
      </w:pPr>
    </w:p>
    <w:p>
      <w:pPr>
        <w:ind w:left="340" w:right="26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number of equity awards outstanding and ordinary shares available for grant under each of the Equity Incentive Plans as of March 27, 2026:</w:t>
      </w:r>
    </w:p>
    <w:p>
      <w:pPr>
        <w:spacing w:after="0" w:line="181"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3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(share units)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Restricted Share Units</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Performance Share Units</w:t>
            </w:r>
          </w:p>
        </w:tc>
        <w:tc>
          <w:tcPr>
            <w:tcW w:w="2120" w:type="dxa"/>
            <w:vAlign w:val="bottom"/>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Ordinary Shares available for</w:t>
            </w:r>
          </w:p>
        </w:tc>
        <w:tc>
          <w:tcPr>
            <w:tcW w:w="0" w:type="dxa"/>
            <w:vAlign w:val="bottom"/>
          </w:tcPr>
          <w:p>
            <w:pPr>
              <w:spacing w:after="0"/>
              <w:rPr>
                <w:sz w:val="1"/>
                <w:szCs w:val="1"/>
                <w:color w:val="auto"/>
              </w:rPr>
            </w:pPr>
          </w:p>
        </w:tc>
      </w:tr>
      <w:tr>
        <w:trPr>
          <w:trHeight w:val="196"/>
        </w:trPr>
        <w:tc>
          <w:tcPr>
            <w:tcW w:w="3940" w:type="dxa"/>
            <w:vAlign w:val="bottom"/>
            <w:vMerge w:val="continue"/>
          </w:tcPr>
          <w:p>
            <w:pPr>
              <w:spacing w:after="0"/>
              <w:rPr>
                <w:sz w:val="17"/>
                <w:szCs w:val="17"/>
                <w:color w:val="auto"/>
              </w:rPr>
            </w:pP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120" w:type="dxa"/>
            <w:vAlign w:val="bottom"/>
          </w:tcPr>
          <w:p>
            <w:pPr>
              <w:jc w:val="right"/>
              <w:ind w:right="597"/>
              <w:spacing w:after="0"/>
              <w:rPr>
                <w:sz w:val="20"/>
                <w:szCs w:val="20"/>
                <w:color w:val="auto"/>
              </w:rPr>
            </w:pPr>
            <w:r>
              <w:rPr>
                <w:rFonts w:ascii="Times New Roman" w:cs="Times New Roman" w:eastAsia="Times New Roman" w:hAnsi="Times New Roman"/>
                <w:sz w:val="14"/>
                <w:szCs w:val="14"/>
                <w:b w:val="1"/>
                <w:bCs w:val="1"/>
                <w:color w:val="auto"/>
              </w:rPr>
              <w:t>future grant</w:t>
            </w:r>
          </w:p>
        </w:tc>
        <w:tc>
          <w:tcPr>
            <w:tcW w:w="0" w:type="dxa"/>
            <w:vAlign w:val="bottom"/>
          </w:tcPr>
          <w:p>
            <w:pPr>
              <w:spacing w:after="0"/>
              <w:rPr>
                <w:sz w:val="1"/>
                <w:szCs w:val="1"/>
                <w:color w:val="auto"/>
              </w:rPr>
            </w:pPr>
          </w:p>
        </w:tc>
      </w:tr>
      <w:tr>
        <w:trPr>
          <w:trHeight w:val="229"/>
        </w:trPr>
        <w:tc>
          <w:tcPr>
            <w:tcW w:w="3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 Plan</w:t>
            </w: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217,526</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95,196</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1,458,348</w:t>
            </w:r>
          </w:p>
        </w:tc>
        <w:tc>
          <w:tcPr>
            <w:tcW w:w="0" w:type="dxa"/>
            <w:vAlign w:val="bottom"/>
          </w:tcPr>
          <w:p>
            <w:pPr>
              <w:spacing w:after="0"/>
              <w:rPr>
                <w:sz w:val="1"/>
                <w:szCs w:val="1"/>
                <w:color w:val="auto"/>
              </w:rPr>
            </w:pPr>
          </w:p>
        </w:tc>
      </w:tr>
      <w:tr>
        <w:trPr>
          <w:trHeight w:val="230"/>
        </w:trPr>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2017 Inducement Plan</w:t>
            </w:r>
          </w:p>
        </w:tc>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111,347</w:t>
            </w:r>
          </w:p>
        </w:tc>
        <w:tc>
          <w:tcPr>
            <w:tcW w:w="0" w:type="dxa"/>
            <w:vAlign w:val="bottom"/>
          </w:tcPr>
          <w:p>
            <w:pPr>
              <w:spacing w:after="0"/>
              <w:rPr>
                <w:sz w:val="1"/>
                <w:szCs w:val="1"/>
                <w:color w:val="auto"/>
              </w:rPr>
            </w:pPr>
          </w:p>
        </w:tc>
      </w:tr>
      <w:tr>
        <w:trPr>
          <w:trHeight w:val="24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1,569,695</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share units and performance share units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Restricted share units and performance share units have been granted under the Equity Incentive Plans.</w:t>
      </w:r>
    </w:p>
    <w:p>
      <w:pPr>
        <w:spacing w:after="0" w:line="117" w:lineRule="exact"/>
        <w:rPr>
          <w:sz w:val="20"/>
          <w:szCs w:val="20"/>
          <w:color w:val="auto"/>
        </w:rPr>
      </w:pPr>
    </w:p>
    <w:p>
      <w:pPr>
        <w:ind w:left="340" w:right="360"/>
        <w:spacing w:after="0" w:line="266" w:lineRule="auto"/>
        <w:rPr>
          <w:sz w:val="20"/>
          <w:szCs w:val="20"/>
          <w:color w:val="auto"/>
        </w:rPr>
      </w:pPr>
      <w:r>
        <w:rPr>
          <w:rFonts w:ascii="Times New Roman" w:cs="Times New Roman" w:eastAsia="Times New Roman" w:hAnsi="Times New Roman"/>
          <w:sz w:val="18"/>
          <w:szCs w:val="18"/>
          <w:color w:val="auto"/>
        </w:rPr>
        <w:t>Restricted share units granted to employees generally vest in equal installments over three or four years on each anniversary of the vesting commencement date. Restricted share units granted to non-employee directors generally cliff vest 100% on the first of January, approximately one year from the grant date, provided the director continues to serve through such date.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right="60"/>
        <w:spacing w:after="0" w:line="266" w:lineRule="auto"/>
        <w:rPr>
          <w:sz w:val="20"/>
          <w:szCs w:val="20"/>
          <w:color w:val="auto"/>
        </w:rPr>
      </w:pPr>
      <w:r>
        <w:rPr>
          <w:rFonts w:ascii="Times New Roman" w:cs="Times New Roman" w:eastAsia="Times New Roman" w:hAnsi="Times New Roman"/>
          <w:sz w:val="18"/>
          <w:szCs w:val="18"/>
          <w:color w:val="auto"/>
        </w:rPr>
        <w:t>Performance share units granted to executives will vest, if at all, at the end of a two-year performance period based on the Company’s achievement of pre-defined performance criteria, which consist of revenue and non-GAAP operating margin targets. The actual number of performance share units that may vest at the end of the performance period ranges from 0% to 100% of the award grant.</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restricted share unit activity under the Equity Incentive Plans:</w:t>
      </w:r>
    </w:p>
    <w:p>
      <w:pPr>
        <w:spacing w:after="0" w:line="123"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37"/>
        </w:trPr>
        <w:tc>
          <w:tcPr>
            <w:tcW w:w="7600" w:type="dxa"/>
            <w:vAlign w:val="bottom"/>
          </w:tcPr>
          <w:p>
            <w:pPr>
              <w:spacing w:after="0"/>
              <w:rPr>
                <w:sz w:val="11"/>
                <w:szCs w:val="11"/>
                <w:color w:val="auto"/>
              </w:rPr>
            </w:pPr>
          </w:p>
        </w:tc>
        <w:tc>
          <w:tcPr>
            <w:tcW w:w="1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0"/>
        </w:trPr>
        <w:tc>
          <w:tcPr>
            <w:tcW w:w="76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76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27, 2025</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187.00</w:t>
            </w:r>
          </w:p>
        </w:tc>
        <w:tc>
          <w:tcPr>
            <w:tcW w:w="0" w:type="dxa"/>
            <w:vAlign w:val="bottom"/>
          </w:tcPr>
          <w:p>
            <w:pPr>
              <w:spacing w:after="0"/>
              <w:rPr>
                <w:sz w:val="1"/>
                <w:szCs w:val="1"/>
                <w:color w:val="auto"/>
              </w:rPr>
            </w:pP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76,492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(113,827)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167.65</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227.15</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27, 2026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217,526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236.16</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line="20" w:lineRule="exact"/>
              <w:rPr>
                <w:sz w:val="1"/>
                <w:szCs w:val="1"/>
                <w:color w:val="auto"/>
              </w:rPr>
            </w:pPr>
          </w:p>
        </w:tc>
      </w:tr>
      <w:tr>
        <w:trPr>
          <w:trHeight w:val="327"/>
        </w:trPr>
        <w:tc>
          <w:tcPr>
            <w:tcW w:w="760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6"/>
        </w:trPr>
        <w:tc>
          <w:tcPr>
            <w:tcW w:w="7600" w:type="dxa"/>
            <w:vAlign w:val="bottom"/>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306,660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0" w:type="dxa"/>
            <w:vAlign w:val="bottom"/>
          </w:tcPr>
          <w:p>
            <w:pPr>
              <w:spacing w:after="0"/>
              <w:rPr>
                <w:sz w:val="1"/>
                <w:szCs w:val="1"/>
                <w:color w:val="auto"/>
              </w:rPr>
            </w:pPr>
          </w:p>
        </w:tc>
      </w:tr>
      <w:tr>
        <w:trPr>
          <w:trHeight w:val="230"/>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259.19</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(132,797)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118.43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(15,297)</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165.48</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28,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270,488</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performance share unit activity under the Equity Incentive Plans:</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7600" w:type="dxa"/>
            <w:vAlign w:val="bottom"/>
            <w:vMerge w:val="continue"/>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600" w:type="dxa"/>
            <w:vAlign w:val="bottom"/>
          </w:tcPr>
          <w:p>
            <w:pPr>
              <w:spacing w:after="0"/>
              <w:rPr>
                <w:sz w:val="22"/>
                <w:szCs w:val="22"/>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37"/>
        </w:trPr>
        <w:tc>
          <w:tcPr>
            <w:tcW w:w="7600" w:type="dxa"/>
            <w:vAlign w:val="bottom"/>
          </w:tcPr>
          <w:p>
            <w:pPr>
              <w:spacing w:after="0"/>
              <w:rPr>
                <w:sz w:val="11"/>
                <w:szCs w:val="11"/>
                <w:color w:val="auto"/>
              </w:rPr>
            </w:pPr>
          </w:p>
        </w:tc>
        <w:tc>
          <w:tcPr>
            <w:tcW w:w="14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78"/>
              <w:spacing w:after="0" w:line="137"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0"/>
        </w:trPr>
        <w:tc>
          <w:tcPr>
            <w:tcW w:w="76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3"/>
        </w:trPr>
        <w:tc>
          <w:tcPr>
            <w:tcW w:w="7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60" w:type="dxa"/>
            <w:vAlign w:val="bottom"/>
            <w:gridSpan w:val="2"/>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27, 2025</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120,916</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w:t>
            </w:r>
          </w:p>
        </w:tc>
        <w:tc>
          <w:tcPr>
            <w:tcW w:w="0" w:type="dxa"/>
            <w:vAlign w:val="bottom"/>
          </w:tcPr>
          <w:p>
            <w:pPr>
              <w:spacing w:after="0"/>
              <w:rPr>
                <w:sz w:val="1"/>
                <w:szCs w:val="1"/>
                <w:color w:val="auto"/>
              </w:rPr>
            </w:pPr>
          </w:p>
        </w:tc>
      </w:tr>
      <w:tr>
        <w:trPr>
          <w:trHeight w:val="229"/>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48,806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277.04</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158.91</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27, 2026</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95,196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269.63</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CCEEFF"/>
            </w:tcBorders>
            <w:vMerge w:val="restart"/>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line="20" w:lineRule="exact"/>
              <w:rPr>
                <w:sz w:val="1"/>
                <w:szCs w:val="1"/>
                <w:color w:val="auto"/>
              </w:rPr>
            </w:pPr>
          </w:p>
        </w:tc>
      </w:tr>
      <w:tr>
        <w:trPr>
          <w:trHeight w:val="327"/>
        </w:trPr>
        <w:tc>
          <w:tcPr>
            <w:tcW w:w="760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60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58"/>
              <w:spacing w:after="0" w:line="149" w:lineRule="exact"/>
              <w:rPr>
                <w:sz w:val="20"/>
                <w:szCs w:val="20"/>
                <w:color w:val="auto"/>
              </w:rPr>
            </w:pPr>
            <w:r>
              <w:rPr>
                <w:rFonts w:ascii="Times New Roman" w:cs="Times New Roman" w:eastAsia="Times New Roman" w:hAnsi="Times New Roman"/>
                <w:sz w:val="14"/>
                <w:szCs w:val="14"/>
                <w:b w:val="1"/>
                <w:bCs w:val="1"/>
                <w:color w:val="auto"/>
              </w:rPr>
              <w:t>Average Grant</w:t>
            </w:r>
          </w:p>
        </w:tc>
        <w:tc>
          <w:tcPr>
            <w:tcW w:w="0" w:type="dxa"/>
            <w:vAlign w:val="bottom"/>
          </w:tcPr>
          <w:p>
            <w:pPr>
              <w:spacing w:after="0"/>
              <w:rPr>
                <w:sz w:val="1"/>
                <w:szCs w:val="1"/>
                <w:color w:val="auto"/>
              </w:rPr>
            </w:pPr>
          </w:p>
        </w:tc>
      </w:tr>
      <w:tr>
        <w:trPr>
          <w:trHeight w:val="146"/>
        </w:trPr>
        <w:tc>
          <w:tcPr>
            <w:tcW w:w="7600" w:type="dxa"/>
            <w:vAlign w:val="bottom"/>
          </w:tcPr>
          <w:p>
            <w:pPr>
              <w:spacing w:after="0"/>
              <w:rPr>
                <w:sz w:val="12"/>
                <w:szCs w:val="12"/>
                <w:color w:val="auto"/>
              </w:rPr>
            </w:pPr>
          </w:p>
        </w:tc>
        <w:tc>
          <w:tcPr>
            <w:tcW w:w="14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78"/>
              <w:spacing w:after="0" w:line="146" w:lineRule="exact"/>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8"/>
        </w:trPr>
        <w:tc>
          <w:tcPr>
            <w:tcW w:w="7600" w:type="dxa"/>
            <w:vAlign w:val="bottom"/>
            <w:tcBorders>
              <w:bottom w:val="single" w:sz="8" w:color="CCEEFF"/>
            </w:tcBorders>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0" w:type="dxa"/>
            <w:vAlign w:val="bottom"/>
          </w:tcPr>
          <w:p>
            <w:pPr>
              <w:spacing w:after="0"/>
              <w:rPr>
                <w:sz w:val="1"/>
                <w:szCs w:val="1"/>
                <w:color w:val="auto"/>
              </w:rPr>
            </w:pPr>
          </w:p>
        </w:tc>
      </w:tr>
      <w:tr>
        <w:trPr>
          <w:trHeight w:val="228"/>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135.31</w:t>
            </w:r>
          </w:p>
        </w:tc>
        <w:tc>
          <w:tcPr>
            <w:tcW w:w="0" w:type="dxa"/>
            <w:vAlign w:val="bottom"/>
          </w:tcPr>
          <w:p>
            <w:pPr>
              <w:spacing w:after="0"/>
              <w:rPr>
                <w:sz w:val="1"/>
                <w:szCs w:val="1"/>
                <w:color w:val="auto"/>
              </w:rPr>
            </w:pPr>
          </w:p>
        </w:tc>
      </w:tr>
      <w:tr>
        <w:trPr>
          <w:trHeight w:val="230"/>
        </w:trPr>
        <w:tc>
          <w:tcPr>
            <w:tcW w:w="7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261.84</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117.35</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28, 2025</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120,916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340" w:right="140"/>
        <w:spacing w:after="0" w:line="266" w:lineRule="auto"/>
        <w:rPr>
          <w:sz w:val="20"/>
          <w:szCs w:val="20"/>
          <w:color w:val="auto"/>
        </w:rPr>
      </w:pPr>
      <w:r>
        <w:rPr>
          <w:rFonts w:ascii="Times New Roman" w:cs="Times New Roman" w:eastAsia="Times New Roman" w:hAnsi="Times New Roman"/>
          <w:sz w:val="18"/>
          <w:szCs w:val="18"/>
          <w:color w:val="auto"/>
        </w:rPr>
        <w:t>As of March 27, 2026, there was $21.2 million and $11.0 million of unrecognized share-based compensation expense related to restricted share units and performance share units, respectively, under the Equity Incentive Plans that is expected to be recorded over a weighted-average period of 2.6 and 1.2 years, respectively.</w:t>
      </w:r>
    </w:p>
    <w:p>
      <w:pPr>
        <w:spacing w:after="0" w:line="68"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For the nine months ended March 27, 2026 and March 28, 2025, the Company withheld an aggregate of 72,850 shares and 90,792 shares, respectively, upon the vesting of restricted share units and performance shares units, based upon the closing share price on the vesting date to settle employee tax withholding obligations. For the nine months ended March 27, 2026 and March 28, 2025, the Company then remitted cash of $24.4 million and $20.9 million, respectively, to the appropriate taxing authorities and presented it as a financing activity within the unaudited condensed consolidated statements of cash flows. The payment was recorded as a reduction of additional paid-in capital.</w:t>
      </w: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Warrant</w:t>
      </w:r>
    </w:p>
    <w:p>
      <w:pPr>
        <w:spacing w:after="0" w:line="121" w:lineRule="exact"/>
        <w:rPr>
          <w:sz w:val="20"/>
          <w:szCs w:val="20"/>
          <w:color w:val="auto"/>
        </w:rPr>
      </w:pPr>
    </w:p>
    <w:p>
      <w:pPr>
        <w:ind w:left="340" w:right="160"/>
        <w:spacing w:after="0" w:line="266" w:lineRule="auto"/>
        <w:rPr>
          <w:sz w:val="20"/>
          <w:szCs w:val="20"/>
          <w:color w:val="auto"/>
        </w:rPr>
      </w:pPr>
      <w:r>
        <w:rPr>
          <w:rFonts w:ascii="Times New Roman" w:cs="Times New Roman" w:eastAsia="Times New Roman" w:hAnsi="Times New Roman"/>
          <w:sz w:val="18"/>
          <w:szCs w:val="18"/>
          <w:color w:val="auto"/>
        </w:rPr>
        <w:t>On March 12, 2025, the Company issued a warrant (the “Warrant”) to Amazon.com NV Investment Holdings LLC to acquire up to 381,922 ordinary shares (the “Warrant Shares”) of the Company at an exercise price of $208.48 per share. The Warrant allows for cashless exercise and expires on March 12, 2032.</w:t>
      </w:r>
    </w:p>
    <w:p>
      <w:pPr>
        <w:spacing w:after="0" w:line="68"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Upon issuance of the Warrant, 38,192 of the Warrant Shares vested. The remainder of the Warrant Shares are subject to vesting in multiple tranches over the term of the Warrant based on payments to the Company from or on behalf of Amazon.com, Inc. ("Amazon") or its affiliates under a commercial agreement or otherwise. Upon the consummation of an acquisition transaction or the termination of the commercial agreement by Amazon for cause, the unvested portion of the Warrant will vest in full. The exercise price and the number of Warrant Shares are subject to customary antidilution adjustments.</w:t>
      </w:r>
    </w:p>
    <w:p>
      <w:pPr>
        <w:spacing w:after="0" w:line="75" w:lineRule="exact"/>
        <w:rPr>
          <w:sz w:val="20"/>
          <w:szCs w:val="20"/>
          <w:color w:val="auto"/>
        </w:rPr>
      </w:pPr>
    </w:p>
    <w:p>
      <w:pPr>
        <w:ind w:left="340" w:right="60"/>
        <w:spacing w:after="0" w:line="282" w:lineRule="auto"/>
        <w:rPr>
          <w:sz w:val="20"/>
          <w:szCs w:val="20"/>
          <w:color w:val="auto"/>
        </w:rPr>
      </w:pPr>
      <w:r>
        <w:rPr>
          <w:rFonts w:ascii="Times New Roman" w:cs="Times New Roman" w:eastAsia="Times New Roman" w:hAnsi="Times New Roman"/>
          <w:sz w:val="18"/>
          <w:szCs w:val="18"/>
          <w:color w:val="auto"/>
        </w:rPr>
        <w:t>Using the Black-Scholes option pricing model, the grant date fair value of the Warrant was determined to be $102.88 per share, for a total fair value of $39.3 million. The grant date fair value of the Warrant was estimated as of the issuance date using the following assumptions:</w:t>
      </w:r>
    </w:p>
    <w:p>
      <w:pPr>
        <w:spacing w:after="0" w:line="99"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r>
        <w:trPr>
          <w:trHeight w:val="230"/>
        </w:trPr>
        <w:tc>
          <w:tcPr>
            <w:tcW w:w="9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45.2 %</w:t>
            </w:r>
          </w:p>
        </w:tc>
      </w:tr>
      <w:tr>
        <w:trPr>
          <w:trHeight w:val="234"/>
        </w:trPr>
        <w:tc>
          <w:tcPr>
            <w:tcW w:w="9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years</w:t>
            </w:r>
          </w:p>
        </w:tc>
      </w:tr>
      <w:tr>
        <w:trPr>
          <w:trHeight w:val="414"/>
        </w:trPr>
        <w:tc>
          <w:tcPr>
            <w:tcW w:w="9620" w:type="dxa"/>
            <w:vAlign w:val="bottom"/>
          </w:tcPr>
          <w:p>
            <w:pPr>
              <w:spacing w:after="0"/>
              <w:rPr>
                <w:sz w:val="20"/>
                <w:szCs w:val="20"/>
                <w:color w:val="auto"/>
              </w:rPr>
            </w:pPr>
            <w:r>
              <w:rPr>
                <w:rFonts w:ascii="Times New Roman" w:cs="Times New Roman" w:eastAsia="Times New Roman" w:hAnsi="Times New Roman"/>
                <w:sz w:val="18"/>
                <w:szCs w:val="18"/>
                <w:color w:val="auto"/>
              </w:rPr>
              <w:t>As of March 27, 2026 and June 27, 2025, 70,662 and 38,192 Warrant Shares, respectively, were vested and remained unexercised.</w:t>
            </w:r>
          </w:p>
        </w:tc>
        <w:tc>
          <w:tcPr>
            <w:tcW w:w="780" w:type="dxa"/>
            <w:vAlign w:val="bottom"/>
          </w:tcPr>
          <w:p>
            <w:pPr>
              <w:spacing w:after="0"/>
              <w:rPr>
                <w:sz w:val="24"/>
                <w:szCs w:val="24"/>
                <w:color w:val="auto"/>
              </w:rPr>
            </w:pPr>
          </w:p>
        </w:tc>
      </w:tr>
    </w:tbl>
    <w:p>
      <w:pPr>
        <w:spacing w:after="0" w:line="19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 capital</w:t>
      </w:r>
    </w:p>
    <w:p>
      <w:pPr>
        <w:spacing w:after="0" w:line="121"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Fabrinet’s authorized share capital is 500,000,000 ordinary shares, par value of $0.01 per ordinary share, and 5,000,000 preferred shares, par value of $0.01 per preferred share.</w:t>
      </w:r>
    </w:p>
    <w:p>
      <w:pPr>
        <w:spacing w:after="0" w:line="54" w:lineRule="exact"/>
        <w:rPr>
          <w:sz w:val="20"/>
          <w:szCs w:val="20"/>
          <w:color w:val="auto"/>
        </w:rPr>
      </w:pPr>
    </w:p>
    <w:p>
      <w:pPr>
        <w:ind w:left="340" w:right="22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March 27, 2026, Fabrinet issued 7,134 and 114,913 ordinary shares, respectively, upon the vesting of restricted share units and performance share units under the Equity Incentive Plans, net of shares withheld.</w:t>
      </w:r>
    </w:p>
    <w:p>
      <w:pPr>
        <w:spacing w:after="0" w:line="54" w:lineRule="exact"/>
        <w:rPr>
          <w:sz w:val="20"/>
          <w:szCs w:val="20"/>
          <w:color w:val="auto"/>
        </w:rPr>
      </w:pPr>
    </w:p>
    <w:p>
      <w:pPr>
        <w:ind w:left="340" w:right="140"/>
        <w:spacing w:after="0" w:line="282" w:lineRule="auto"/>
        <w:rPr>
          <w:sz w:val="20"/>
          <w:szCs w:val="20"/>
          <w:color w:val="auto"/>
        </w:rPr>
      </w:pPr>
      <w:r>
        <w:rPr>
          <w:rFonts w:ascii="Times New Roman" w:cs="Times New Roman" w:eastAsia="Times New Roman" w:hAnsi="Times New Roman"/>
          <w:sz w:val="18"/>
          <w:szCs w:val="18"/>
          <w:color w:val="auto"/>
        </w:rPr>
        <w:t>For the three and nine months ended March 28, 2025, Fabrinet issued 11,421 and 139,147 ordinary shares, respectively, upon the vesting of restricted share units and performance share units under the Equity Incentive Plans, net of shares withheld.</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All such issued shares are fully paid.</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ind w:left="340" w:right="220"/>
        <w:spacing w:after="0" w:line="258" w:lineRule="auto"/>
        <w:rPr>
          <w:sz w:val="20"/>
          <w:szCs w:val="20"/>
          <w:color w:val="auto"/>
        </w:rPr>
      </w:pPr>
      <w:r>
        <w:rPr>
          <w:rFonts w:ascii="Times New Roman" w:cs="Times New Roman" w:eastAsia="Times New Roman" w:hAnsi="Times New Roman"/>
          <w:sz w:val="18"/>
          <w:szCs w:val="18"/>
          <w:color w:val="auto"/>
        </w:rPr>
        <w:t>In August 2017, the Company’s board of directors approved a share repurchase program to permit the Company to repurchase up to $30.0 million worth of its issued and outstanding ordinary shares in the open market in accordance with applicable rules and regulations. In February 2018, May 2019, August 2020, August 2022, August 2023, August 2024, and January 2025, the Company’s board of directors approved an increase of $30.0 million, $50.0 million, $58.5 million, $78.7 million, $47.6 million, $139.5 million, and $100.0 million, respectively, to the original share repurchase authorization, bringing the aggregate authorization to $534.3 million.</w:t>
      </w:r>
    </w:p>
    <w:p>
      <w:pPr>
        <w:spacing w:after="0" w:line="75" w:lineRule="exact"/>
        <w:rPr>
          <w:sz w:val="20"/>
          <w:szCs w:val="20"/>
          <w:color w:val="auto"/>
        </w:rPr>
      </w:pPr>
    </w:p>
    <w:p>
      <w:pPr>
        <w:ind w:left="340" w:right="380"/>
        <w:spacing w:after="0" w:line="261" w:lineRule="auto"/>
        <w:rPr>
          <w:sz w:val="20"/>
          <w:szCs w:val="20"/>
          <w:color w:val="auto"/>
        </w:rPr>
      </w:pPr>
      <w:r>
        <w:rPr>
          <w:rFonts w:ascii="Times New Roman" w:cs="Times New Roman" w:eastAsia="Times New Roman" w:hAnsi="Times New Roman"/>
          <w:sz w:val="18"/>
          <w:szCs w:val="18"/>
          <w:color w:val="auto"/>
        </w:rPr>
        <w:t>During the nine months ended March 27, 2026, 13,766 shares were repurchased under the program, at an average price per share (excluding other direct costs) of $379.99, for an aggregate purchase price of $5.2 million. As of March 27, 2026, the Company had a remaining authorization to repurchase up to $169.0 million worth of its ordinary shares under the share repurchase program. Shares repurchased under the share repurchase program are held as treasury shares.</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changes in AOCI for the nine months ended March 27, 2026 and March 28, 2025 were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net</w:t>
            </w:r>
          </w:p>
        </w:tc>
        <w:tc>
          <w:tcPr>
            <w:tcW w:w="180" w:type="dxa"/>
            <w:vAlign w:val="bottom"/>
          </w:tcPr>
          <w:p>
            <w:pPr>
              <w:spacing w:after="0"/>
              <w:rPr>
                <w:sz w:val="13"/>
                <w:szCs w:val="13"/>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 net</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(Losses)/Gains on</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(Losses)/Gains</w:t>
            </w:r>
          </w:p>
        </w:tc>
        <w:tc>
          <w:tcPr>
            <w:tcW w:w="220" w:type="dxa"/>
            <w:vAlign w:val="bottom"/>
          </w:tcPr>
          <w:p>
            <w:pPr>
              <w:spacing w:after="0"/>
              <w:rPr>
                <w:sz w:val="11"/>
                <w:szCs w:val="11"/>
                <w:color w:val="auto"/>
              </w:rPr>
            </w:pPr>
          </w:p>
        </w:tc>
        <w:tc>
          <w:tcPr>
            <w:tcW w:w="128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12"/>
                <w:szCs w:val="12"/>
                <w:color w:val="auto"/>
              </w:rPr>
            </w:pP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4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27,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10,294</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out of AOCI to the unaudited condensed</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60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consolidated statements of operations and comprehensive</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27, 2026</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6"/>
        </w:trPr>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net</w:t>
            </w:r>
          </w:p>
        </w:tc>
        <w:tc>
          <w:tcPr>
            <w:tcW w:w="180" w:type="dxa"/>
            <w:vAlign w:val="bottom"/>
          </w:tcPr>
          <w:p>
            <w:pPr>
              <w:spacing w:after="0"/>
              <w:rPr>
                <w:sz w:val="24"/>
                <w:szCs w:val="24"/>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 net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4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(Losses)/Gains on</w:t>
            </w:r>
          </w:p>
        </w:tc>
        <w:tc>
          <w:tcPr>
            <w:tcW w:w="180" w:type="dxa"/>
            <w:vAlign w:val="bottom"/>
          </w:tcPr>
          <w:p>
            <w:pPr>
              <w:spacing w:after="0"/>
              <w:rPr>
                <w:sz w:val="12"/>
                <w:szCs w:val="12"/>
                <w:color w:val="auto"/>
              </w:rPr>
            </w:pPr>
          </w:p>
        </w:tc>
        <w:tc>
          <w:tcPr>
            <w:tcW w:w="134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(Losses)/Gains</w:t>
            </w:r>
          </w:p>
        </w:tc>
        <w:tc>
          <w:tcPr>
            <w:tcW w:w="220" w:type="dxa"/>
            <w:vAlign w:val="bottom"/>
          </w:tcPr>
          <w:p>
            <w:pPr>
              <w:spacing w:after="0"/>
              <w:rPr>
                <w:sz w:val="12"/>
                <w:szCs w:val="12"/>
                <w:color w:val="auto"/>
              </w:rPr>
            </w:pPr>
          </w:p>
        </w:tc>
        <w:tc>
          <w:tcPr>
            <w:tcW w:w="1280" w:type="dxa"/>
            <w:vAlign w:val="bottom"/>
            <w:gridSpan w:val="2"/>
          </w:tcPr>
          <w:p>
            <w:pPr>
              <w:jc w:val="center"/>
              <w:ind w:right="340"/>
              <w:spacing w:after="0" w:line="14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340" w:type="dxa"/>
            <w:vAlign w:val="bottom"/>
          </w:tcPr>
          <w:p>
            <w:pPr>
              <w:spacing w:after="0"/>
              <w:rPr>
                <w:sz w:val="11"/>
                <w:szCs w:val="11"/>
                <w:color w:val="auto"/>
              </w:rPr>
            </w:pPr>
          </w:p>
        </w:tc>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1"/>
                <w:szCs w:val="11"/>
                <w:color w:val="auto"/>
              </w:rPr>
            </w:pPr>
          </w:p>
        </w:tc>
        <w:tc>
          <w:tcPr>
            <w:tcW w:w="1380" w:type="dxa"/>
            <w:vAlign w:val="bottom"/>
            <w:gridSpan w:val="2"/>
          </w:tcPr>
          <w:p>
            <w:pPr>
              <w:jc w:val="center"/>
              <w:ind w:right="220"/>
              <w:spacing w:after="0" w:line="137" w:lineRule="exact"/>
              <w:rPr>
                <w:sz w:val="20"/>
                <w:szCs w:val="20"/>
                <w:color w:val="auto"/>
              </w:rPr>
            </w:pPr>
            <w:r>
              <w:rPr>
                <w:rFonts w:ascii="Times New Roman" w:cs="Times New Roman" w:eastAsia="Times New Roman" w:hAnsi="Times New Roman"/>
                <w:sz w:val="14"/>
                <w:szCs w:val="14"/>
                <w:b w:val="1"/>
                <w:bCs w:val="1"/>
                <w:color w:val="auto"/>
              </w:rPr>
              <w:t>Available-for-sale</w:t>
            </w:r>
          </w:p>
        </w:tc>
        <w:tc>
          <w:tcPr>
            <w:tcW w:w="180" w:type="dxa"/>
            <w:vAlign w:val="bottom"/>
          </w:tcPr>
          <w:p>
            <w:pPr>
              <w:spacing w:after="0"/>
              <w:rPr>
                <w:sz w:val="11"/>
                <w:szCs w:val="11"/>
                <w:color w:val="auto"/>
              </w:rPr>
            </w:pPr>
          </w:p>
        </w:tc>
        <w:tc>
          <w:tcPr>
            <w:tcW w:w="134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on Derivative</w:t>
            </w:r>
          </w:p>
        </w:tc>
        <w:tc>
          <w:tcPr>
            <w:tcW w:w="220" w:type="dxa"/>
            <w:vAlign w:val="bottom"/>
          </w:tcPr>
          <w:p>
            <w:pPr>
              <w:spacing w:after="0"/>
              <w:rPr>
                <w:sz w:val="11"/>
                <w:szCs w:val="11"/>
                <w:color w:val="auto"/>
              </w:rPr>
            </w:pPr>
          </w:p>
        </w:tc>
        <w:tc>
          <w:tcPr>
            <w:tcW w:w="1280" w:type="dxa"/>
            <w:vAlign w:val="bottom"/>
            <w:gridSpan w:val="2"/>
          </w:tcPr>
          <w:p>
            <w:pPr>
              <w:jc w:val="center"/>
              <w:ind w:right="340"/>
              <w:spacing w:after="0" w:line="137"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320" w:type="dxa"/>
            <w:vAlign w:val="bottom"/>
          </w:tcPr>
          <w:p>
            <w:pPr>
              <w:spacing w:after="0"/>
              <w:rPr>
                <w:sz w:val="11"/>
                <w:szCs w:val="11"/>
                <w:color w:val="auto"/>
              </w:rPr>
            </w:pPr>
          </w:p>
        </w:tc>
        <w:tc>
          <w:tcPr>
            <w:tcW w:w="146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340" w:type="dxa"/>
            <w:vAlign w:val="bottom"/>
          </w:tcPr>
          <w:p>
            <w:pPr>
              <w:spacing w:after="0"/>
              <w:rPr>
                <w:sz w:val="16"/>
                <w:szCs w:val="16"/>
                <w:color w:val="auto"/>
              </w:rPr>
            </w:pPr>
          </w:p>
        </w:tc>
        <w:tc>
          <w:tcPr>
            <w:tcW w:w="46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40" w:type="dxa"/>
            <w:vAlign w:val="bottom"/>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June 28,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w:t>
            </w: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0" w:type="dxa"/>
            <w:vAlign w:val="bottom"/>
          </w:tcPr>
          <w:p>
            <w:pPr>
              <w:spacing w:after="0"/>
              <w:rPr>
                <w:sz w:val="15"/>
                <w:szCs w:val="15"/>
                <w:color w:val="auto"/>
              </w:rPr>
            </w:pPr>
          </w:p>
        </w:tc>
        <w:tc>
          <w:tcPr>
            <w:tcW w:w="46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out of AOCI to the unaudited condensed</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460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consolidated statements of operations and comprehensive</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effects</w:t>
            </w:r>
          </w:p>
        </w:tc>
        <w:tc>
          <w:tcPr>
            <w:tcW w:w="1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28, 2025</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8,549</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center"/>
              <w:ind w:right="57"/>
              <w:spacing w:after="0"/>
              <w:rPr>
                <w:sz w:val="20"/>
                <w:szCs w:val="20"/>
                <w:color w:val="auto"/>
              </w:rPr>
            </w:pPr>
            <w:r>
              <w:rPr>
                <w:rFonts w:ascii="Times New Roman" w:cs="Times New Roman" w:eastAsia="Times New Roman" w:hAnsi="Times New Roman"/>
                <w:sz w:val="18"/>
                <w:szCs w:val="18"/>
                <w:color w:val="auto"/>
                <w:w w:val="99"/>
              </w:rPr>
              <w:t>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Bank guarantees</w:t>
      </w:r>
    </w:p>
    <w:p>
      <w:pPr>
        <w:spacing w:after="0" w:line="121" w:lineRule="exact"/>
        <w:rPr>
          <w:sz w:val="20"/>
          <w:szCs w:val="20"/>
          <w:color w:val="auto"/>
        </w:rPr>
      </w:pPr>
    </w:p>
    <w:p>
      <w:pPr>
        <w:ind w:left="340" w:right="60"/>
        <w:spacing w:after="0" w:line="258" w:lineRule="auto"/>
        <w:rPr>
          <w:sz w:val="20"/>
          <w:szCs w:val="20"/>
          <w:color w:val="auto"/>
        </w:rPr>
      </w:pPr>
      <w:r>
        <w:rPr>
          <w:rFonts w:ascii="Times New Roman" w:cs="Times New Roman" w:eastAsia="Times New Roman" w:hAnsi="Times New Roman"/>
          <w:sz w:val="18"/>
          <w:szCs w:val="18"/>
          <w:color w:val="auto"/>
        </w:rPr>
        <w:t>As of March 27, 2026 and June 27, 2025, there were outstanding bank guarantees on behalf of the Company's subsidiary in Thailand for electricity usage and other normal business expenses of Thai baht 77.3 million and Thai baht 75.7 million, respectively, or approximately $2.3 million for both periods. As of March 27, 2026, the Company had an outstanding bank guarantee on behalf of its subsidiary in China to support the subsidiary's operations of Chinese Renminbi ("RMB") 4.8 million ($0.7 million) and the bank guarantee was backed by cash collateral of $0.7 million. In addition, there were other immaterial bank guarantees on behalf of the Company's subsidiary in Israel to support the subsidiary's operations.</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Purchase obligations</w:t>
      </w:r>
    </w:p>
    <w:p>
      <w:pPr>
        <w:spacing w:after="0" w:line="121" w:lineRule="exact"/>
        <w:rPr>
          <w:sz w:val="20"/>
          <w:szCs w:val="20"/>
          <w:color w:val="auto"/>
        </w:rPr>
      </w:pPr>
    </w:p>
    <w:p>
      <w:pPr>
        <w:ind w:left="340" w:right="20"/>
        <w:spacing w:after="0" w:line="261" w:lineRule="auto"/>
        <w:rPr>
          <w:sz w:val="20"/>
          <w:szCs w:val="20"/>
          <w:color w:val="auto"/>
        </w:rPr>
      </w:pPr>
      <w:r>
        <w:rPr>
          <w:rFonts w:ascii="Times New Roman" w:cs="Times New Roman" w:eastAsia="Times New Roman" w:hAnsi="Times New Roman"/>
          <w:sz w:val="18"/>
          <w:szCs w:val="18"/>
          <w:color w:val="auto"/>
        </w:rPr>
        <w:t>Purchase obligations represent legally binding commitments to purchase inventory and other commitments made in the normal course of business to meet operational requirements. Although open purchase orders are considered enforceable and legally binding, their terms generally give the Company the option to cancel, reschedule and/or adjust its requirements based on its business needs prior to the delivery of goods or performance of services. Obligations to purchase inventory and other commitments are generally expected to be fulfilled within one year.</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27, 2026, the Company had purchase obligations and other commitments to third parties of $2.74 billion.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expenditures</w:t>
      </w:r>
    </w:p>
    <w:p>
      <w:pPr>
        <w:spacing w:after="0" w:line="121" w:lineRule="exact"/>
        <w:rPr>
          <w:sz w:val="20"/>
          <w:szCs w:val="20"/>
          <w:color w:val="auto"/>
        </w:rPr>
      </w:pPr>
    </w:p>
    <w:p>
      <w:pPr>
        <w:ind w:left="340" w:right="340"/>
        <w:spacing w:after="0" w:line="282" w:lineRule="auto"/>
        <w:rPr>
          <w:sz w:val="20"/>
          <w:szCs w:val="20"/>
          <w:color w:val="auto"/>
        </w:rPr>
      </w:pPr>
      <w:r>
        <w:rPr>
          <w:rFonts w:ascii="Times New Roman" w:cs="Times New Roman" w:eastAsia="Times New Roman" w:hAnsi="Times New Roman"/>
          <w:sz w:val="18"/>
          <w:szCs w:val="18"/>
          <w:color w:val="auto"/>
        </w:rPr>
        <w:t>In February 2025, the Company entered into a construction contract with a local contractor for construction of a new manufacturing building at the Company's Chonburi campus. The contract price is approximately $132.5 million (Thai baht 4.45 billion).</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27, 2026, the Company had total capital expenditure commitments to third parties of $164.7 million.</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facility agreement</w:t>
      </w:r>
    </w:p>
    <w:p>
      <w:pPr>
        <w:spacing w:after="0" w:line="121"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On March 9, 2023, Fabrinet Thailand and the Parent Company (collectively, the “Borrowers”) and the Bank of Ayudhya Public Company Limited (the "Bank") entered into a credit facility agreement (the “2023 Credit Facility Agreement”), which provided a facility of $55.0 million.</w:t>
      </w:r>
    </w:p>
    <w:p>
      <w:pPr>
        <w:spacing w:after="0" w:line="54"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27, 2024, the Borrowers and the Bank amended the 2023 Credit Facility Agreement to reduce the facility to $30.0 million, which may be used for, among other things, an overdraft facility. The credit facility will mature on August 20, 2039.</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27, 2026, there was no amount outstanding under the 2023 Credit Facility Agreement.</w:t>
      </w:r>
    </w:p>
    <w:p>
      <w:pPr>
        <w:spacing w:after="0" w:line="117" w:lineRule="exact"/>
        <w:rPr>
          <w:sz w:val="20"/>
          <w:szCs w:val="20"/>
          <w:color w:val="auto"/>
        </w:rPr>
      </w:pPr>
    </w:p>
    <w:p>
      <w:pPr>
        <w:ind w:left="340" w:right="120"/>
        <w:spacing w:after="0" w:line="282" w:lineRule="auto"/>
        <w:rPr>
          <w:sz w:val="20"/>
          <w:szCs w:val="20"/>
          <w:color w:val="auto"/>
        </w:rPr>
      </w:pPr>
      <w:r>
        <w:rPr>
          <w:rFonts w:ascii="Times New Roman" w:cs="Times New Roman" w:eastAsia="Times New Roman" w:hAnsi="Times New Roman"/>
          <w:sz w:val="18"/>
          <w:szCs w:val="18"/>
          <w:color w:val="auto"/>
        </w:rPr>
        <w:t>Under the 2023 Credit Facility Agreement, the Borrowers are required to maintain a debt-to-equity ratio of less than or equal to 1.5 times for Fabrinet Thailand and 1.0 times for the Parent Company.</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27, 2026, the Borrowers were in compliance with all of their financial covenants under the 2023 Credit Facility Agreement.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Matters</w:t>
      </w:r>
    </w:p>
    <w:p>
      <w:pPr>
        <w:spacing w:after="0" w:line="121" w:lineRule="exact"/>
        <w:rPr>
          <w:sz w:val="20"/>
          <w:szCs w:val="20"/>
          <w:color w:val="auto"/>
        </w:rPr>
      </w:pPr>
    </w:p>
    <w:p>
      <w:pPr>
        <w:ind w:left="340" w:right="80"/>
        <w:spacing w:after="0" w:line="219" w:lineRule="exact"/>
        <w:rPr>
          <w:sz w:val="20"/>
          <w:szCs w:val="20"/>
          <w:color w:val="auto"/>
        </w:rPr>
      </w:pPr>
      <w:r>
        <w:rPr>
          <w:rFonts w:ascii="Times New Roman" w:cs="Times New Roman" w:eastAsia="Times New Roman" w:hAnsi="Times New Roman"/>
          <w:sz w:val="18"/>
          <w:szCs w:val="18"/>
          <w:color w:val="auto"/>
        </w:rPr>
        <w:t>Following the February 2026 ruling by the United States Supreme Court striking down certain tariffs imposed under the International Emergency Economic Powers Act, U.S. Customs and Border Protection has since announced steps toward an administrative process to address potential tariff refunds. However, the availability, timing, and amount of any potential refunds remain uncertain and are subject to ongoing legal, regulatory, and administrative developments. The Company continues to monitor the situation, including any potential refunds of such tariffs, and evaluate the impact on its results of operations. As of March 27, 2026, the Company evaluated the potential recovery of previously incurred tariffs under a loss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recovery model and has not recorded a receivable because recovery is not considered probable.</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w:t>
      </w:r>
    </w:p>
    <w:p>
      <w:pPr>
        <w:spacing w:after="0" w:line="121" w:lineRule="exact"/>
        <w:rPr>
          <w:sz w:val="20"/>
          <w:szCs w:val="20"/>
          <w:color w:val="auto"/>
        </w:rPr>
      </w:pPr>
    </w:p>
    <w:p>
      <w:pPr>
        <w:ind w:left="340"/>
        <w:spacing w:after="0" w:line="258" w:lineRule="auto"/>
        <w:rPr>
          <w:sz w:val="20"/>
          <w:szCs w:val="20"/>
          <w:color w:val="auto"/>
        </w:rPr>
      </w:pPr>
      <w:r>
        <w:rPr>
          <w:rFonts w:ascii="Times New Roman" w:cs="Times New Roman" w:eastAsia="Times New Roman" w:hAnsi="Times New Roman"/>
          <w:sz w:val="18"/>
          <w:szCs w:val="18"/>
          <w:color w:val="auto"/>
        </w:rPr>
        <w:t>Cayman Islands law does not limit the extent to which a company’s memorandum and articles of association may provide for indemnification of directors and officers, except to the extent any such provision may be held by the Cayman Islands courts to be contrary to public policy, such as to provide indemnification against civil fraud or the consequences of committing a crime. Fabrinet’s amended and restated memorandum and articles of association provide for indemnification of directors and officers for actions, costs, charges, losses, damages and expenses incurred in their capacities as such, except that such indemnification does not extend to any matter in respect of any fraud or dishonesty that may attach to any of them.</w:t>
      </w:r>
    </w:p>
    <w:p>
      <w:pPr>
        <w:spacing w:after="0" w:line="75" w:lineRule="exact"/>
        <w:rPr>
          <w:sz w:val="20"/>
          <w:szCs w:val="20"/>
          <w:color w:val="auto"/>
        </w:rPr>
      </w:pPr>
    </w:p>
    <w:p>
      <w:pPr>
        <w:ind w:left="340" w:right="200"/>
        <w:spacing w:after="0" w:line="261" w:lineRule="auto"/>
        <w:rPr>
          <w:sz w:val="20"/>
          <w:szCs w:val="20"/>
          <w:color w:val="auto"/>
        </w:rPr>
      </w:pPr>
      <w:r>
        <w:rPr>
          <w:rFonts w:ascii="Times New Roman" w:cs="Times New Roman" w:eastAsia="Times New Roman" w:hAnsi="Times New Roman"/>
          <w:sz w:val="18"/>
          <w:szCs w:val="18"/>
          <w:color w:val="auto"/>
        </w:rPr>
        <w:t>In accordance with Fabrinet’s form of indemnification agreement for its directors and officers, Fabrinet has agreed to indemnify its directors and officers against certain liabilities and expenses incurred by such persons in connection with claims by reason of their being such a director or officer. Fabrinet maintains a director and officer liability insurance policy that may enable it to recover a portion of any future amounts paid under the indemnification agreements.</w:t>
      </w:r>
    </w:p>
    <w:p>
      <w:pPr>
        <w:spacing w:after="0" w:line="17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Restructuring and other related costs</w:t>
      </w:r>
    </w:p>
    <w:p>
      <w:pPr>
        <w:spacing w:after="0" w:line="121"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Company recognizes severance-related charges depending on whether the termination benefits are provided under an ongoing benefit arrangement or under a one-time benefit arrangement. The Company recognizes the charges once the benefits have been communicated to employees.</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27, 2026, there was no restructuring liability balance.</w:t>
      </w:r>
    </w:p>
    <w:p>
      <w:pPr>
        <w:spacing w:after="0" w:line="22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Business segments and geographic information</w:t>
      </w:r>
    </w:p>
    <w:p>
      <w:pPr>
        <w:spacing w:after="0" w:line="121" w:lineRule="exact"/>
        <w:rPr>
          <w:sz w:val="20"/>
          <w:szCs w:val="20"/>
          <w:color w:val="auto"/>
        </w:rPr>
      </w:pPr>
    </w:p>
    <w:p>
      <w:pPr>
        <w:ind w:left="340" w:right="440"/>
        <w:spacing w:after="0" w:line="282" w:lineRule="auto"/>
        <w:rPr>
          <w:sz w:val="20"/>
          <w:szCs w:val="20"/>
          <w:color w:val="auto"/>
        </w:rPr>
      </w:pPr>
      <w:r>
        <w:rPr>
          <w:rFonts w:ascii="Times New Roman" w:cs="Times New Roman" w:eastAsia="Times New Roman" w:hAnsi="Times New Roman"/>
          <w:sz w:val="18"/>
          <w:szCs w:val="18"/>
          <w:color w:val="auto"/>
        </w:rPr>
        <w:t>The Company manages its business activities on a consolidated basis and operates as a single operating segment. The Company’s chief operating decision maker (“CODM”) is Fabrinet’s Chief Executive Officer.</w:t>
      </w:r>
    </w:p>
    <w:p>
      <w:pPr>
        <w:spacing w:after="0" w:line="54" w:lineRule="exact"/>
        <w:rPr>
          <w:sz w:val="20"/>
          <w:szCs w:val="20"/>
          <w:color w:val="auto"/>
        </w:rPr>
      </w:pPr>
    </w:p>
    <w:p>
      <w:pPr>
        <w:ind w:left="340" w:right="20"/>
        <w:spacing w:after="0" w:line="256" w:lineRule="auto"/>
        <w:rPr>
          <w:sz w:val="20"/>
          <w:szCs w:val="20"/>
          <w:color w:val="auto"/>
        </w:rPr>
      </w:pPr>
      <w:r>
        <w:rPr>
          <w:rFonts w:ascii="Times New Roman" w:cs="Times New Roman" w:eastAsia="Times New Roman" w:hAnsi="Times New Roman"/>
          <w:sz w:val="18"/>
          <w:szCs w:val="18"/>
          <w:color w:val="auto"/>
        </w:rPr>
        <w:t>The CODM utilizes GAAP and non-GAAP measures of profit and loss to evaluate the Company’s financial performance, allocate resources, make key operating decisions, and compare actual results to forecasts. The CODM reviews and utilizes functional expenses (cost of revenue, and selling, general and administrative expenses) at the consolidated level to manage the Company’s operations. Other items included in GAAP and non-GAAP net income are interest income, other income (expense), net and income tax expense, which are reflected in the consolidated statements of operations and comprehensive income. The measure of segment assets is reported on the consolidated balance sheets as total assets, although the CODM does not evaluate asset information for purposes of allocating resources or evaluating performance.</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information about the Company's revenue, significant segment expenses and other segment expenses:</w:t>
      </w:r>
    </w:p>
    <w:p>
      <w:pPr>
        <w:spacing w:after="0" w:line="151" w:lineRule="exact"/>
        <w:rPr>
          <w:sz w:val="20"/>
          <w:szCs w:val="20"/>
          <w:color w:val="auto"/>
        </w:rPr>
      </w:pPr>
    </w:p>
    <w:tbl>
      <w:tblPr>
        <w:tblLayout w:type="fixed"/>
        <w:tblInd w:w="340" w:type="dxa"/>
        <w:tblCellMar>
          <w:top w:w="0" w:type="dxa"/>
          <w:left w:w="0" w:type="dxa"/>
          <w:bottom w:w="0" w:type="dxa"/>
          <w:right w:w="0" w:type="dxa"/>
        </w:tblCellMar>
      </w:tblPr>
      <w:tr>
        <w:trPr>
          <w:trHeight w:val="190"/>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2440" w:type="dxa"/>
            <w:vAlign w:val="bottom"/>
            <w:gridSpan w:val="4"/>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5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of U.S. dollars, except per share data)</w:t>
            </w: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2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233"/>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7"/>
        </w:trPr>
        <w:tc>
          <w:tcPr>
            <w:tcW w:w="5020" w:type="dxa"/>
            <w:vAlign w:val="bottom"/>
            <w:tcBorders>
              <w:bottom w:val="single" w:sz="8" w:color="CCEEFF"/>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871,799</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2,509,635</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(769,616)</w:t>
            </w: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(2,926,849)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(2,207,577)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102,183</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302,058</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(65,300)</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120,044</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78,856</w:t>
            </w:r>
          </w:p>
        </w:tc>
        <w:tc>
          <w:tcPr>
            <w:tcW w:w="1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328,638</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235,391</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32,392</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261,944</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0" w:type="dxa"/>
            <w:vAlign w:val="bottom"/>
          </w:tcPr>
          <w:p>
            <w:pPr>
              <w:spacing w:after="0"/>
              <w:rPr>
                <w:sz w:val="1"/>
                <w:szCs w:val="1"/>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16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333,767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245,320</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Company’s revenues by geographic region, see “Revenue by Geographic Area, End Market and Product Category” in Note 3.</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long-lived assets by the country in which they are based:</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280" w:type="dxa"/>
            <w:vAlign w:val="bottom"/>
          </w:tcPr>
          <w:p>
            <w:pPr>
              <w:spacing w:after="0"/>
              <w:rPr>
                <w:sz w:val="13"/>
                <w:szCs w:val="13"/>
                <w:color w:val="auto"/>
              </w:rPr>
            </w:pPr>
          </w:p>
        </w:tc>
        <w:tc>
          <w:tcPr>
            <w:tcW w:w="11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June 27,</w:t>
            </w:r>
          </w:p>
        </w:tc>
        <w:tc>
          <w:tcPr>
            <w:tcW w:w="0" w:type="dxa"/>
            <w:vAlign w:val="bottom"/>
          </w:tcPr>
          <w:p>
            <w:pPr>
              <w:spacing w:after="0"/>
              <w:rPr>
                <w:sz w:val="1"/>
                <w:szCs w:val="1"/>
                <w:color w:val="auto"/>
              </w:rPr>
            </w:pPr>
          </w:p>
        </w:tc>
      </w:tr>
      <w:tr>
        <w:trPr>
          <w:trHeight w:val="195"/>
        </w:trPr>
        <w:tc>
          <w:tcPr>
            <w:tcW w:w="76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14"/>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2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Thailand</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475,028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338,127</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30,374</w:t>
            </w:r>
          </w:p>
        </w:tc>
        <w:tc>
          <w:tcPr>
            <w:tcW w:w="0" w:type="dxa"/>
            <w:vAlign w:val="bottom"/>
          </w:tcPr>
          <w:p>
            <w:pPr>
              <w:spacing w:after="0"/>
              <w:rPr>
                <w:sz w:val="1"/>
                <w:szCs w:val="1"/>
                <w:color w:val="auto"/>
              </w:rPr>
            </w:pPr>
          </w:p>
        </w:tc>
      </w:tr>
      <w:tr>
        <w:trPr>
          <w:trHeight w:val="230"/>
        </w:trPr>
        <w:tc>
          <w:tcPr>
            <w:tcW w:w="7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c>
          <w:tcPr>
            <w:tcW w:w="2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14,378</w:t>
            </w:r>
          </w:p>
        </w:tc>
        <w:tc>
          <w:tcPr>
            <w:tcW w:w="0" w:type="dxa"/>
            <w:vAlign w:val="bottom"/>
          </w:tcPr>
          <w:p>
            <w:pPr>
              <w:spacing w:after="0"/>
              <w:rPr>
                <w:sz w:val="1"/>
                <w:szCs w:val="1"/>
                <w:color w:val="auto"/>
              </w:rPr>
            </w:pPr>
          </w:p>
        </w:tc>
      </w:tr>
      <w:tr>
        <w:trPr>
          <w:trHeight w:val="229"/>
        </w:trPr>
        <w:tc>
          <w:tcPr>
            <w:tcW w:w="7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Israel</w:t>
            </w:r>
          </w:p>
        </w:tc>
        <w:tc>
          <w:tcPr>
            <w:tcW w:w="26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2,727</w:t>
            </w:r>
          </w:p>
        </w:tc>
        <w:tc>
          <w:tcPr>
            <w:tcW w:w="0" w:type="dxa"/>
            <w:vAlign w:val="bottom"/>
          </w:tcPr>
          <w:p>
            <w:pPr>
              <w:spacing w:after="0"/>
              <w:rPr>
                <w:sz w:val="1"/>
                <w:szCs w:val="1"/>
                <w:color w:val="auto"/>
              </w:rPr>
            </w:pPr>
          </w:p>
        </w:tc>
      </w:tr>
      <w:tr>
        <w:trPr>
          <w:trHeight w:val="229"/>
        </w:trPr>
        <w:tc>
          <w:tcPr>
            <w:tcW w:w="7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Others</w:t>
            </w: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529,407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386,408</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customers</w:t>
      </w:r>
    </w:p>
    <w:p>
      <w:pPr>
        <w:spacing w:after="0" w:line="121" w:lineRule="exact"/>
        <w:rPr>
          <w:sz w:val="20"/>
          <w:szCs w:val="20"/>
          <w:color w:val="auto"/>
        </w:rPr>
      </w:pPr>
    </w:p>
    <w:p>
      <w:pPr>
        <w:ind w:left="340" w:right="240"/>
        <w:spacing w:after="0" w:line="282" w:lineRule="auto"/>
        <w:rPr>
          <w:sz w:val="20"/>
          <w:szCs w:val="20"/>
          <w:color w:val="auto"/>
        </w:rPr>
      </w:pPr>
      <w:r>
        <w:rPr>
          <w:rFonts w:ascii="Times New Roman" w:cs="Times New Roman" w:eastAsia="Times New Roman" w:hAnsi="Times New Roman"/>
          <w:sz w:val="18"/>
          <w:szCs w:val="18"/>
          <w:color w:val="auto"/>
        </w:rPr>
        <w:t>The Company had three customers that each contributed to 10% or more of the Company's total trade accounts receivable as of March 27, 2026 and June 27, 2025.</w:t>
      </w:r>
    </w:p>
    <w:p>
      <w:pPr>
        <w:spacing w:after="0" w:line="162" w:lineRule="exact"/>
        <w:rPr>
          <w:sz w:val="20"/>
          <w:szCs w:val="20"/>
          <w:color w:val="auto"/>
        </w:rPr>
      </w:pPr>
    </w:p>
    <w:p>
      <w:pPr>
        <w:jc w:val="both"/>
        <w:ind w:left="340"/>
        <w:spacing w:after="0" w:line="312" w:lineRule="auto"/>
        <w:rPr>
          <w:sz w:val="20"/>
          <w:szCs w:val="20"/>
          <w:color w:val="auto"/>
        </w:rPr>
      </w:pPr>
      <w:r>
        <w:rPr>
          <w:rFonts w:ascii="Times New Roman" w:cs="Times New Roman" w:eastAsia="Times New Roman" w:hAnsi="Times New Roman"/>
          <w:sz w:val="17"/>
          <w:szCs w:val="17"/>
          <w:color w:val="auto"/>
        </w:rPr>
        <w:t>During the nine months ended March 27, 2026 and March 28, 2025, the Company had four and two customers, respectively, that each contributed 10% or more of the Company's revenues. Such customers together accounted for 58.1% and 47.5% of the Company revenues during the respective periods.</w:t>
      </w:r>
    </w:p>
    <w:p>
      <w:pPr>
        <w:spacing w:after="0" w:line="136"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21" w:lineRule="exact"/>
        <w:rPr>
          <w:sz w:val="20"/>
          <w:szCs w:val="20"/>
          <w:color w:val="auto"/>
        </w:rPr>
      </w:pPr>
    </w:p>
    <w:p>
      <w:pPr>
        <w:ind w:left="340" w:right="40"/>
        <w:spacing w:after="0" w:line="261" w:lineRule="auto"/>
        <w:rPr>
          <w:sz w:val="20"/>
          <w:szCs w:val="20"/>
          <w:color w:val="auto"/>
        </w:rPr>
      </w:pPr>
      <w:r>
        <w:rPr>
          <w:rFonts w:ascii="Times New Roman" w:cs="Times New Roman" w:eastAsia="Times New Roman" w:hAnsi="Times New Roman"/>
          <w:sz w:val="18"/>
          <w:szCs w:val="18"/>
          <w:color w:val="auto"/>
        </w:rPr>
        <w:t>On March 25, 2026, the Company entered into a share purchase agreement to acquire a 16.0% equity interest in Raytek Semiconductor, Inc. (“Raytek”) for a total purchase price of approximately New Taiwan Dollar ("NT$") 1.02 billion ($32.4 million), subject to customary closing conditions. No amounts related to the investment have been recognized in the accompanying condensed consolidated financial statements for the three and nine months ended March 27, 2026 because the transaction was completed after the fiscal quarter ended.</w:t>
      </w:r>
    </w:p>
    <w:p>
      <w:pPr>
        <w:spacing w:after="0" w:line="72" w:lineRule="exact"/>
        <w:rPr>
          <w:sz w:val="20"/>
          <w:szCs w:val="20"/>
          <w:color w:val="auto"/>
        </w:rPr>
      </w:pPr>
    </w:p>
    <w:p>
      <w:pPr>
        <w:ind w:left="340" w:right="380"/>
        <w:spacing w:after="0" w:line="261" w:lineRule="auto"/>
        <w:rPr>
          <w:sz w:val="20"/>
          <w:szCs w:val="20"/>
          <w:color w:val="auto"/>
        </w:rPr>
      </w:pPr>
      <w:r>
        <w:rPr>
          <w:rFonts w:ascii="Times New Roman" w:cs="Times New Roman" w:eastAsia="Times New Roman" w:hAnsi="Times New Roman"/>
          <w:sz w:val="18"/>
          <w:szCs w:val="18"/>
          <w:color w:val="auto"/>
        </w:rPr>
        <w:t>The Company evaluated the investment under ASC 323, Investments—Equity Method and Joint Ventures, and determined that it does not have significant influence over Raytek's operating and financial policies. Accordingly, the investment is not accounted for under the equity method and instead falls within the scope of ASC 321, Investments—Equity Securities. The Company will account for this investment at cost, subject to adjustments for observable price changes and impairment, as the investment does not have a readily determinable fair value.</w:t>
      </w:r>
    </w:p>
    <w:p>
      <w:pPr>
        <w:spacing w:after="0" w:line="200" w:lineRule="exact"/>
        <w:rPr>
          <w:sz w:val="20"/>
          <w:szCs w:val="20"/>
          <w:color w:val="auto"/>
        </w:rPr>
      </w:pPr>
    </w:p>
    <w:p>
      <w:pPr>
        <w:spacing w:after="0" w:line="3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In addition to historical information, this Quarterly Report on Form 10-Q contains forward-looking statements within the meaning of Section 27A of the Securities Act of 1933 and Section 21E of the Securities Exchange Act of 1934. These statements relate to future events or to our future financial performance and involve known and unknown risks, uncertainties and other factors that may cause our or our industry’s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w:t>
      </w:r>
    </w:p>
    <w:p>
      <w:pPr>
        <w:spacing w:after="0" w:line="7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goals and strategies;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customers’ estimates regarding future revenues, operating results, expenses, capital requirements and liquidity;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will be able to maintain favorable pricing on our services;</w:t>
      </w:r>
    </w:p>
    <w:p>
      <w:pPr>
        <w:spacing w:after="0" w:line="117" w:lineRule="exact"/>
        <w:rPr>
          <w:rFonts w:ascii="Times New Roman" w:cs="Times New Roman" w:eastAsia="Times New Roman" w:hAnsi="Times New Roman"/>
          <w:sz w:val="18"/>
          <w:szCs w:val="18"/>
          <w:color w:val="auto"/>
        </w:rPr>
      </w:pPr>
    </w:p>
    <w:p>
      <w:pPr>
        <w:ind w:left="980" w:right="6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the portion of our revenues attributable to customers in regions outside of North America for the remainder of fiscal year 2026 will be in line with the portion of revenues attributable to such customers during the nine months ended March 27, 2026;</w:t>
      </w:r>
    </w:p>
    <w:p>
      <w:pPr>
        <w:spacing w:after="0" w:line="53" w:lineRule="exact"/>
        <w:rPr>
          <w:rFonts w:ascii="Times New Roman" w:cs="Times New Roman" w:eastAsia="Times New Roman" w:hAnsi="Times New Roman"/>
          <w:sz w:val="18"/>
          <w:szCs w:val="18"/>
          <w:color w:val="auto"/>
        </w:rPr>
      </w:pPr>
    </w:p>
    <w:p>
      <w:pPr>
        <w:ind w:left="980" w:right="30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our fiscal year 2026 selling, general and administrative (“SG&amp;A”) expenses will increase compared to our fiscal year 2025 SG&amp;A expenses;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that our employee costs will increase in Thailand and the PRC;</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expenditures, including the expansion of our manufacturing capacity;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our existing markets and potential new markets;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our customers and suppliers, to respond successfully to technological or industry developments;</w:t>
      </w:r>
    </w:p>
    <w:p>
      <w:pPr>
        <w:spacing w:after="0" w:line="117" w:lineRule="exact"/>
        <w:rPr>
          <w:rFonts w:ascii="Times New Roman" w:cs="Times New Roman" w:eastAsia="Times New Roman" w:hAnsi="Times New Roman"/>
          <w:sz w:val="18"/>
          <w:szCs w:val="18"/>
          <w:color w:val="auto"/>
        </w:rPr>
      </w:pPr>
    </w:p>
    <w:p>
      <w:pPr>
        <w:ind w:left="980" w:right="10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potential impact of macroeconomic conditions and international political instability on our business, financial condition and operating results;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suppliers’ estimates regarding future costs;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penetration of existing markets and to penetrate new markets;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diversify our sources of revenues;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plans to execute acquisitions;</w:t>
      </w:r>
    </w:p>
    <w:p>
      <w:pPr>
        <w:spacing w:after="0" w:line="117" w:lineRule="exact"/>
        <w:rPr>
          <w:rFonts w:ascii="Times New Roman" w:cs="Times New Roman" w:eastAsia="Times New Roman" w:hAnsi="Times New Roman"/>
          <w:sz w:val="18"/>
          <w:szCs w:val="18"/>
          <w:color w:val="auto"/>
        </w:rPr>
      </w:pPr>
    </w:p>
    <w:p>
      <w:pPr>
        <w:ind w:left="980" w:right="64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trends in the optical communications, automotive, industrial lasers and other markets, including trends to outsource the production of components used in those markets;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a qualified management team and other qualified personnel and advisors;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 our existing and new markets.</w:t>
      </w:r>
    </w:p>
    <w:p>
      <w:pPr>
        <w:spacing w:after="0" w:line="22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These forward-looking statements are subject to certain risks and uncertainties that could cause our actual results to differ materially from those reflected in the forward-looking statements. Factors that could cause or contribute to such differences include, but are not limited to, those discussed in this Quarterly Report on Form 10-Q, in particular, the risks discussed under the heading “Risk Factors” in Part II, Item 1A as well as those discussed in other documents we file with the Securities and Exchange Commission. We undertake no obligation to revise or publicly release the results of any revision to these forward-looking statements. Given these risks and uncertainties, readers are cautioned not to place undue reliance on such forward-looking statements. “We,” “us” or “our” collectively refer to Fabrinet and its subsidiaries.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160" w:firstLine="486"/>
        <w:spacing w:after="0" w:line="255" w:lineRule="auto"/>
        <w:rPr>
          <w:sz w:val="20"/>
          <w:szCs w:val="20"/>
          <w:color w:val="auto"/>
        </w:rPr>
      </w:pPr>
      <w:r>
        <w:rPr>
          <w:rFonts w:ascii="Times New Roman" w:cs="Times New Roman" w:eastAsia="Times New Roman" w:hAnsi="Times New Roman"/>
          <w:sz w:val="18"/>
          <w:szCs w:val="18"/>
          <w:color w:val="auto"/>
        </w:rPr>
        <w:t>We provide advanced optical packaging and precision optical, electro-mechanical and electronic manufacturing services to original equipment manufacturers (“OEMs”) of complex products such as optical communication components, modules and sub-systems, industrial lasers, automotive components, medical devices and sensors. We offer a broad range of advanced optical and electro-mechanical capabilities across the entire manufacturing process, including process design and engineering, supply chain management, manufacturing, complex printed circuit board assembly, advanced packaging, integration, final assembly and testing. We are capable of producing a wide variety of high complexity products in any mix and any volume. Based on our extensive experience and the positive feedback we have received from our customers, we believe we are a global leader in providing these services to the optical communications, automotive, and industrial lasers markets.</w:t>
      </w:r>
    </w:p>
    <w:p>
      <w:pPr>
        <w:spacing w:after="0" w:line="18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Our customer base includes companies in complex industries that require advanced precision manufacturing capabilities such as optical communications, automotive, industrial lasers, medical, and sensors. The products that we manufacture for our OEM customers include selective switching products; tunable lasers, transponders and transceivers; active optical cables; solid state, diode-pumped, gas and fiber lasers; and sensors. In many cases, we are the sole outsourced manufacturing partner used by our customers for the products that we manufacture for them.</w:t>
      </w:r>
    </w:p>
    <w:p>
      <w:pPr>
        <w:spacing w:after="0" w:line="180"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We also design and fabricate application-specific crystals, lenses, prisms, mirrors, laser components, and substrates (collectively referred to as “customized optics”) and other custom and standard borosilicate, clear fused quartz, and synthetic fused silica glass products (collectively referred to as “customized glass”). We incorporate our customized optics and glass into many of the products we manufacture for our OEM customers, and we also sell customized optics and glass in the merchant market.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On March 25, 2026, we entered into a share purchase agreement to acquire a 16.0% equity interest in Raytek Semiconductor, Inc. (“Raytek”) for approximately NT$1.02 billion ($32.4 million), subject to customary closing conditions. The investment will be accounted for as an equity security measured at cost, as we do not expect to have significant influence over the investee.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believe we are able to expand our relationships with existing customers and attract new customers due to, among other factors, our broad range of complex engineering and manufacturing service offerings, flexible low-cost manufacturing platform, process optimization capabilities, advanced supply chain management, excellent customer service, and experienced management team. Although we expect the prices we charge for our manufactured products to decrease over time (partly as a result of competitive market forces), we believe we will be able to continue to maintain favorable pricing for our services because of our ability to reduce cycle time, adjust our product mix by focusing on more complicated products, improve product quality and yields, and reduce material costs for the products we manufacture. We believe these capabilities have enabled us to help our OEM customers reduce their manufacturing costs while maintaining or improving the design, quality, reliability, and delivery times for their products.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 by Geography</w:t>
      </w:r>
    </w:p>
    <w:p>
      <w:pPr>
        <w:spacing w:after="0" w:line="121"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We generate revenues from three geographic regions: North America, Asia-Pacific and others, and Europe. Revenues are attributed to a particular geographic area based on the bill-to location of our customers, notwithstanding that the products may be shipped to a different geographic region. The substantial majority of our revenues are derived from our manufacturing facilities in Asia-Pacific.</w:t>
      </w:r>
    </w:p>
    <w:p>
      <w:pPr>
        <w:spacing w:after="0" w:line="176"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percentage of our revenues generated from a bill-to location outside of North America decreased from 53.8% in the three months ended March 28, 2025 to 47.9% in the three months ended March 27, 2026, primarily because of an increase in revenue from customers in the United States.</w:t>
      </w:r>
    </w:p>
    <w:p>
      <w:pPr>
        <w:spacing w:after="0" w:line="162"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percentage of our revenues generated from a bill-to location outside of North America decreased from 56.8% in the nine months ended March 28, 2025 to 52.3% in the nine months ended March 27, 2026, primarily because of an increase in revenue from customers in the United States.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Based on the short and medium-term indications and forecasts from our customers, we expect that the portion of our future revenues attributable to customers in regions outside North America for the remainder of fiscal year 2026 will be in line with the portion of revenues attributable to such customers during the nine months ended March 27, 2026.</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percentages of total revenues by geographic region:</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880" w:type="dxa"/>
            <w:vAlign w:val="bottom"/>
          </w:tcPr>
          <w:p>
            <w:pPr>
              <w:spacing w:after="0"/>
              <w:rPr>
                <w:sz w:val="16"/>
                <w:szCs w:val="16"/>
                <w:color w:val="auto"/>
              </w:rPr>
            </w:pPr>
          </w:p>
        </w:tc>
        <w:tc>
          <w:tcPr>
            <w:tcW w:w="3220" w:type="dxa"/>
            <w:vAlign w:val="bottom"/>
            <w:gridSpan w:val="4"/>
          </w:tcPr>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140" w:type="dxa"/>
            <w:vAlign w:val="bottom"/>
            <w:gridSpan w:val="3"/>
          </w:tcPr>
          <w:p>
            <w:pPr>
              <w:jc w:val="right"/>
              <w:ind w:right="874"/>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88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620" w:type="dxa"/>
            <w:vAlign w:val="bottom"/>
            <w:gridSpan w:val="2"/>
          </w:tcPr>
          <w:p>
            <w:pPr>
              <w:spacing w:after="0"/>
              <w:rPr>
                <w:sz w:val="2"/>
                <w:szCs w:val="2"/>
                <w:color w:val="auto"/>
              </w:rPr>
            </w:pPr>
          </w:p>
        </w:tc>
        <w:tc>
          <w:tcPr>
            <w:tcW w:w="1520" w:type="dxa"/>
            <w:vAlign w:val="bottom"/>
          </w:tcPr>
          <w:p>
            <w:pPr>
              <w:spacing w:after="0"/>
              <w:rPr>
                <w:sz w:val="2"/>
                <w:szCs w:val="2"/>
                <w:color w:val="auto"/>
              </w:rPr>
            </w:pPr>
          </w:p>
        </w:tc>
      </w:tr>
      <w:tr>
        <w:trPr>
          <w:trHeight w:val="190"/>
        </w:trPr>
        <w:tc>
          <w:tcPr>
            <w:tcW w:w="4880" w:type="dxa"/>
            <w:vAlign w:val="bottom"/>
          </w:tcPr>
          <w:p>
            <w:pPr>
              <w:spacing w:after="0"/>
              <w:rPr>
                <w:sz w:val="16"/>
                <w:szCs w:val="16"/>
                <w:color w:val="auto"/>
              </w:rPr>
            </w:pPr>
          </w:p>
        </w:tc>
        <w:tc>
          <w:tcPr>
            <w:tcW w:w="160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52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March 28, 2025</w:t>
            </w:r>
          </w:p>
        </w:tc>
        <w:tc>
          <w:tcPr>
            <w:tcW w:w="100" w:type="dxa"/>
            <w:vAlign w:val="bottom"/>
          </w:tcPr>
          <w:p>
            <w:pPr>
              <w:spacing w:after="0"/>
              <w:rPr>
                <w:sz w:val="16"/>
                <w:szCs w:val="16"/>
                <w:color w:val="auto"/>
              </w:rPr>
            </w:pPr>
          </w:p>
        </w:tc>
        <w:tc>
          <w:tcPr>
            <w:tcW w:w="1620" w:type="dxa"/>
            <w:vAlign w:val="bottom"/>
            <w:tcBorders>
              <w:top w:val="single" w:sz="8" w:color="auto"/>
            </w:tcBorders>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520" w:type="dxa"/>
            <w:vAlign w:val="bottom"/>
            <w:tcBorders>
              <w:top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March 28, 2025</w:t>
            </w:r>
          </w:p>
        </w:tc>
      </w:tr>
      <w:tr>
        <w:trPr>
          <w:trHeight w:val="229"/>
        </w:trPr>
        <w:tc>
          <w:tcPr>
            <w:tcW w:w="4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North America</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8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Asia-Pacific and others</w:t>
            </w:r>
          </w:p>
        </w:tc>
        <w:tc>
          <w:tcPr>
            <w:tcW w:w="15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37.4</w:t>
            </w:r>
          </w:p>
        </w:tc>
        <w:tc>
          <w:tcPr>
            <w:tcW w:w="8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19"/>
                <w:szCs w:val="19"/>
                <w:color w:val="auto"/>
              </w:rPr>
            </w:pPr>
          </w:p>
        </w:tc>
        <w:tc>
          <w:tcPr>
            <w:tcW w:w="1520" w:type="dxa"/>
            <w:vAlign w:val="bottom"/>
          </w:tcPr>
          <w:p>
            <w:pPr>
              <w:jc w:val="right"/>
              <w:ind w:right="136"/>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Pr>
          <w:p>
            <w:pPr>
              <w:spacing w:after="0"/>
              <w:rPr>
                <w:sz w:val="19"/>
                <w:szCs w:val="19"/>
                <w:color w:val="auto"/>
              </w:rPr>
            </w:pPr>
          </w:p>
        </w:tc>
        <w:tc>
          <w:tcPr>
            <w:tcW w:w="152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49.0</w:t>
            </w: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w:t>
            </w:r>
          </w:p>
        </w:tc>
        <w:tc>
          <w:tcPr>
            <w:tcW w:w="15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10.5</w:t>
            </w: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48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1"/>
        </w:trPr>
        <w:tc>
          <w:tcPr>
            <w:tcW w:w="48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Contracts</w:t>
      </w:r>
    </w:p>
    <w:p>
      <w:pPr>
        <w:spacing w:after="0" w:line="121"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enter into supply agreements with our customers which generally have an initial term of up to three years, subject to automatic renewals for subsequent one-year terms unless expressly terminated. Although there are no minimum purchase requirements in our supply agreements, our customers provide us with rolling forecasts of their demand requirements. Our supply agreements generally include provisions for pricing and periodic review of pricing, consignment of our customer’s unique production equipment to us, and the sharing of benefits from cost-savings derived from our efforts. We are generally required to purchase materials, which may include long lead-time materials and materials that are subject to minimum order quantities and/or non-cancelable or non-returnable terms, to meet the stated demands of our customers. After procuring materials, we manufacture products for our customers based on purchase orders that contain terms regarding product quantities, delivery locations and delivery dates. Our customers generally are obligated to purchase finished goods that we have manufactured according to their demand requirements. Materials that are not consumed by our customers within a specified period of time, or that are no longer required due to a product’s cancellation or end-of-life, are typically designated as excess or obsolete inventory under our contracts. Once materials are designated as either excess or obsolete inventory, our customers are typically required to purchase such inventory from us even if they have chosen to cancel production of the related products. The excess or obsolete inventory is shipped to the customer and recognized as an offset against cost of revenue upon shipment.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121" w:lineRule="exact"/>
        <w:rPr>
          <w:sz w:val="20"/>
          <w:szCs w:val="20"/>
          <w:color w:val="auto"/>
        </w:rPr>
      </w:pPr>
    </w:p>
    <w:p>
      <w:pPr>
        <w:jc w:val="both"/>
        <w:ind w:right="220" w:firstLine="486"/>
        <w:spacing w:after="0" w:line="270" w:lineRule="auto"/>
        <w:rPr>
          <w:sz w:val="20"/>
          <w:szCs w:val="20"/>
          <w:color w:val="auto"/>
        </w:rPr>
      </w:pPr>
      <w:r>
        <w:rPr>
          <w:rFonts w:ascii="Times New Roman" w:cs="Times New Roman" w:eastAsia="Times New Roman" w:hAnsi="Times New Roman"/>
          <w:sz w:val="17"/>
          <w:szCs w:val="17"/>
          <w:color w:val="auto"/>
        </w:rPr>
        <w:t>The key components of our cost of revenues are material costs, employee costs, and infrastructure-related costs. Material costs generally represent the majority of our cost of revenues. Several of the materials we require to manufacture products for our customers are customized for their products and often sourced from a single supplier or in some cases, our own subsidiaries. Shortages from sole-source suppliers due to yield loss, quality concerns and capacity constraints, among other factors, may increase our expenses and negatively impact our gross profit margin or total revenues in a given quarter.</w:t>
      </w:r>
    </w:p>
    <w:p>
      <w:pPr>
        <w:spacing w:after="0" w:line="3"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Material costs include scrap material. Historically, scrap rate diminishes during a product’s life cycle due to process, fixturing and test improvement and optimization.</w:t>
      </w:r>
    </w:p>
    <w:p>
      <w:pPr>
        <w:spacing w:after="0" w:line="73" w:lineRule="exact"/>
        <w:rPr>
          <w:sz w:val="20"/>
          <w:szCs w:val="20"/>
          <w:color w:val="auto"/>
        </w:rPr>
      </w:pPr>
    </w:p>
    <w:p>
      <w:pPr>
        <w:ind w:right="100" w:firstLine="486"/>
        <w:spacing w:after="0" w:line="254" w:lineRule="auto"/>
        <w:rPr>
          <w:sz w:val="20"/>
          <w:szCs w:val="20"/>
          <w:color w:val="auto"/>
        </w:rPr>
      </w:pPr>
      <w:r>
        <w:rPr>
          <w:rFonts w:ascii="Times New Roman" w:cs="Times New Roman" w:eastAsia="Times New Roman" w:hAnsi="Times New Roman"/>
          <w:sz w:val="18"/>
          <w:szCs w:val="18"/>
          <w:color w:val="auto"/>
        </w:rPr>
        <w:t>A second significant element of our cost of revenues is employee costs, including indirect employee costs related to design, configuration and optimization of manufacturing processes for our customers, quality testing, materials testing and other engineering services, and direct costs related to our manufacturing employees. Direct employee costs include employee salaries, insurance and benefits, merit-based bonuses, recruitment, training and retention. Historically, our employee costs have increased primarily due to increases in the number of employees necessary to support our growth and, to a lesser extent, costs to recruit, train and retain employees. Our cost of revenues is significantly impacted by salary levels in Thailand and the PRC, the fluctuation of the Thai baht and RMB against our functional currency, the U.S. dollar, and our ability to retain our employees. We expect our employee costs to increase as wages continue to increase in Thailand and the PRC. Wage increases may impact our ability to sustain our competitive advantage and may reduce our profit margin. We seek to mitigate these cost increases through improvements in employee productivity, employee retention and asset utilization.</w:t>
      </w:r>
    </w:p>
    <w:p>
      <w:pPr>
        <w:spacing w:after="0" w:line="80"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Our infrastructure costs are comprised of depreciation, utilities, facilities management and overhead costs. Most of our facility leases are long-term agreements. Our depreciation costs include buildings and fixed assets, primarily at our Pinehurst and Chonburi campuses in Thailand, and capital equipment located at each of our manufacturing locations.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Our SG&amp;A expenses primarily consist of corporate employee costs for sales and marketing, general and administrative and other support personnel, including research and development expenses related to the design of customized optics and glass, travel expenses, legal and other professional fees, share-based compensation expense and other general expenses not related to cost of revenues. In fiscal year 2026, we expect our SG&amp;A expenses will increase compared with our fiscal year 2025 SG&amp;A expenses, mainly due to an increase in information technology related expenses and employee costs.</w:t>
      </w:r>
    </w:p>
    <w:p>
      <w:pPr>
        <w:spacing w:after="0" w:line="7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compensation committee of our board of directors approved a fiscal year 2026 executive incentive plan with quantitative objectives based solely on achieving certain revenue targets and non-GAAP operating margin targets for fiscal year 2026. Bonuses under the fiscal year 2025 executive incentive plan are payable after the end of fiscal year 2025. In fiscal year 2025, the compensation committee approved a fiscal year 2025 executive incentive plan with quantitative objectives that were based solely on achieving certain revenue targets and non-GAAP operating margin targets for fiscal year 2025.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Financial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w:t>
      </w:r>
    </w:p>
    <w:p>
      <w:pPr>
        <w:spacing w:after="0" w:line="121"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As a result of our international operations, we are exposed to foreign exchange risk arising from various currency exposures, and primarily with respect to the Thai baht. Although a majority of our total revenues is denominated in U.S. dollars, a substantial portion of our payroll plus certain other operating expenses are incurred and paid in Thai baht. The exchange rate between the Thai baht and the U.S. dollar has fluctuated substantially in recent years and may continue to fluctuate substantially in the future. We report our financial results in U.S. dollars and our results of operations have been and could in the future be negatively impacted if the Thai baht appreciates against the U.S. dollar. Smaller portions of our expenses are incurred in a variety of other currencies, including RMB, GBP, Canadian dollars, Euros, and Japanese yen, the appreciation of which may also negatively impact our financial results.</w:t>
      </w:r>
    </w:p>
    <w:p>
      <w:pPr>
        <w:spacing w:after="0" w:line="189" w:lineRule="exact"/>
        <w:rPr>
          <w:sz w:val="20"/>
          <w:szCs w:val="20"/>
          <w:color w:val="auto"/>
        </w:rPr>
      </w:pPr>
    </w:p>
    <w:p>
      <w:pPr>
        <w:jc w:val="both"/>
        <w:ind w:right="100" w:firstLine="486"/>
        <w:spacing w:after="0" w:line="258" w:lineRule="auto"/>
        <w:rPr>
          <w:sz w:val="20"/>
          <w:szCs w:val="20"/>
          <w:color w:val="auto"/>
        </w:rPr>
      </w:pPr>
      <w:r>
        <w:rPr>
          <w:rFonts w:ascii="Times New Roman" w:cs="Times New Roman" w:eastAsia="Times New Roman" w:hAnsi="Times New Roman"/>
          <w:sz w:val="18"/>
          <w:szCs w:val="18"/>
          <w:color w:val="auto"/>
        </w:rPr>
        <w:t>In order to manage the risks arising from fluctuations in foreign currency exchange rates, we use derivative instruments. We may enter into foreign currency exchange forward or put option contracts to manage foreign currency exposures associated with certain assets and liabilities and other forecasted foreign currency transactions and may designate these instruments as hedging instruments. The forward and put option contracts generally have maturities of up to 12 months. All foreign currency exchange contracts are recognized in the unaudited condensed consolidated balance sheets at fair value. Gains or losses on our forward and put option contracts generally present gross amount in the assets, liabilities, and transactions economically hedged.</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had foreign currency denominated assets and liabilities in Thai baht, RMB and GBP as follows: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p>
        </w:tc>
        <w:tc>
          <w:tcPr>
            <w:tcW w:w="3160" w:type="dxa"/>
            <w:vAlign w:val="bottom"/>
            <w:tcBorders>
              <w:bottom w:val="single" w:sz="8" w:color="auto"/>
            </w:tcBorders>
            <w:gridSpan w:val="6"/>
          </w:tcPr>
          <w:p>
            <w:pPr>
              <w:ind w:left="1280"/>
              <w:spacing w:after="0"/>
              <w:rPr>
                <w:sz w:val="20"/>
                <w:szCs w:val="20"/>
                <w:color w:val="auto"/>
              </w:rPr>
            </w:pPr>
            <w:r>
              <w:rPr>
                <w:rFonts w:ascii="Times New Roman" w:cs="Times New Roman" w:eastAsia="Times New Roman" w:hAnsi="Times New Roman"/>
                <w:sz w:val="18"/>
                <w:szCs w:val="18"/>
                <w:b w:val="1"/>
                <w:bCs w:val="1"/>
                <w:color w:val="auto"/>
              </w:rPr>
              <w:t>As of March 27, 2026</w:t>
            </w: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As of June 27, 2025</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80" w:type="dxa"/>
            <w:vAlign w:val="bottom"/>
          </w:tcPr>
          <w:p>
            <w:pPr>
              <w:spacing w:after="0"/>
              <w:rPr>
                <w:sz w:val="17"/>
                <w:szCs w:val="17"/>
                <w:color w:val="auto"/>
              </w:rPr>
            </w:pPr>
          </w:p>
        </w:tc>
        <w:tc>
          <w:tcPr>
            <w:tcW w:w="1740" w:type="dxa"/>
            <w:vAlign w:val="bottom"/>
            <w:gridSpan w:val="3"/>
          </w:tcPr>
          <w:p>
            <w:pPr>
              <w:jc w:val="right"/>
              <w:ind w:right="730"/>
              <w:spacing w:after="0"/>
              <w:rPr>
                <w:sz w:val="20"/>
                <w:szCs w:val="20"/>
                <w:color w:val="auto"/>
              </w:rPr>
            </w:pPr>
            <w:r>
              <w:rPr>
                <w:rFonts w:ascii="Times New Roman" w:cs="Times New Roman" w:eastAsia="Times New Roman" w:hAnsi="Times New Roman"/>
                <w:sz w:val="16"/>
                <w:szCs w:val="16"/>
                <w:b w:val="1"/>
                <w:bCs w:val="1"/>
                <w:color w:val="auto"/>
              </w:rPr>
              <w:t>Foreign</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gridSpan w:val="3"/>
          </w:tcPr>
          <w:p>
            <w:pPr>
              <w:jc w:val="right"/>
              <w:ind w:right="730"/>
              <w:spacing w:after="0" w:line="196" w:lineRule="exact"/>
              <w:rPr>
                <w:sz w:val="20"/>
                <w:szCs w:val="20"/>
                <w:color w:val="auto"/>
              </w:rPr>
            </w:pPr>
            <w:r>
              <w:rPr>
                <w:rFonts w:ascii="Times New Roman" w:cs="Times New Roman" w:eastAsia="Times New Roman" w:hAnsi="Times New Roman"/>
                <w:sz w:val="18"/>
                <w:szCs w:val="18"/>
                <w:b w:val="1"/>
                <w:bCs w:val="1"/>
                <w:color w:val="auto"/>
              </w:rPr>
              <w:t>Foreign</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740" w:type="dxa"/>
            <w:vAlign w:val="bottom"/>
            <w:gridSpan w:val="3"/>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Currency</w:t>
            </w:r>
          </w:p>
        </w:tc>
        <w:tc>
          <w:tcPr>
            <w:tcW w:w="94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8"/>
                <w:szCs w:val="18"/>
                <w:color w:val="auto"/>
              </w:rPr>
            </w:pPr>
          </w:p>
        </w:tc>
        <w:tc>
          <w:tcPr>
            <w:tcW w:w="17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920" w:type="dxa"/>
            <w:vAlign w:val="bottom"/>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2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Thai baht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1,340,453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40,719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78.0 %</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1,812,680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86.3 %</w:t>
            </w:r>
          </w:p>
        </w:tc>
        <w:tc>
          <w:tcPr>
            <w:tcW w:w="0" w:type="dxa"/>
            <w:vAlign w:val="bottom"/>
          </w:tcPr>
          <w:p>
            <w:pPr>
              <w:spacing w:after="0"/>
              <w:rPr>
                <w:sz w:val="1"/>
                <w:szCs w:val="1"/>
                <w:color w:val="auto"/>
              </w:rPr>
            </w:pPr>
          </w:p>
        </w:tc>
      </w:tr>
      <w:tr>
        <w:trPr>
          <w:trHeight w:val="229"/>
        </w:trPr>
        <w:tc>
          <w:tcPr>
            <w:tcW w:w="2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RMB</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62,563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30"/>
        </w:trPr>
        <w:tc>
          <w:tcPr>
            <w:tcW w:w="26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GBP</w:t>
            </w:r>
          </w:p>
        </w:tc>
        <w:tc>
          <w:tcPr>
            <w:tcW w:w="12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w:t>
            </w:r>
          </w:p>
        </w:tc>
        <w:tc>
          <w:tcPr>
            <w:tcW w:w="140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48"/>
        </w:trPr>
        <w:tc>
          <w:tcPr>
            <w:tcW w:w="2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52,176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2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680" w:type="dxa"/>
            <w:vAlign w:val="bottom"/>
            <w:vMerge w:val="continue"/>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Thai baht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5,881,607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93.5 %</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4,434,661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91.5 %</w:t>
            </w:r>
          </w:p>
        </w:tc>
        <w:tc>
          <w:tcPr>
            <w:tcW w:w="0" w:type="dxa"/>
            <w:vAlign w:val="bottom"/>
          </w:tcPr>
          <w:p>
            <w:pPr>
              <w:spacing w:after="0"/>
              <w:rPr>
                <w:sz w:val="1"/>
                <w:szCs w:val="1"/>
                <w:color w:val="auto"/>
              </w:rPr>
            </w:pPr>
          </w:p>
        </w:tc>
      </w:tr>
      <w:tr>
        <w:trPr>
          <w:trHeight w:val="229"/>
        </w:trPr>
        <w:tc>
          <w:tcPr>
            <w:tcW w:w="2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RMB</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89,583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30"/>
        </w:trPr>
        <w:tc>
          <w:tcPr>
            <w:tcW w:w="26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GBP</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2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191,092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148,895</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2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The Thai baht assets represent cash and cash equivalents, trade accounts receivable, deposits and other current assets. The Thai baht liabilities represent trade accounts payable, accrued expenses, income tax payable, accrued employee benefits and other payables. We manage our exposure to fluctuations in foreign exchange rates by the use of foreign currency contracts and offsetting assets and liabilities denominated in the same currency in accordance with management’s policy. As of March 27, 2026, there was $253.0 million of foreign currency forward contracts outstanding on the Thai baht payables. As of June 27, 2025, there was $165.0 million of foreign currency forward contracts outstanding on the Thai baht payables.</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The RMB assets represent cash and cash equivalents, trade accounts receivable, other receivables, and other current assets. The RMB liabilities represent trade accounts payable, accrued expenses, income tax payable, accrued payroll, bonus and related expenses, and other payables. As of March 27, 2026 and June 27, 2025, we did not have any derivative contracts denominated in RMB.</w:t>
      </w:r>
    </w:p>
    <w:p>
      <w:pPr>
        <w:spacing w:after="0" w:line="17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GBP assets represent cash, trade accounts receivable, and other current assets. The GBP liabilities represent trade accounts payable, accrued expenses, and other payables. As of March 27, 2026 and June 27, 2025, we did not have any derivative contracts denominated in GBP.</w:t>
      </w:r>
    </w:p>
    <w:p>
      <w:pPr>
        <w:spacing w:after="0" w:line="162"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27, 2026 and March 28, 2025, we recorded an unrealized loss of $4.2 million and unrealized gain of $1.6 million, respectively, related to derivatives that are not designated as hedging instruments in the unaudited condensed consolidated statements of operations and comprehensive income.</w:t>
      </w:r>
    </w:p>
    <w:p>
      <w:pPr>
        <w:spacing w:after="0" w:line="176"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For the nine months ended March 27, 2026 and March 28, 2025, we recorded an unrealized loss of $4.3 million and unrealized gain of $0.6 million, respectively, related to derivatives that are not designated as hedging instruments in the unaudited condensed consolidated statements of operations and comprehensive income.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Currency Regulation and Dividend Distribution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Foreign exchange regulation in the PRC is primarily governed by the following rules:</w:t>
      </w:r>
    </w:p>
    <w:p>
      <w:pPr>
        <w:spacing w:after="0" w:line="117" w:lineRule="exact"/>
        <w:rPr>
          <w:sz w:val="20"/>
          <w:szCs w:val="20"/>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Administration Rules, as amended on August 5, 2008, or the Exchange Rules;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Rules of the Settlement, Sale and Payment of Foreign Exchange (1996), or the Administration Rules;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on Perfecting Practices Concerning Foreign Exchange Settlement Regarding the Capital Contribution by Foreign-invested Enterprises, as promulgated by the State Administration of Foreign Exchange (“SAFE”), on August 29, 2008, or Circular 142.</w:t>
      </w:r>
    </w:p>
    <w:p>
      <w:pPr>
        <w:spacing w:after="0" w:line="162" w:lineRule="exact"/>
        <w:rPr>
          <w:sz w:val="20"/>
          <w:szCs w:val="20"/>
          <w:color w:val="auto"/>
        </w:rPr>
      </w:pPr>
    </w:p>
    <w:p>
      <w:pPr>
        <w:ind w:right="400" w:firstLine="486"/>
        <w:spacing w:after="0" w:line="266" w:lineRule="auto"/>
        <w:rPr>
          <w:sz w:val="20"/>
          <w:szCs w:val="20"/>
          <w:color w:val="auto"/>
        </w:rPr>
      </w:pPr>
      <w:r>
        <w:rPr>
          <w:rFonts w:ascii="Times New Roman" w:cs="Times New Roman" w:eastAsia="Times New Roman" w:hAnsi="Times New Roman"/>
          <w:sz w:val="18"/>
          <w:szCs w:val="18"/>
          <w:color w:val="auto"/>
        </w:rPr>
        <w:t>Under the Exchange Rules, RMB is freely convertible into foreign currencies for current account items, including the distribution of dividends, interest payments, trade and service-related foreign exchange transactions. However, conversion of RMB for capital account items, such as direct investments, loans, security investments and repatriation of investments, is still subject to the approval of SAFE.</w:t>
      </w:r>
    </w:p>
    <w:p>
      <w:pPr>
        <w:spacing w:after="0" w:line="176"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Under the Administration Rules, foreign-invested enterprises may only buy, sell, or remit foreign currencies at banks authorized to conduct foreign exchange business after providing valid commercial documents and relevant supporting documents and, in the case of capital account item transactions, obtaining approval from SAFE. Capital investments by foreign-invested enterprises outside of the PRC are also subject to limitations, which include approvals by the Ministry of Commerce, SAFE and the State Development and Reform Commission.</w:t>
      </w:r>
    </w:p>
    <w:p>
      <w:pPr>
        <w:spacing w:after="0" w:line="18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Circular 142 regulates the conversion by a foreign-invested company of foreign currency into RMB by restricting how the converted RMB may be used. Circular 142 requires that the registered capital of a foreign-invested enterprise settled in RMB converted from foreign currencies may only be used for purposes within the business scope approved by the applicable governmental authority and may not be used for equity investments within the PRC. In addition, SAFE strengthened its oversight of the flow and use of the registered capital of foreign-invested enterprises settled in RMB converted from foreign currencies. The use of such RMB capital may not be changed without SAFE’s approval and may not be used to repay RMB loans if the proceeds of such loans have not been used.</w:t>
      </w:r>
    </w:p>
    <w:p>
      <w:pPr>
        <w:spacing w:after="0" w:line="174" w:lineRule="exact"/>
        <w:rPr>
          <w:sz w:val="20"/>
          <w:szCs w:val="20"/>
          <w:color w:val="auto"/>
        </w:rPr>
      </w:pPr>
    </w:p>
    <w:p>
      <w:pPr>
        <w:ind w:right="60" w:firstLine="486"/>
        <w:spacing w:after="0" w:line="250" w:lineRule="auto"/>
        <w:rPr>
          <w:sz w:val="20"/>
          <w:szCs w:val="20"/>
          <w:color w:val="auto"/>
        </w:rPr>
      </w:pPr>
      <w:r>
        <w:rPr>
          <w:rFonts w:ascii="Times New Roman" w:cs="Times New Roman" w:eastAsia="Times New Roman" w:hAnsi="Times New Roman"/>
          <w:sz w:val="18"/>
          <w:szCs w:val="18"/>
          <w:color w:val="auto"/>
        </w:rPr>
        <w:t>On January 5, 2007, SAFE promulgated the Detailed Rules for Implementing the Measures for the Administration on Individual Foreign Exchange, or the Implementation Rules. Under the Implementation Rules, PRC citizens who are granted share options by an overseas publicly-listed company are required, through a PRC agent or PRC subsidiary of such overseas publicly-listed company, to register with SAFE and complete certain other procedures.</w:t>
      </w:r>
    </w:p>
    <w:p>
      <w:pPr>
        <w:spacing w:after="0" w:line="19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addition, the General Administration of Taxation has issued circulars concerning employee share options. Under these circulars, our employees working in the PRC who exercise share options will be subject to PRC individual income tax. Our PRC subsidiary has obligations to file documents related to employee share options with relevant tax authorities and withhold individual income taxes of those employees who exercise their share options.</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Furthermore, our transfer of funds to our subsidiaries in Thailand and the PRC are each subject to approval by governmental authorities in case of an increase in registered capital, or subject to registration with governmental authorities in case of a shareholder loan. These limitations on the flow of funds between our subsidiaries and us could restrict our ability to act in response to changing market conditions.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w:t>
      </w:r>
    </w:p>
    <w:p>
      <w:pPr>
        <w:spacing w:after="0" w:line="121" w:lineRule="exact"/>
        <w:rPr>
          <w:sz w:val="20"/>
          <w:szCs w:val="20"/>
          <w:color w:val="auto"/>
        </w:rPr>
      </w:pPr>
    </w:p>
    <w:p>
      <w:pPr>
        <w:ind w:right="360" w:firstLine="486"/>
        <w:spacing w:after="0" w:line="312" w:lineRule="auto"/>
        <w:rPr>
          <w:sz w:val="20"/>
          <w:szCs w:val="20"/>
          <w:color w:val="auto"/>
        </w:rPr>
      </w:pPr>
      <w:r>
        <w:rPr>
          <w:rFonts w:ascii="Times New Roman" w:cs="Times New Roman" w:eastAsia="Times New Roman" w:hAnsi="Times New Roman"/>
          <w:sz w:val="17"/>
          <w:szCs w:val="17"/>
          <w:color w:val="auto"/>
        </w:rPr>
        <w:t>Our effective tax rate is a function of the mix of tax rates in the various jurisdictions in which we do business. We are domiciled in the Cayman Islands. Under the current laws of the Cayman Islands, we are not subject to tax in the Cayman Islands on income or capital gains until March 6, 2039.</w:t>
      </w:r>
    </w:p>
    <w:p>
      <w:pPr>
        <w:spacing w:after="0" w:line="32"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Throughout the period of our operations in Thailand, we have generally received income tax and other incentives from the Thailand Board of Investment. Preferential tax treatment from the Thai government in the form of a corporate tax exemption on income generated from projects to manufacture certain products at our Chonburi campus is currently available to us through June 2026. Preferential tax treatment is available to us for products manufactured at our Chonburi campus Building 9, where income generated will be tax exempt through 2031, capped at our actual investment amount. Such preferential tax treatment is contingent on various factors, including the export of our customers’ products out of Thailand and our agreement not to move our manufacturing facilities out of our current province in Thailand for at least 15 years from the date on which preferential tax treatment was granted. Currently, the corporate income tax rate for our Thai subsidiary is 20%.</w:t>
      </w:r>
    </w:p>
    <w:p>
      <w:pPr>
        <w:spacing w:after="0" w:line="81"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As of March 27, 2026, the corporate income tax rates for our subsidiaries in the PRC, the U.S., the U.K. and Israel are 25%, 21%, 25% and 23%, respectively.</w:t>
      </w:r>
    </w:p>
    <w:p>
      <w:pPr>
        <w:spacing w:after="0" w:line="54"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Our deferred income tax assets represent temporary differences between the carrying amount and the tax basis of existing assets and liabilities that will result in deductible and payable amounts in future years, including net operating loss carry forwards. Based on estimates, the carrying value of our net deferred tax assets assumes that it is more likely than not that we will be able to generate sufficient future taxable income in certain tax jurisdictions to realize these deferred income tax assets. Our judgments regarding future profitability may change depending on future market conditions, changes in U.S. or international tax laws, or other factors. If these estimates and related assumptions change in the future, we may be required to increase or decrease our valuation allowance against the deferred tax assets, resulting in additional or lesser income tax expense.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121" w:lineRule="exact"/>
        <w:rPr>
          <w:sz w:val="20"/>
          <w:szCs w:val="20"/>
          <w:color w:val="auto"/>
        </w:rPr>
      </w:pPr>
    </w:p>
    <w:p>
      <w:pPr>
        <w:ind w:right="180" w:firstLine="486"/>
        <w:spacing w:after="0" w:line="254" w:lineRule="auto"/>
        <w:rPr>
          <w:sz w:val="20"/>
          <w:szCs w:val="20"/>
          <w:color w:val="auto"/>
        </w:rPr>
      </w:pPr>
      <w:r>
        <w:rPr>
          <w:rFonts w:ascii="Times New Roman" w:cs="Times New Roman" w:eastAsia="Times New Roman" w:hAnsi="Times New Roman"/>
          <w:sz w:val="18"/>
          <w:szCs w:val="18"/>
          <w:color w:val="auto"/>
        </w:rPr>
        <w:t>We prepare our unaudited condensed consolidated financial statements in conformity with U.S. GAAP, which requires us to make estimates and assumptions that affect the reported amounts of assets and liabilities, the disclosure of contingent liabilities on the date of the unaudited condensed consolidated financial statements and the reported amounts of revenues and expenses during the financial reporting period. We continually evaluate these estimates and assumptions based on the most recently available information, our own historical experience and on various other assumptions that we believe to be reasonable under the circumstances. The results of these estimates form the basis for making judgments about the carrying values of assets and liabilities that are not readily apparent from other sources. Because the use of estimates is an integral component of the financial reporting process, actual results could differ from those estimates. Some of our accounting policies require higher degrees of judgment than others in their application. We consider the policies discussed below to be critical to an understanding of our unaudited condensed consolidated financial statements, as their application places the most significant demands on our management’s judgment.</w:t>
      </w:r>
    </w:p>
    <w:p>
      <w:pPr>
        <w:spacing w:after="0" w:line="80"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are disclosed in our Annual Report on Form 10-K for the fiscal year ended June 27, 2025. The adoption of new accounting policies and accounting standards are disclosed in Note 2 to the unaudited condensed consolidated financial statements. There were no changes to our accounting policies.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unaudited condensed consolidated statements of operations and comprehensive income. Note that period-to-period comparisons of operating results should not be relied upon as indicative of future performance.</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840" w:type="dxa"/>
            <w:vAlign w:val="bottom"/>
            <w:gridSpan w:val="4"/>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49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9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28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260" w:type="dxa"/>
            <w:vAlign w:val="bottom"/>
          </w:tcPr>
          <w:p>
            <w:pPr>
              <w:spacing w:after="0"/>
              <w:rPr>
                <w:sz w:val="17"/>
                <w:szCs w:val="17"/>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March 27,</w:t>
            </w:r>
          </w:p>
        </w:tc>
        <w:tc>
          <w:tcPr>
            <w:tcW w:w="280" w:type="dxa"/>
            <w:vAlign w:val="bottom"/>
          </w:tcPr>
          <w:p>
            <w:pPr>
              <w:spacing w:after="0"/>
              <w:rPr>
                <w:sz w:val="17"/>
                <w:szCs w:val="17"/>
                <w:color w:val="auto"/>
              </w:rPr>
            </w:pPr>
          </w:p>
        </w:tc>
        <w:tc>
          <w:tcPr>
            <w:tcW w:w="122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March 28,</w:t>
            </w:r>
          </w:p>
        </w:tc>
        <w:tc>
          <w:tcPr>
            <w:tcW w:w="0" w:type="dxa"/>
            <w:vAlign w:val="bottom"/>
          </w:tcPr>
          <w:p>
            <w:pPr>
              <w:spacing w:after="0"/>
              <w:rPr>
                <w:sz w:val="1"/>
                <w:szCs w:val="1"/>
                <w:color w:val="auto"/>
              </w:rPr>
            </w:pPr>
          </w:p>
        </w:tc>
      </w:tr>
      <w:tr>
        <w:trPr>
          <w:trHeight w:val="199"/>
        </w:trPr>
        <w:tc>
          <w:tcPr>
            <w:tcW w:w="494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26"/>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871,799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3,325,309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2,509,635</w:t>
            </w:r>
          </w:p>
        </w:tc>
        <w:tc>
          <w:tcPr>
            <w:tcW w:w="0" w:type="dxa"/>
            <w:vAlign w:val="bottom"/>
          </w:tcPr>
          <w:p>
            <w:pPr>
              <w:spacing w:after="0"/>
              <w:rPr>
                <w:sz w:val="1"/>
                <w:szCs w:val="1"/>
                <w:color w:val="auto"/>
              </w:rPr>
            </w:pPr>
          </w:p>
        </w:tc>
      </w:tr>
      <w:tr>
        <w:trPr>
          <w:trHeight w:val="229"/>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(1,069,954)</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(769,616)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(2,926,849)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(2,207,577)</w:t>
            </w:r>
          </w:p>
        </w:tc>
        <w:tc>
          <w:tcPr>
            <w:tcW w:w="0" w:type="dxa"/>
            <w:vAlign w:val="bottom"/>
          </w:tcPr>
          <w:p>
            <w:pPr>
              <w:spacing w:after="0"/>
              <w:rPr>
                <w:sz w:val="1"/>
                <w:szCs w:val="1"/>
                <w:color w:val="auto"/>
              </w:rPr>
            </w:pPr>
          </w:p>
        </w:tc>
      </w:tr>
      <w:tr>
        <w:trPr>
          <w:trHeight w:val="223"/>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102,183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398,460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302,058</w:t>
            </w:r>
          </w:p>
        </w:tc>
        <w:tc>
          <w:tcPr>
            <w:tcW w:w="0" w:type="dxa"/>
            <w:vAlign w:val="bottom"/>
          </w:tcPr>
          <w:p>
            <w:pPr>
              <w:spacing w:after="0"/>
              <w:rPr>
                <w:sz w:val="1"/>
                <w:szCs w:val="1"/>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(69,822)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(65,300)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120,044</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78,856</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328,638</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235,391</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32,392</w:t>
            </w:r>
          </w:p>
        </w:tc>
        <w:tc>
          <w:tcPr>
            <w:tcW w:w="0" w:type="dxa"/>
            <w:vAlign w:val="bottom"/>
          </w:tcPr>
          <w:p>
            <w:pPr>
              <w:spacing w:after="0"/>
              <w:rPr>
                <w:sz w:val="1"/>
                <w:szCs w:val="1"/>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86,296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355,395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261,944</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(16,624)</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333,767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245,320</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0" w:type="dxa"/>
            <w:vAlign w:val="bottom"/>
          </w:tcPr>
          <w:p>
            <w:pPr>
              <w:spacing w:after="0"/>
              <w:rPr>
                <w:sz w:val="1"/>
                <w:szCs w:val="1"/>
                <w:color w:val="auto"/>
              </w:rPr>
            </w:pPr>
          </w:p>
        </w:tc>
      </w:tr>
      <w:tr>
        <w:trPr>
          <w:trHeight w:val="223"/>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comprehensive income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110,273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87,490</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322,972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257,010</w:t>
            </w: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our unaudited condensed consolidated statements of operations and comprehensive income as a percentage of revenues for the periods indicated.</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660" w:type="dxa"/>
            <w:vAlign w:val="bottom"/>
          </w:tcPr>
          <w:p>
            <w:pPr>
              <w:spacing w:after="0"/>
              <w:rPr>
                <w:sz w:val="16"/>
                <w:szCs w:val="16"/>
                <w:color w:val="auto"/>
              </w:rPr>
            </w:pPr>
          </w:p>
        </w:tc>
        <w:tc>
          <w:tcPr>
            <w:tcW w:w="3340" w:type="dxa"/>
            <w:vAlign w:val="bottom"/>
            <w:gridSpan w:val="4"/>
          </w:tcPr>
          <w:p>
            <w:pPr>
              <w:ind w:lef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40" w:type="dxa"/>
            <w:vAlign w:val="bottom"/>
            <w:gridSpan w:val="3"/>
          </w:tcPr>
          <w:p>
            <w:pPr>
              <w:jc w:val="right"/>
              <w:ind w:right="9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3"/>
        </w:trPr>
        <w:tc>
          <w:tcPr>
            <w:tcW w:w="466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168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r>
      <w:tr>
        <w:trPr>
          <w:trHeight w:val="131"/>
        </w:trPr>
        <w:tc>
          <w:tcPr>
            <w:tcW w:w="4660" w:type="dxa"/>
            <w:vAlign w:val="bottom"/>
          </w:tcPr>
          <w:p>
            <w:pPr>
              <w:spacing w:after="0"/>
              <w:rPr>
                <w:sz w:val="11"/>
                <w:szCs w:val="11"/>
                <w:color w:val="auto"/>
              </w:rPr>
            </w:pPr>
          </w:p>
        </w:tc>
        <w:tc>
          <w:tcPr>
            <w:tcW w:w="1660" w:type="dxa"/>
            <w:vAlign w:val="bottom"/>
            <w:tcBorders>
              <w:top w:val="single" w:sz="8" w:color="auto"/>
            </w:tcBorders>
            <w:gridSpan w:val="2"/>
          </w:tcPr>
          <w:p>
            <w:pPr>
              <w:ind w:left="480"/>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580" w:type="dxa"/>
            <w:vAlign w:val="bottom"/>
            <w:tcBorders>
              <w:top w:val="single" w:sz="8" w:color="auto"/>
            </w:tcBorders>
          </w:tcPr>
          <w:p>
            <w:pPr>
              <w:jc w:val="right"/>
              <w:ind w:right="392"/>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c>
          <w:tcPr>
            <w:tcW w:w="100" w:type="dxa"/>
            <w:vAlign w:val="bottom"/>
          </w:tcPr>
          <w:p>
            <w:pPr>
              <w:spacing w:after="0"/>
              <w:rPr>
                <w:sz w:val="11"/>
                <w:szCs w:val="11"/>
                <w:color w:val="auto"/>
              </w:rPr>
            </w:pPr>
          </w:p>
        </w:tc>
        <w:tc>
          <w:tcPr>
            <w:tcW w:w="1680" w:type="dxa"/>
            <w:vAlign w:val="bottom"/>
            <w:tcBorders>
              <w:top w:val="single" w:sz="8" w:color="auto"/>
            </w:tcBorders>
            <w:gridSpan w:val="2"/>
          </w:tcPr>
          <w:p>
            <w:pPr>
              <w:ind w:left="460"/>
              <w:spacing w:after="0" w:line="131" w:lineRule="exact"/>
              <w:rPr>
                <w:sz w:val="20"/>
                <w:szCs w:val="20"/>
                <w:color w:val="auto"/>
              </w:rPr>
            </w:pPr>
            <w:r>
              <w:rPr>
                <w:rFonts w:ascii="Times New Roman" w:cs="Times New Roman" w:eastAsia="Times New Roman" w:hAnsi="Times New Roman"/>
                <w:sz w:val="14"/>
                <w:szCs w:val="14"/>
                <w:b w:val="1"/>
                <w:bCs w:val="1"/>
                <w:color w:val="auto"/>
              </w:rPr>
              <w:t>March 27,</w:t>
            </w:r>
          </w:p>
        </w:tc>
        <w:tc>
          <w:tcPr>
            <w:tcW w:w="1560" w:type="dxa"/>
            <w:vAlign w:val="bottom"/>
            <w:tcBorders>
              <w:top w:val="single" w:sz="8" w:color="auto"/>
            </w:tcBorders>
          </w:tcPr>
          <w:p>
            <w:pPr>
              <w:jc w:val="right"/>
              <w:ind w:right="372"/>
              <w:spacing w:after="0" w:line="131" w:lineRule="exact"/>
              <w:rPr>
                <w:sz w:val="20"/>
                <w:szCs w:val="20"/>
                <w:color w:val="auto"/>
              </w:rPr>
            </w:pPr>
            <w:r>
              <w:rPr>
                <w:rFonts w:ascii="Times New Roman" w:cs="Times New Roman" w:eastAsia="Times New Roman" w:hAnsi="Times New Roman"/>
                <w:sz w:val="14"/>
                <w:szCs w:val="14"/>
                <w:b w:val="1"/>
                <w:bCs w:val="1"/>
                <w:color w:val="auto"/>
              </w:rPr>
              <w:t>March 28,</w:t>
            </w:r>
          </w:p>
        </w:tc>
      </w:tr>
      <w:tr>
        <w:trPr>
          <w:trHeight w:val="195"/>
        </w:trPr>
        <w:tc>
          <w:tcPr>
            <w:tcW w:w="466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r>
      <w:tr>
        <w:trPr>
          <w:trHeight w:val="230"/>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5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8"/>
                <w:szCs w:val="18"/>
                <w:color w:val="auto"/>
              </w:rPr>
              <w:t>(88.1)</w:t>
            </w:r>
          </w:p>
        </w:tc>
        <w:tc>
          <w:tcPr>
            <w:tcW w:w="8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color w:val="auto"/>
              </w:rPr>
              <w:t>(88.0)</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(88.0)</w:t>
            </w:r>
          </w:p>
        </w:tc>
      </w:tr>
      <w:tr>
        <w:trPr>
          <w:trHeight w:val="223"/>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12.0</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5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9"/>
                <w:szCs w:val="19"/>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156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other related costs</w:t>
            </w:r>
          </w:p>
        </w:tc>
        <w:tc>
          <w:tcPr>
            <w:tcW w:w="16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tcPr>
          <w:p>
            <w:pPr>
              <w:spacing w:after="0"/>
              <w:rPr>
                <w:sz w:val="19"/>
                <w:szCs w:val="19"/>
                <w:color w:val="auto"/>
              </w:rPr>
            </w:pPr>
          </w:p>
        </w:tc>
        <w:tc>
          <w:tcPr>
            <w:tcW w:w="158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560" w:type="dxa"/>
            <w:vAlign w:val="bottom"/>
            <w:tcBorders>
              <w:top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tcPr>
          <w:p>
            <w:pPr>
              <w:spacing w:after="0"/>
              <w:rPr>
                <w:sz w:val="19"/>
                <w:szCs w:val="19"/>
                <w:color w:val="auto"/>
              </w:rPr>
            </w:pPr>
          </w:p>
        </w:tc>
        <w:tc>
          <w:tcPr>
            <w:tcW w:w="156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9.4</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gain (loss), net</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5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(0.2)</w:t>
            </w:r>
          </w:p>
        </w:tc>
      </w:tr>
      <w:tr>
        <w:trPr>
          <w:trHeight w:val="229"/>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5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(0.0)</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Pr>
          <w:p>
            <w:pPr>
              <w:spacing w:after="0"/>
              <w:rPr>
                <w:sz w:val="19"/>
                <w:szCs w:val="19"/>
                <w:color w:val="auto"/>
              </w:rPr>
            </w:pPr>
          </w:p>
        </w:tc>
        <w:tc>
          <w:tcPr>
            <w:tcW w:w="15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Pr>
          <w:p>
            <w:pPr>
              <w:spacing w:after="0"/>
              <w:rPr>
                <w:sz w:val="19"/>
                <w:szCs w:val="19"/>
                <w:color w:val="auto"/>
              </w:rPr>
            </w:pPr>
          </w:p>
        </w:tc>
        <w:tc>
          <w:tcPr>
            <w:tcW w:w="15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9"/>
                <w:szCs w:val="19"/>
                <w:color w:val="auto"/>
              </w:rPr>
            </w:pPr>
          </w:p>
        </w:tc>
        <w:tc>
          <w:tcPr>
            <w:tcW w:w="15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9.8</w:t>
            </w:r>
          </w:p>
        </w:tc>
      </w:tr>
      <w:tr>
        <w:trPr>
          <w:trHeight w:val="230"/>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5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comprehensive income</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8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9.7 %</w:t>
            </w:r>
          </w:p>
        </w:tc>
        <w:tc>
          <w:tcPr>
            <w:tcW w:w="12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10.2 %</w:t>
            </w:r>
          </w:p>
        </w:tc>
      </w:tr>
      <w:tr>
        <w:trPr>
          <w:trHeight w:val="21"/>
        </w:trPr>
        <w:tc>
          <w:tcPr>
            <w:tcW w:w="4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857"/>
        </w:trPr>
        <w:tc>
          <w:tcPr>
            <w:tcW w:w="4660" w:type="dxa"/>
            <w:vAlign w:val="bottom"/>
          </w:tcPr>
          <w:p>
            <w:pPr>
              <w:spacing w:after="0"/>
              <w:rPr>
                <w:sz w:val="24"/>
                <w:szCs w:val="24"/>
                <w:color w:val="auto"/>
              </w:rPr>
            </w:pPr>
          </w:p>
        </w:tc>
        <w:tc>
          <w:tcPr>
            <w:tcW w:w="1580" w:type="dxa"/>
            <w:vAlign w:val="bottom"/>
          </w:tcPr>
          <w:p>
            <w:pPr>
              <w:jc w:val="right"/>
              <w:ind w:right="433"/>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revenues by end market and product category for the periods indicated.</w:t>
      </w:r>
    </w:p>
    <w:p>
      <w:pPr>
        <w:spacing w:after="0" w:line="139"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As a % of Total</w:t>
            </w:r>
          </w:p>
        </w:tc>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a % of Total</w:t>
            </w:r>
          </w:p>
        </w:tc>
        <w:tc>
          <w:tcPr>
            <w:tcW w:w="0" w:type="dxa"/>
            <w:vAlign w:val="bottom"/>
          </w:tcPr>
          <w:p>
            <w:pPr>
              <w:spacing w:after="0"/>
              <w:rPr>
                <w:sz w:val="1"/>
                <w:szCs w:val="1"/>
                <w:color w:val="auto"/>
              </w:rPr>
            </w:pPr>
          </w:p>
        </w:tc>
      </w:tr>
      <w:tr>
        <w:trPr>
          <w:trHeight w:val="195"/>
        </w:trPr>
        <w:tc>
          <w:tcPr>
            <w:tcW w:w="44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4"/>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Optical communications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Telecom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431,366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1,179,334</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Datacom</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811,680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Datacenter interconnect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196,896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477,176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Optical communications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888,704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2,468,190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74.2 %</w:t>
            </w:r>
          </w:p>
        </w:tc>
        <w:tc>
          <w:tcPr>
            <w:tcW w:w="0" w:type="dxa"/>
            <w:vAlign w:val="bottom"/>
          </w:tcPr>
          <w:p>
            <w:pPr>
              <w:spacing w:after="0"/>
              <w:rPr>
                <w:sz w:val="1"/>
                <w:szCs w:val="1"/>
                <w:color w:val="auto"/>
              </w:rPr>
            </w:pPr>
          </w:p>
        </w:tc>
      </w:tr>
      <w:tr>
        <w:trPr>
          <w:trHeight w:val="229"/>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Non-optical communications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Automotive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115,499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354,403</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High-performance computing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106,746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207,705</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Industrial laser</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125,282</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59,173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169,729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Non-optical communications</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325,589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857,119</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0" w:type="dxa"/>
            <w:vAlign w:val="bottom"/>
          </w:tcPr>
          <w:p>
            <w:pPr>
              <w:spacing w:after="0"/>
              <w:rPr>
                <w:sz w:val="1"/>
                <w:szCs w:val="1"/>
                <w:color w:val="auto"/>
              </w:rPr>
            </w:pPr>
          </w:p>
        </w:tc>
      </w:tr>
      <w:tr>
        <w:trPr>
          <w:trHeight w:val="223"/>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1,214,293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3,325,309</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1"/>
        </w:trPr>
        <w:tc>
          <w:tcPr>
            <w:tcW w:w="446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58"/>
        </w:trPr>
        <w:tc>
          <w:tcPr>
            <w:tcW w:w="44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percentages)</w:t>
            </w: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a % of Total</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As a % of Total</w:t>
            </w:r>
          </w:p>
        </w:tc>
        <w:tc>
          <w:tcPr>
            <w:tcW w:w="0" w:type="dxa"/>
            <w:vAlign w:val="bottom"/>
          </w:tcPr>
          <w:p>
            <w:pPr>
              <w:spacing w:after="0"/>
              <w:rPr>
                <w:sz w:val="1"/>
                <w:szCs w:val="1"/>
                <w:color w:val="auto"/>
              </w:rPr>
            </w:pPr>
          </w:p>
        </w:tc>
      </w:tr>
      <w:tr>
        <w:trPr>
          <w:trHeight w:val="196"/>
        </w:trPr>
        <w:tc>
          <w:tcPr>
            <w:tcW w:w="4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2025</w:t>
            </w:r>
          </w:p>
        </w:tc>
        <w:tc>
          <w:tcPr>
            <w:tcW w:w="16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28, 2025</w:t>
            </w: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0" w:type="dxa"/>
            <w:vAlign w:val="bottom"/>
          </w:tcPr>
          <w:p>
            <w:pPr>
              <w:spacing w:after="0"/>
              <w:rPr>
                <w:sz w:val="1"/>
                <w:szCs w:val="1"/>
                <w:color w:val="auto"/>
              </w:rPr>
            </w:pPr>
          </w:p>
        </w:tc>
      </w:tr>
      <w:tr>
        <w:trPr>
          <w:trHeight w:val="216"/>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Optical communications</w:t>
            </w: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Telecom</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302,736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776,373</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Datacom</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251,105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879,087</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Borders>
              <w:bottom w:val="single" w:sz="8" w:color="CCEEFF"/>
            </w:tcBorders>
          </w:tcPr>
          <w:p>
            <w:pPr>
              <w:ind w:left="120"/>
              <w:spacing w:after="0" w:line="230" w:lineRule="exact"/>
              <w:rPr>
                <w:sz w:val="20"/>
                <w:szCs w:val="20"/>
                <w:color w:val="auto"/>
              </w:rPr>
            </w:pPr>
            <w:r>
              <w:rPr>
                <w:rFonts w:ascii="Times New Roman" w:cs="Times New Roman" w:eastAsia="Times New Roman" w:hAnsi="Times New Roman"/>
                <w:sz w:val="18"/>
                <w:szCs w:val="18"/>
                <w:color w:val="auto"/>
              </w:rPr>
              <w:t xml:space="preserve">Datacenter interconnect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103,390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275,236</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Optical communications</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657,231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1,930,696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76.9 %</w:t>
            </w:r>
          </w:p>
        </w:tc>
        <w:tc>
          <w:tcPr>
            <w:tcW w:w="0" w:type="dxa"/>
            <w:vAlign w:val="bottom"/>
          </w:tcPr>
          <w:p>
            <w:pPr>
              <w:spacing w:after="0"/>
              <w:rPr>
                <w:sz w:val="1"/>
                <w:szCs w:val="1"/>
                <w:color w:val="auto"/>
              </w:rPr>
            </w:pPr>
          </w:p>
        </w:tc>
      </w:tr>
      <w:tr>
        <w:trPr>
          <w:trHeight w:val="23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Non-optical communications</w:t>
            </w: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Automotive</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129,468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336,456</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Industrial laser</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113,332</w:t>
            </w:r>
          </w:p>
        </w:tc>
        <w:tc>
          <w:tcPr>
            <w:tcW w:w="1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Others</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44,636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129,151</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 Non-optical communications</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214,568</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578,939</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23.1 %</w:t>
            </w:r>
          </w:p>
        </w:tc>
        <w:tc>
          <w:tcPr>
            <w:tcW w:w="0" w:type="dxa"/>
            <w:vAlign w:val="bottom"/>
          </w:tcPr>
          <w:p>
            <w:pPr>
              <w:spacing w:after="0"/>
              <w:rPr>
                <w:sz w:val="1"/>
                <w:szCs w:val="1"/>
                <w:color w:val="auto"/>
              </w:rPr>
            </w:pPr>
          </w:p>
        </w:tc>
      </w:tr>
      <w:tr>
        <w:trPr>
          <w:trHeight w:val="248"/>
        </w:trPr>
        <w:tc>
          <w:tcPr>
            <w:tcW w:w="4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871,799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2,509,635</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100.0 %</w:t>
            </w: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ind w:left="640" w:hanging="308"/>
        <w:spacing w:after="0"/>
        <w:tabs>
          <w:tab w:leader="none" w:pos="640"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Datacenter interconnect (DCI) modules are opto-electronic modules used to connect two or more geographically separated data centers.</w:t>
      </w:r>
    </w:p>
    <w:p>
      <w:pPr>
        <w:spacing w:after="0" w:line="1" w:lineRule="exact"/>
        <w:rPr>
          <w:rFonts w:ascii="Times New Roman" w:cs="Times New Roman" w:eastAsia="Times New Roman" w:hAnsi="Times New Roman"/>
          <w:sz w:val="23"/>
          <w:szCs w:val="23"/>
          <w:color w:val="auto"/>
          <w:vertAlign w:val="superscript"/>
        </w:rPr>
      </w:pPr>
    </w:p>
    <w:p>
      <w:pPr>
        <w:ind w:left="660" w:right="100" w:hanging="328"/>
        <w:spacing w:after="0" w:line="219" w:lineRule="auto"/>
        <w:tabs>
          <w:tab w:leader="none" w:pos="648" w:val="left"/>
        </w:tabs>
        <w:numPr>
          <w:ilvl w:val="0"/>
          <w:numId w:val="1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High-performance computing (HPC) products are massively parallel computing systems built from interconnected high-performance processors, accelerators, high-speed memory, and low-latency networking to solve complex, compute-intensive problems.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and Nine Months Ended March 27, 2026 with Three and Nine Months Ended March 28, 2025</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revenues increased by $342.5 million, or 39.3%, to $1,214.3 million for the three months ended March 27, 2026, compared with $871.8 million for the three months ended March 28, 2025. This increase was primarily due to an increase in our key customers’ demand for both optical communications products and non-optical communications products. Revenues from optical communications products, which represented $888.7 million, or 73.2%, of our revenues for the three months ended March 27, 2026, increased by $231.5 million, or 35.2%, compared to the same period in the prior fiscal year, mainly due to an increase in revenues from telecommunication products and datacenter interconnect products during the three months ended March 27, 2026. Revenues from non-optical communications products, which represented $325.6 million, or 26.8%, of our revenues for the three months ended March 27, 2026, increased by $111.0 million, or 51.7%, compared to the same period in the prior fiscal year, primarily due to high demand for high-performance computing, and partially offset with a decrease in revenue from automotive.</w:t>
      </w:r>
    </w:p>
    <w:p>
      <w:pPr>
        <w:spacing w:after="0" w:line="200" w:lineRule="exact"/>
        <w:rPr>
          <w:sz w:val="20"/>
          <w:szCs w:val="20"/>
          <w:color w:val="auto"/>
        </w:rPr>
      </w:pP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revenues increased by $815.7 million, or 32.5%, to $3,325.3 million for the nine months ended March 27, 2026, compared with $2,509.6 million for the nine months ended March 28, 2025. This increase was primarily due to an increase in our key customers’ demand for both optical communications products and non-optical communications products. Revenues from optical communications products, which represented $2,468.2 million, or 74.2%, of our revenues for the nine months ended March 27, 2026, increased by $537.5 million, or 27.8%, compared to the same period in the prior fiscal year, mainly due to an increase in revenues from telecommunication products and datacenter interconnect products, and partially offset with a decrease in revenues from data communication products during the nine months ended March 27, 2026. Revenues from non-optical communications products, which represented $857.1 million, or 25.8%, of our revenues for the nine months ended March 27, 2026, increased by $278.2 million, or 48.0%, compared to the same period in the prior fiscal year, primarily due to high demand for high-performance computing.</w:t>
      </w:r>
    </w:p>
    <w:p>
      <w:pPr>
        <w:spacing w:after="0" w:line="1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$300.4 million, or 39.0%, to $1,070.0 million, or 88.1% of revenues, for the three months ended March 27, 2026, compared with $769.6 million, or 88.3% of revenues, for the three months ended March 28, 2025. The increase was in line with the increase in sales volume.</w:t>
      </w:r>
    </w:p>
    <w:p>
      <w:pPr>
        <w:spacing w:after="0" w:line="68"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Our cost of revenues increased by $719.2 million, or 32.6%, to $2,926.8 million, or 88.0% of revenues, for the nine months ended March 27, 2026, compared with $2,207.6 million, or 88.0% of revenues, for the nine months ended March 28, 2025. This increase was in line with the increase in sales volume.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11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Our gross profit increased by $42.1 million, or 41.2%, to $144.3 million, or 11.9% of revenues, for the three months ended March 27, 2026, compared with $102.2 million, or 11.7% of revenues, for the three months ended March 28, 2025. The increase was primarily due to an increase in sales volume.</w:t>
      </w:r>
    </w:p>
    <w:p>
      <w:pPr>
        <w:spacing w:after="0" w:line="68" w:lineRule="exact"/>
        <w:rPr>
          <w:sz w:val="20"/>
          <w:szCs w:val="20"/>
          <w:color w:val="auto"/>
        </w:rPr>
      </w:pPr>
    </w:p>
    <w:p>
      <w:pPr>
        <w:ind w:right="300" w:firstLine="486"/>
        <w:spacing w:after="0" w:line="266" w:lineRule="auto"/>
        <w:rPr>
          <w:sz w:val="20"/>
          <w:szCs w:val="20"/>
          <w:color w:val="auto"/>
        </w:rPr>
      </w:pPr>
      <w:r>
        <w:rPr>
          <w:rFonts w:ascii="Times New Roman" w:cs="Times New Roman" w:eastAsia="Times New Roman" w:hAnsi="Times New Roman"/>
          <w:sz w:val="18"/>
          <w:szCs w:val="18"/>
          <w:color w:val="auto"/>
        </w:rPr>
        <w:t>Our gross profit increased by $96.4 million, or 31.9%, to $398.5 million, or 12.0% of revenues, for the nine months ended March 27, 2026, compared with $302.1 million, or 12.0% of revenues, for the nine months ended March 28, 2025. The increase was primarily due to an increase in sales volume.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SG&amp;A expenses</w:t>
      </w:r>
    </w:p>
    <w:p>
      <w:pPr>
        <w:spacing w:after="0" w:line="11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SG&amp;A expenses increased by $2.2 million, or 10.0%, to $24.3 million, or 2.0% of revenues, for the three months ended March 27, 2026, compared with $22.1 million, or 2.5% of revenues, for the three months ended March 28, 2025. The increase was primarily due to (1) an increase in severance expenses of $0.6 million, (2) an increase in R&amp;D expenses of $0.5 million, (3) an increase in share-based compensation expenses of $0.4 million, (4) an increase in executive compensation related expenses of $0.4 million, and (5) an increase in information technology related expenses of $0.3 million.</w:t>
      </w:r>
    </w:p>
    <w:p>
      <w:pPr>
        <w:spacing w:after="0" w:line="75"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Our SG&amp;A expenses increased by $4.5 million, or 6.9%, to $69.8 million, or 2.1% of revenues, for the nine months ended March 27, 2026, compared with $65.3 million, or 2.6% of revenues, for the nine months ended March 28, 2025. The increase was primarily due to (1) an increase in information technology related expenses of $1.8 million, mainly from network, security system and new hardware costs, (2) an increase in executive compensation related expenses of $1.2 million, (3) an increase in share-based compensation expenses of $0.7 million, (4) an increase in R&amp;D expenses of $0.3 million, (5) an increase in severance expenses of $0.3 million, and (6) a net increase in the allowance for expected credit losses of $0.2 million.</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Restructuring and other related costs</w:t>
      </w:r>
    </w:p>
    <w:p>
      <w:pPr>
        <w:spacing w:after="0" w:line="119" w:lineRule="exact"/>
        <w:rPr>
          <w:sz w:val="20"/>
          <w:szCs w:val="20"/>
          <w:color w:val="auto"/>
        </w:rPr>
      </w:pPr>
    </w:p>
    <w:p>
      <w:pPr>
        <w:ind w:right="240" w:firstLine="486"/>
        <w:spacing w:after="0" w:line="312" w:lineRule="auto"/>
        <w:rPr>
          <w:sz w:val="20"/>
          <w:szCs w:val="20"/>
          <w:color w:val="auto"/>
        </w:rPr>
      </w:pPr>
      <w:r>
        <w:rPr>
          <w:rFonts w:ascii="Times New Roman" w:cs="Times New Roman" w:eastAsia="Times New Roman" w:hAnsi="Times New Roman"/>
          <w:sz w:val="17"/>
          <w:szCs w:val="17"/>
          <w:color w:val="auto"/>
        </w:rPr>
        <w:t>We had no restructuring costs for the three and nine months ended March 27, 2026. We recorded restructuring and other related costs for the three and nine months ended March 28, 2025 of $1.3 million and $1.4 million, respectively, due to restructuring of operations in our subsidiary in Thailand.</w:t>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income</w:t>
      </w:r>
    </w:p>
    <w:p>
      <w:pPr>
        <w:spacing w:after="0" w:line="119"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Our operating income increased by $41.1 million, or 52.1%, to $120.0 million, or 9.9% of revenues, for the three months ended March 27, 2026, compared with $78.9 million, or 9.0% of revenues, for the three months ended March 28, 2025. The increase was primarily due to an increase in revenues.</w:t>
      </w:r>
    </w:p>
    <w:p>
      <w:pPr>
        <w:spacing w:after="0" w:line="5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Our operating income increased by $93.2 million, or 39.6%, to $328.6 million, or 9.9% of revenues, for the nine months ended March 27, 2026, compared with $235.4 million, or 9.4% of revenues, for the nine months ended March 28, 2025. The increase was primarily due to an increase in revenues.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interest income decreased by $2.7 million, or 26.7%, to $7.4 million, or 0.6% of revenues, for the three months ended March 27, 2026, compared with $10.1 million, or 1.2% of revenues, for the three months ended March 28, 2025. The decrease was primarily due to a decrease in average cash balance and short-term investment and a decrease of weighted average interest income rate during the three months ended March 27, 2026 compared to the same period in the prior fiscal year.</w:t>
      </w:r>
    </w:p>
    <w:p>
      <w:pPr>
        <w:spacing w:after="0" w:line="7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Our interest income decreased by $7.0 million, or 21.6%, to $25.4 million, or 0.7% of revenues, for the nine months ended March 27, 2026, compared with $32.4 million, or 1.3% of revenues, for the nine months ended March 28, 2025. The decrease was primarily due to a decrease in average cash balance and short-term investment and a decrease of weighted average interest income rate during the nine months ended March 27, 2026 compared to same period in the prior fiscal year.</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Foreign exchange gain (loss), net</w:t>
      </w:r>
    </w:p>
    <w:p>
      <w:pPr>
        <w:spacing w:after="0" w:line="119"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We recorded foreign exchange gain, net of $7.0 million, or 0.6% of revenues, for the three months ended March 27, 2026, compared with foreign exchange loss, net of $2.7 million, or 0.3% of revenues, for the three months ended March 28, 2025. The foreign exchange gain was mainly due to (1) unrealized gain from revaluation of outstanding Thai baht assets and liabilities of $12.7 million, (2) unrealized gain from revaluation of currencies other than Thai baht of $2.4 million, and (3) lower foreign exchange loss, totaling $0.9 million from our subsidiaries in the PRC and the U.K, offset by (1) unrealized loss from mark-to-market forward contracts of $5.9 million, and (2) realized loss from payment/receipt of $0.4 million.</w:t>
      </w:r>
    </w:p>
    <w:p>
      <w:pPr>
        <w:spacing w:after="0" w:line="75" w:lineRule="exact"/>
        <w:rPr>
          <w:sz w:val="20"/>
          <w:szCs w:val="20"/>
          <w:color w:val="auto"/>
        </w:rPr>
      </w:pPr>
    </w:p>
    <w:p>
      <w:pPr>
        <w:ind w:right="300" w:firstLine="486"/>
        <w:spacing w:after="0" w:line="258" w:lineRule="auto"/>
        <w:rPr>
          <w:sz w:val="20"/>
          <w:szCs w:val="20"/>
          <w:color w:val="auto"/>
        </w:rPr>
      </w:pPr>
      <w:r>
        <w:rPr>
          <w:rFonts w:ascii="Times New Roman" w:cs="Times New Roman" w:eastAsia="Times New Roman" w:hAnsi="Times New Roman"/>
          <w:sz w:val="18"/>
          <w:szCs w:val="18"/>
          <w:color w:val="auto"/>
        </w:rPr>
        <w:t>We recorded foreign exchange gain, net of $1.7 million, or 0.1% of revenues, for the nine months ended March 27, 2026, compared with foreign exchange loss, net of $5.7 million, or 0.2% of revenues, for the nine months ended March 28, 2025. The foreign exchange gain was mainly due to (1) unrealized gain from revaluation of outstanding Thai baht assets and liabilities of $11.2 million, (2) unrealized gain from revaluation of currencies other than Thai baht of $2.5 million, and (3) lower foreign exchange loss, totaling $0.6 million from our subsidiaries in the PRC and the U.K, offset by (1) unrealized loss from mark-to-market forward contracts of $5.0 million, and (2) an increase realized loss from payment/receipt of $1.9 million.</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11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We recorded income before income taxes of $134.2 million for the three months ended March 27, 2026, compared with $86.3 million for the three months ended March 28, 2025.</w:t>
      </w:r>
    </w:p>
    <w:p>
      <w:pPr>
        <w:spacing w:after="0" w:line="54"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We recorded income before income taxes of $355.4 million for the nine months ended March 27, 2026, compared with $261.9 million for the nine months ended March 28, 2025.</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Our provision for income tax reflects effective tax rates of 6.7% and 5.8% for the three months ended March 27, 2026 and March 28, 2025, respectively. The increase was due to an increase in income subject to tax.</w:t>
      </w:r>
    </w:p>
    <w:p>
      <w:pPr>
        <w:spacing w:after="0" w:line="54" w:lineRule="exact"/>
        <w:rPr>
          <w:sz w:val="20"/>
          <w:szCs w:val="20"/>
          <w:color w:val="auto"/>
        </w:rPr>
      </w:pPr>
    </w:p>
    <w:p>
      <w:pPr>
        <w:ind w:right="760" w:firstLine="486"/>
        <w:spacing w:after="0" w:line="282" w:lineRule="auto"/>
        <w:rPr>
          <w:sz w:val="20"/>
          <w:szCs w:val="20"/>
          <w:color w:val="auto"/>
        </w:rPr>
      </w:pPr>
      <w:r>
        <w:rPr>
          <w:rFonts w:ascii="Times New Roman" w:cs="Times New Roman" w:eastAsia="Times New Roman" w:hAnsi="Times New Roman"/>
          <w:sz w:val="18"/>
          <w:szCs w:val="18"/>
          <w:color w:val="auto"/>
        </w:rPr>
        <w:t>Our provision for income tax reflects effective tax rates of 6.1% and 6.3% for the nine months ended March 27, 2026 and March 28, 2025, respectively. The decrease was due to an increase in income not subject to tax.</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Net income</w:t>
      </w:r>
    </w:p>
    <w:p>
      <w:pPr>
        <w:spacing w:after="0" w:line="1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We recorded net income of $125.2 million, or 10.3% of revenues, for the three months ended March 27, 2026, compared with $81.3 million, or 9.3% of revenues, for the three months ended March 28, 2025.</w:t>
      </w:r>
    </w:p>
    <w:p>
      <w:pPr>
        <w:spacing w:after="0" w:line="5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recorded net income of $333.8 million, or 10.0% of revenues, for the nine months ended March 27, 2026, compared with $245.3 million, or 9.8% of revenues, for the nine months ended March 28, 2025.</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Other comprehensive income (loss)</w:t>
      </w:r>
    </w:p>
    <w:p>
      <w:pPr>
        <w:spacing w:after="0" w:line="11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We recorded other comprehensive loss of $14.9 million, or 1.2% of revenues, for the three months ended March 27, 2026, compared with other comprehensive income of $6.2 million, or 0.7% of revenues, for the three months ended March 28, 2025. The change was mainly due to (1) unrealized loss from mark-to-market of forward contracts of $13.7 million, (2) unrealized loss from mark-to-market of available-for-sale debt securities of $6.3 million, and (3) unrealized loss from foreign currency translation adjustment of $1.1 million.</w:t>
      </w:r>
    </w:p>
    <w:p>
      <w:pPr>
        <w:spacing w:after="0" w:line="72"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We recorded other comprehensive loss of $10.8 million, or 0.3% of revenues, for the nine months ended March 27, 2026, compared with other comprehensive income of $11.7 million, or 0.4% of revenues, for the nine months ended March 28, 2025. The change was mainly due to (1) unrealized loss from mark-to-market of available-for-sale debt securities of $11.0 million, (2) unrealized loss from mark-to-market of forward contracts of $10.3 million, and (3) unrealized loss from foreign currency translation adjustment of $1.2 million.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and Working Capital</w:t>
      </w:r>
    </w:p>
    <w:p>
      <w:pPr>
        <w:spacing w:after="0" w:line="121" w:lineRule="exact"/>
        <w:rPr>
          <w:sz w:val="20"/>
          <w:szCs w:val="20"/>
          <w:color w:val="auto"/>
        </w:rPr>
      </w:pPr>
    </w:p>
    <w:p>
      <w:pPr>
        <w:ind w:right="440" w:firstLine="486"/>
        <w:spacing w:after="0" w:line="282" w:lineRule="auto"/>
        <w:rPr>
          <w:sz w:val="20"/>
          <w:szCs w:val="20"/>
          <w:color w:val="auto"/>
        </w:rPr>
      </w:pPr>
      <w:r>
        <w:rPr>
          <w:rFonts w:ascii="Times New Roman" w:cs="Times New Roman" w:eastAsia="Times New Roman" w:hAnsi="Times New Roman"/>
          <w:sz w:val="18"/>
          <w:szCs w:val="18"/>
          <w:color w:val="auto"/>
        </w:rPr>
        <w:t>We primarily finance our operations through cash flow from operating activities. As of March 27, 2026 and March 28, 2025, we had cash, cash equivalents, and short-term investments of $945.2 million and $950.7 million, respectively, and no outstanding debt.</w:t>
      </w:r>
    </w:p>
    <w:p>
      <w:pPr>
        <w:spacing w:after="0" w:line="54" w:lineRule="exact"/>
        <w:rPr>
          <w:sz w:val="20"/>
          <w:szCs w:val="20"/>
          <w:color w:val="auto"/>
        </w:rPr>
      </w:pPr>
    </w:p>
    <w:p>
      <w:pPr>
        <w:ind w:right="260" w:firstLine="486"/>
        <w:spacing w:after="0" w:line="261" w:lineRule="auto"/>
        <w:rPr>
          <w:sz w:val="20"/>
          <w:szCs w:val="20"/>
          <w:color w:val="auto"/>
        </w:rPr>
      </w:pPr>
      <w:r>
        <w:rPr>
          <w:rFonts w:ascii="Times New Roman" w:cs="Times New Roman" w:eastAsia="Times New Roman" w:hAnsi="Times New Roman"/>
          <w:sz w:val="18"/>
          <w:szCs w:val="18"/>
          <w:color w:val="auto"/>
        </w:rPr>
        <w:t>Our cash and cash equivalents, which primarily consist of cash on hand, demand deposits, and liquid investments with original maturities of three months or less, are placed with banks and other financial institutions. The weighted-average interest rate on our cash and cash equivalents was 3.6% and 3.8% for the three and nine months ended March 27, 2026, respectively, and 4.1% and 4.3% for the three and nine months ended March 28, 2025, respectively.</w:t>
      </w:r>
    </w:p>
    <w:p>
      <w:pPr>
        <w:spacing w:after="0" w:line="7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Our cash investments are made in accordance with an investment policy approved by the audit committee of our board of directors. In general, our investment policy requires that securities purchased be rated A1, P-1, F1 or better. No security may have an effective maturity that exceeds three years. Our investments in fixed income securities are primarily classified as available-for-sale and are recorded at fair value. The cost of securities sold is based on the specific identification method. Unrealized gains and losses on these securities are recorded as other comprehensive income (loss) and are reported as a separate component of shareholders’ equity.</w:t>
      </w:r>
    </w:p>
    <w:p>
      <w:pPr>
        <w:spacing w:after="0" w:line="75"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current cash and cash equivalents, short-term investments, cash flow from operations, and funds available through our credit facility will be sufficient to meet our working capital and capital expenditure needs for at least the next 12 months. Our ability to sustain our working capital position is subject to a number of risks that we discuss in Part II, Item 1A of this Quarterly Report on Form 10-Q. We also believe that our current manufacturing capacity is sufficient to meet our anticipated production requirements for at least the next few quarters. In February 2025, we began construction of a new manufacturing facility of approximately 2.0 million square feet at our Chonburi campus. The total expected cost of the project is approximately $132.5 million (Thai baht 4.45 billion).</w:t>
      </w:r>
    </w:p>
    <w:p>
      <w:pPr>
        <w:spacing w:after="0" w:line="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our cash flows for the periods indicated: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0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3"/>
        </w:trPr>
        <w:tc>
          <w:tcPr>
            <w:tcW w:w="8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8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27, 2026</w:t>
            </w:r>
          </w:p>
        </w:tc>
        <w:tc>
          <w:tcPr>
            <w:tcW w:w="18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March 28, 2025</w:t>
            </w:r>
          </w:p>
        </w:tc>
        <w:tc>
          <w:tcPr>
            <w:tcW w:w="0" w:type="dxa"/>
            <w:vAlign w:val="bottom"/>
          </w:tcPr>
          <w:p>
            <w:pPr>
              <w:spacing w:after="0"/>
              <w:rPr>
                <w:sz w:val="1"/>
                <w:szCs w:val="1"/>
                <w:color w:val="auto"/>
              </w:rPr>
            </w:pPr>
          </w:p>
        </w:tc>
      </w:tr>
      <w:tr>
        <w:trPr>
          <w:trHeight w:val="226"/>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201,758</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center"/>
              <w:ind w:left="434"/>
              <w:spacing w:after="0"/>
              <w:rPr>
                <w:sz w:val="20"/>
                <w:szCs w:val="20"/>
                <w:color w:val="auto"/>
              </w:rPr>
            </w:pPr>
            <w:r>
              <w:rPr>
                <w:rFonts w:ascii="Times New Roman" w:cs="Times New Roman" w:eastAsia="Times New Roman" w:hAnsi="Times New Roman"/>
                <w:sz w:val="18"/>
                <w:szCs w:val="18"/>
                <w:color w:val="auto"/>
                <w:w w:val="99"/>
              </w:rPr>
              <w:t>273,272</w:t>
            </w:r>
          </w:p>
        </w:tc>
        <w:tc>
          <w:tcPr>
            <w:tcW w:w="0" w:type="dxa"/>
            <w:vAlign w:val="bottom"/>
          </w:tcPr>
          <w:p>
            <w:pPr>
              <w:spacing w:after="0"/>
              <w:rPr>
                <w:sz w:val="1"/>
                <w:szCs w:val="1"/>
                <w:color w:val="auto"/>
              </w:rPr>
            </w:pPr>
          </w:p>
        </w:tc>
      </w:tr>
      <w:tr>
        <w:trPr>
          <w:trHeight w:val="230"/>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center"/>
              <w:ind w:left="394"/>
              <w:spacing w:after="0"/>
              <w:rPr>
                <w:sz w:val="20"/>
                <w:szCs w:val="20"/>
                <w:color w:val="auto"/>
              </w:rPr>
            </w:pPr>
            <w:r>
              <w:rPr>
                <w:rFonts w:ascii="Times New Roman" w:cs="Times New Roman" w:eastAsia="Times New Roman" w:hAnsi="Times New Roman"/>
                <w:sz w:val="18"/>
                <w:szCs w:val="18"/>
                <w:color w:val="auto"/>
                <w:w w:val="99"/>
              </w:rPr>
              <w:t>(253,126)</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center"/>
              <w:ind w:left="394"/>
              <w:spacing w:after="0"/>
              <w:rPr>
                <w:sz w:val="20"/>
                <w:szCs w:val="20"/>
                <w:color w:val="auto"/>
              </w:rPr>
            </w:pPr>
            <w:r>
              <w:rPr>
                <w:rFonts w:ascii="Times New Roman" w:cs="Times New Roman" w:eastAsia="Times New Roman" w:hAnsi="Times New Roman"/>
                <w:sz w:val="18"/>
                <w:szCs w:val="18"/>
                <w:color w:val="auto"/>
                <w:w w:val="99"/>
              </w:rPr>
              <w:t>(124,393)</w:t>
            </w:r>
          </w:p>
        </w:tc>
        <w:tc>
          <w:tcPr>
            <w:tcW w:w="0" w:type="dxa"/>
            <w:vAlign w:val="bottom"/>
          </w:tcPr>
          <w:p>
            <w:pPr>
              <w:spacing w:after="0"/>
              <w:rPr>
                <w:sz w:val="1"/>
                <w:szCs w:val="1"/>
                <w:color w:val="auto"/>
              </w:rPr>
            </w:pP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52,322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center"/>
              <w:ind w:left="394"/>
              <w:spacing w:after="0"/>
              <w:rPr>
                <w:sz w:val="20"/>
                <w:szCs w:val="20"/>
                <w:color w:val="auto"/>
              </w:rPr>
            </w:pPr>
            <w:r>
              <w:rPr>
                <w:rFonts w:ascii="Times New Roman" w:cs="Times New Roman" w:eastAsia="Times New Roman" w:hAnsi="Times New Roman"/>
                <w:sz w:val="18"/>
                <w:szCs w:val="18"/>
                <w:color w:val="auto"/>
                <w:w w:val="99"/>
              </w:rPr>
              <w:t>(104,247)</w:t>
            </w: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is net income adjusted for certain non-cash items and changes in certain assets and liabilities. The decrease in cash provided by operating activities during the nine months ended March 27, 2026 as compared to the nine months ended March 28, 2025 was primarily due to (1) an increase in inventories to support higher demand in the next quarter, and (2) an increase in trade receivables due to timing of collection, partially offset by an increase in trade account payables aligned with the increasing volume of inventories.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Investing cash flows consist primarily of investment purchases, sales, maturities, and disposals; and capital expenditures. The decrease in cash used in investing activities for the nine months ended March 27, 2026 as compared to cash used in investing activities for the nine months ended March 28, 2025 was primarily due to an increase in net proceeds of short-term investments, offset by an increase in capital expenditures related to the construction of a new manufacturing building at our Chonburi campus and support certain customers.</w:t>
      </w:r>
    </w:p>
    <w:p>
      <w:pPr>
        <w:spacing w:after="0" w:line="7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Financing cash flows consist primarily of repayment of long-term debt, share repurchases, and withholding tax related to net share settlement of restricted share units. The decrease in cash used in financing activities for the nine months ended March 27, 2026 as compared to the nine months ended March 28, 2025 was primarily due to a decrease in share repurchases, offset by an increase in withholding tax related to net share settlement of restricted share units.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Note 2 of Notes to Unaudited Condensed Consolidated Financial Statements for recent accounting pronouncements that could have an effect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4060"/>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ITEM 3. QUANTITATIVE AND QUALITATIVE DISCLOSURES ABOUT MARKET RISK </w:t>
      </w:r>
      <w:r>
        <w:rPr>
          <w:rFonts w:ascii="Times New Roman" w:cs="Times New Roman" w:eastAsia="Times New Roman" w:hAnsi="Times New Roman"/>
          <w:sz w:val="18"/>
          <w:szCs w:val="18"/>
          <w:b w:val="1"/>
          <w:bCs w:val="1"/>
          <w:i w:val="1"/>
          <w:iCs w:val="1"/>
          <w:color w:val="auto"/>
        </w:rPr>
        <w:t>Interest Rate Risk</w:t>
      </w: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We had cash, cash equivalents, restricted cash and short-term investments totaling $945.9 million and $934.2 million as of March 27, 2026 and June 27, 2025, respectively. We have interest rate risk exposure relating to the interest income generated by excess cash invested in highly liquid investments with maturities of three months or less from the original dates of purchase. The cash, cash equivalents, and short-term investments are held for working capital purposes. We have not used derivative financial instruments in our investment portfolio. We have not been exposed nor do we anticipate being exposed to material risks due to changes in market interest rates. Declines in interest rates, however, will reduce future investment income. If overall interest rates had declined by 10 basis points during the nine months ended March 27, 2026 and March 28, 2025, our interest income would have decreased by approximately $0.7 million for both periods, assuming consistent investment levels.</w:t>
      </w:r>
    </w:p>
    <w:p>
      <w:pPr>
        <w:spacing w:after="0" w:line="18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We maintain an investment portfolio in a variety of financial instruments, including, but not limited to, U.S. government and agency bonds, corporate obligations, money market funds, asset-backed securities, and other investment-grade securities. The majority of these investments pay a fixed rate of interest. The securities in the investment portfolio are subject to market price risk due to changes in interest rates, perceived issuer creditworthiness, marketability, and other factors. These investments are generally classified as available-for-sale and, consequently, are recorded on our unaudited condensed consolidated balance sheets at fair value with unrealized gains or losses reported as a separate component of shareholders’ equity.</w:t>
      </w:r>
    </w:p>
    <w:p>
      <w:pPr>
        <w:spacing w:after="0" w:line="18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Investments in both fixed-rate and floating-rate interest earning instruments carry a degree of interest rate risk. The fair market values of our fixed-rate securities decline if interest rates rise, while floating-rate securities may produce less income than expected if interest rates fall. Due in part to these factors, our future investment income may be less than we expect because of changes in interest rates, or we may suffer losses in principal if forced to sell securities that have experienced a decline in market value because of changes in interest rates.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a result of our foreign operations, we have significant expenses, assets and liabilities that are denominated in foreign currencies. Substantially all of our employees and most of our facilities are located in Thailand and the PRC. Therefore, a substantial portion of our payroll as well as certain other operating expenses are paid in Thai baht and RMB. The significant majority of our revenues are denominated in U.S. dollars because our customer contracts generally provide that our customers will pay us in U.S. dollars.</w:t>
      </w:r>
    </w:p>
    <w:p>
      <w:pPr>
        <w:spacing w:after="0" w:line="180"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As a consequence, our gross profit margins, operating results, profitability and cash flows are adversely impacted when the dollar depreciates relative to the Thai baht or the RMB. We have a particularly significant currency rate exposure to changes in the exchange rate between the Thai baht, the RMB and the U.S. dollar. We must translate foreign currency-denominated results of operations, assets and liabilities for our foreign subsidiaries to U.S. dollars in our unaudited condensed consolidated financial statements. Consequently, increases and decreases in the value of the U.S. dollar compared with such foreign currencies will affect our reported results of operations and the value of our assets and liabilities on our unaudited condensed consolidated balance sheets, even if our results of operations or the value of those assets and liabilities has not changed in its original currency. These transactions could significantly affect the comparability of our results between financial periods or result in significant changes to the carrying value of our assets, liabilities and shareholders’ equity.</w:t>
      </w:r>
    </w:p>
    <w:p>
      <w:pPr>
        <w:spacing w:after="0" w:line="19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attempt to hedge against these exchange rate risks by entering into derivative instruments that are typically one to eighteen months in duration, leaving us exposed to longer term changes in exchange rates. We designated the foreign currency forward contracts used to hedge fluctuations in the U.S. dollar value of forecasted transactions denominated in Thai baht as cash flow hedges, as they qualified for hedge accounting because the hedges are highly effective. While we intend to continue to meet the conditions for hedge accounting, if hedges do not qualify as highly effective, the changes in the fair value of the derivatives used as hedges would be reflected in our earnings. Any gains or losses related to these outstanding foreign currency forward contracts will be recorded in accumulated other comprehensive income (loss) in the unaudited condensed consolidated balance sheets, with subsequent reclassification to the same statement of operations and comprehensive income line item as the earnings effect of hedge items when settled. We recorded an unrealized loss of $4.3 million and unrealized gain of $0.6 million for the nine months ended March 27, 2026 and March 28, 2025, respectively, related to derivatives that are not designated as hedging instruments. As foreign currency exchange rates fluctuate relative to the U.S. dollar, we expect to incur foreign currency translation adjustments and may incur foreign currency exchange losses. For example, a 10% weakening in the U.S. dollar against the Thai baht and the RMB would have resulted in a decrease in our net dollar position of approximately $15.4 million and $9.4 million as of March 27, 2026 and June 27, 2025, respectively. We cannot give any assurance as to the effect that future changes in foreign currency rates will have on our unaudited condensed consolidated financial position, operating results or cash flows.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Credit risk refers to our exposures to financial institutions, suppliers and customers that have in the past and may in the future experience financial difficulty, particularly in light of recent conditions in the credit markets and the global economy. As of March 27, 2026, our cash and cash equivalents were held in deposits and highly liquid investment products with maturities of three months or less with banks and other financial institutions having credit ratings of A minus or above. Our short-term investments as of March 27, 2026 are held in various financial institutions with a maturity limit not to exceed three years, and all securities are rated A1, P-1, F1 or better. We continue to monitor our surplus cash and consider investment in corporate and U.S. government debt as well as certain available-for-sale and held-to-maturity securities in accordance with our investment policy. We generally monitor the financial performance of our suppliers and customers, as well as other factors that may affect their access to capital and liquidity. Presently, we believe that we will not incur material losses due to our exposures to such credit risk.</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pursuant to Rule13a-15(e) and 15d-15(e) under the Securities Exchange Act of 1934 as of the end of the period covered by this Quarterly Report on Form 10-Q. Based on that evaluation, our chief executive officer and chief financial officer concluded that as of the end of the period covered by this Quarterly Report on Form10-Q, our disclosure controls and procedures were effective to provide reasonable assurance that information we are required to disclose in reports that we file or submit under the Securities Exchange Act of 1934 is recorded, processed, summarized and reported within the time periods specified in Securities and Exchange Commission rules and forms, and include controls and procedures designed to ensure that the information required to be disclosed by us in such reports is accumulated and communicated to our management, including our chief executive officer and chief financial officer, as appropriate, to allow timely decisions regarding required disclosures.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three months ended March 27, 2026 that have materially affected, or are reasonably likely to materially affect, our internal control over financial reporting.</w:t>
      </w:r>
    </w:p>
    <w:p>
      <w:pPr>
        <w:spacing w:after="0" w:line="200" w:lineRule="exact"/>
        <w:rPr>
          <w:sz w:val="20"/>
          <w:szCs w:val="20"/>
          <w:color w:val="auto"/>
        </w:rPr>
      </w:pPr>
    </w:p>
    <w:p>
      <w:pPr>
        <w:spacing w:after="0" w:line="2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a variety of international and U.S. laws and regulations relating to the use, disposal, cleanup of and human exposure to hazardous materials. Item 103 of the SEC’s Regulation S-K requires disclosure of certain environmental matters when a governmental authority is a party to the proceedings and the proceedings involve potential monetary sanctions unless we reasonably believe the monetary sanctions, exclusive of interest and costs, will not equal or exceed a threshold which we determine is reasonably designed to result in disclosure of any such proceeding that is material to our business or financial condition. Item 103 states that the disclosure threshold is $0.3 million, or at our election, a threshold that does not exceed the lesser of $1.0 million or one percent of our condensed consolidated current assets. As permitted by Item 103, we have elected to adopt a quantitative threshold for environmental proceedings of $1.0 million. Given the size of our operations, we believe that environmental matters under this threshold are not material to our business or financial condition.</w:t>
      </w:r>
    </w:p>
    <w:p>
      <w:pPr>
        <w:spacing w:after="0" w:line="84" w:lineRule="exact"/>
        <w:rPr>
          <w:sz w:val="20"/>
          <w:szCs w:val="20"/>
          <w:color w:val="auto"/>
        </w:rPr>
      </w:pPr>
    </w:p>
    <w:p>
      <w:pPr>
        <w:ind w:right="280" w:firstLine="486"/>
        <w:spacing w:after="0" w:line="258" w:lineRule="auto"/>
        <w:rPr>
          <w:sz w:val="20"/>
          <w:szCs w:val="20"/>
          <w:color w:val="auto"/>
        </w:rPr>
      </w:pPr>
      <w:r>
        <w:rPr>
          <w:rFonts w:ascii="Times New Roman" w:cs="Times New Roman" w:eastAsia="Times New Roman" w:hAnsi="Times New Roman"/>
          <w:sz w:val="18"/>
          <w:szCs w:val="18"/>
          <w:color w:val="auto"/>
        </w:rPr>
        <w:t>In addition, we are from time to time subject to, and are presently involved in, litigation and other legal proceedings in the ordinary course of business. While it is not possible to determine the outcome of any legal proceedings brought against us, we believe that, except for the matter described above, there are no pending lawsuits or claims that, individually or in the aggregate, may have a material effect on our business, financial condition or operating results. Our views and estimates related to these matters may change in the future, as new events and circumstances arise and as the matters continue to develop.</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ordinary shares involves a high degree of risk. You should carefully consider the following risks, as well as the other information contained in this Quarterly Report on Form 10-Q, including our unaudited condensed consolidated financial statements and the related notes, before investing in our ordinary shares. The risks and uncertainties described below are not the only ones that we may face. Additional risks and uncertainties of which we are unaware, or that we currently deem immaterial, also may become important factors that affect us or our ordinary shares. If any of the following risks actually occur, they may harm our business, financial condition and operating results. In this event, the market price of our ordinary shares could decline, and you could lose some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and Operational Risks</w:t>
      </w:r>
    </w:p>
    <w:p>
      <w:pPr>
        <w:spacing w:after="0" w:line="117" w:lineRule="exact"/>
        <w:rPr>
          <w:sz w:val="20"/>
          <w:szCs w:val="20"/>
          <w:color w:val="auto"/>
        </w:rPr>
      </w:pPr>
    </w:p>
    <w:p>
      <w:pPr>
        <w:ind w:right="2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sales depend on a small number of customers. A reduction in orders from any of these customers, the loss of any of these customers, or a customer exerting significant pricing and margin pressures on us could harm our business, financial condition and operating results.</w:t>
      </w:r>
    </w:p>
    <w:p>
      <w:pPr>
        <w:spacing w:after="0" w:line="15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have depended, and will continue to depend, upon a small number of customers for a significant percentage of our revenues. During the three months ended March 27, 2026 and March 28, 2025, we had three customers that each contributed 10% or more of our revenues. Such customers together accounted for 49.5% and 52.2% of our revenues during the respective periods. During the nine months ended March 27, 2026 and March 28, 2025, we had four and two customers, respectively, that each contributed 10% or more of our revenues. Such customers together accounted for 58.1% and 47.5% of our revenues during the respective periods. Dependence on a small number of customers means that a reduction in orders from, a loss of, or other adverse actions by any one of these customers would reduce our revenues and could have a material adverse effect on our business, financial condition and operating results.</w:t>
      </w:r>
    </w:p>
    <w:p>
      <w:pPr>
        <w:spacing w:after="0" w:line="18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Further, our customer concentration increases the concentration of our accounts receivable and our exposure to payment default by any of our key customers. Many of our existing and potential customers have substantial debt burdens, have experienced financial distress or have static or declining revenues, all of which may be exacerbated by the current global economic downturn and subsequent adverse conditions in the credit markets, as well as the impact of changes to U.S. and international trade policies. Certain of our customers have gone out of business, declared bankruptcy, been acquired, or announced their withdrawal from segments of the optics market. We generate significant accounts payable and inventory for the services that we provide to our customers, which could expose us to substantial and potentially unrecoverable costs if we do not receive payment from our customers.</w:t>
      </w:r>
    </w:p>
    <w:p>
      <w:pPr>
        <w:spacing w:after="0" w:line="187" w:lineRule="exact"/>
        <w:rPr>
          <w:sz w:val="20"/>
          <w:szCs w:val="20"/>
          <w:color w:val="auto"/>
        </w:rPr>
      </w:pPr>
    </w:p>
    <w:p>
      <w:pPr>
        <w:ind w:right="340" w:firstLine="486"/>
        <w:spacing w:after="0" w:line="258" w:lineRule="auto"/>
        <w:rPr>
          <w:sz w:val="20"/>
          <w:szCs w:val="20"/>
          <w:color w:val="auto"/>
        </w:rPr>
      </w:pPr>
      <w:r>
        <w:rPr>
          <w:rFonts w:ascii="Times New Roman" w:cs="Times New Roman" w:eastAsia="Times New Roman" w:hAnsi="Times New Roman"/>
          <w:sz w:val="18"/>
          <w:szCs w:val="18"/>
          <w:color w:val="auto"/>
        </w:rPr>
        <w:t>Our reliance on a small number of customers gives our customers substantial purchasing power and leverage in negotiating contracts with us. In addition, although we enter into master supply agreements with our customers, the level of business to be transacted under those agreements is not guaranteed. Instead, we are awarded business under those agreements on a project-by-project basis. Some of our customers have at times significantly reduced or delayed the volume of manufacturing services that they order from us. If we are unable to maintain our relationships with our existing significant customers, our business, financial condition and operating results could be harmed.</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Consolidation in the markets we serve could harm our business, financial condition and operating results.</w:t>
      </w:r>
    </w:p>
    <w:p>
      <w:pPr>
        <w:spacing w:after="0" w:line="229"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Consolidation in the markets we serve has resulted in a reduction in the number of potential customers for our services. For example, Nokia Corporation completed its acquisition of Infinera Corporation in February 2025; Lumentum Holdings Inc. completed its acquisition of NeoPhotonics Corporation in August 2022; Coherent Corp. (formerly known as II-VI Incorporated) completed its acquisition of Coherent, Inc. in July 2022; and Cisco Systems, Inc. completed its acquisition of Acacia Communications, Inc. in March 2021. In some cases, consolidation among our customers has led to a reduction in demand for our services as customers have acquired the capacity to manufacture products in-house.</w:t>
      </w:r>
    </w:p>
    <w:p>
      <w:pPr>
        <w:spacing w:after="0" w:line="183"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Consolidation among our customers and their customers will continue to adversely affect our business, financial condition and operating results in several ways. Consolidation among our customers and their customers may result in a smaller number of large customers whose size and purchasing power give them increased leverage that may result in, among other things, decreases in our average selling prices. In addition to pricing pressures, this consolidation may also reduce overall demand for our manufacturing services if customers obtain new capacity to manufacture products in-house or discontinue duplicate or competing product lines in order to streamline operations. If demand for our manufacturing services decreases, our business, financial condition and operating results could be harmed.</w:t>
      </w:r>
    </w:p>
    <w:p>
      <w:pPr>
        <w:spacing w:after="0" w:line="183" w:lineRule="exact"/>
        <w:rPr>
          <w:sz w:val="20"/>
          <w:szCs w:val="20"/>
          <w:color w:val="auto"/>
        </w:rPr>
      </w:pPr>
    </w:p>
    <w:p>
      <w:pPr>
        <w:ind w:right="4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optical communications market does not expand as we expect, our business may not grow as fast as we expect, which could adversely impact our business, financial condition and operating results.</w:t>
      </w:r>
    </w:p>
    <w:p>
      <w:pPr>
        <w:spacing w:after="0" w:line="159"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Revenues from optical communications products represented 73.2% and 75.4% of our revenues for the three months ended March 27, 2026 and March 28, 2025, respectively. Our future success as a provider of precision optical, electro-mechanical and electronic manufacturing services for the optical communications market depends on the continued growth of the optics industry and, in particular, the continued expansion of global information networks, particularly those directly or indirectly dependent upon a fiber optic infrastructure. As part of that growth, we anticipate that demand for voice, video, and other data services delivered over high-speed connections (both wired and wireless) will continue to increase. Without network and bandwidth growth, the need for enhanced communications products would be jeopardized. Currently, demand for network services and for high-speed broadband access, in particular, is increasing but growth may be limited by several factors, including, among others: (1) relative strength or weakness of the global economy or the economy in certain countries or regions, (2) an uncertain regulatory environment, and (3) uncertainty regarding long-term sustainable business models as multiple industries, such as the cable, traditional telecommunications, wireless and satellite industries, offer competing content delivery solutions. The optical communications market also has experienced periods of overcapacity, some of which have occurred even during periods of relatively high network usage and bandwidth demands. If the factors described above were to slow, stop or reverse the expansion in the optical communications market, our business, financial condition and operating results would be negatively affected.</w:t>
      </w:r>
    </w:p>
    <w:p>
      <w:pPr>
        <w:spacing w:after="0" w:line="186" w:lineRule="exact"/>
        <w:rPr>
          <w:sz w:val="20"/>
          <w:szCs w:val="20"/>
          <w:color w:val="auto"/>
        </w:rPr>
      </w:pPr>
    </w:p>
    <w:p>
      <w:pPr>
        <w:ind w:right="1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quarterly revenues, gross profit margins and operating results have fluctuated significantly and may continue to do so in the future, which may cause the market price of our ordinary shares to decline or be volatile.</w:t>
      </w:r>
    </w:p>
    <w:p>
      <w:pPr>
        <w:spacing w:after="0" w:line="159"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Our quarterly revenues, gross profit margins, and operating results have fluctuated significantly and may continue to fluctuate significantly in the future. For example, any of the risks described in this “Risk Factors” section and, in particular, the following factors, could cause our revenues, gross profit margins, and operating results to fluctuate from quarter to quarter:</w:t>
      </w:r>
    </w:p>
    <w:p>
      <w:pPr>
        <w:spacing w:after="0" w:line="68"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reduction in customer demand or our ability to fulfill customer orders as a result of disruptions in our supply chain;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cyclicality of the optical communications, automotive, industrial lasers, medical and sensors markets;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favorable pricing for our services;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fluctuations in foreign currency exchange rates;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our headcount and other costs;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mix in our revenues.</w:t>
      </w:r>
    </w:p>
    <w:p>
      <w:pPr>
        <w:spacing w:after="0" w:line="225"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Therefore, we believe that quarter-to-quarter comparisons of our operating results may not be useful in predicting our future operating results. You should not rely on our results for one quarter as any indication of our future performance. Quarterly variations in our operations could result in significant volatility in the market price of our ordinary shares.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 w:firstLine="486"/>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continue diversifying our precision optical and electro-mechanical manufacturing services across other markets within the optics industry, such as the semiconductor processing, biotechnology, metrology and material processing markets, or if these markets do not grow as fast as we expect, our business may not grow as fast as we expect, which could adversely impact our business, financial condition and operating results.</w:t>
      </w:r>
    </w:p>
    <w:p>
      <w:pPr>
        <w:spacing w:after="0" w:line="157"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intend to continue diversifying across other markets within the optics industry, such as the semiconductor processing, biotechnology, metrology, and material processing markets, to reduce our dependence on the optical communications market and to grow our business. Currently, the optical communications market contributes the significant majority of our revenues. There can be no assurance that our efforts to further expand and diversify into other markets within the optics industry will prove successful or that these markets will continue to grow as fast as we expect. If the opportunities presented by these markets prove to be less than anticipated, if we are less successful than expected in diversifying into these markets, or if our margins in these markets prove to be less than expected, our growth may slow or stall, and we may incur costs that are not offset by revenues in these markets, all of which could harm our business, financial condition and operating results.</w:t>
      </w:r>
    </w:p>
    <w:p>
      <w:pPr>
        <w:spacing w:after="0" w:line="185" w:lineRule="exact"/>
        <w:rPr>
          <w:sz w:val="20"/>
          <w:szCs w:val="20"/>
          <w:color w:val="auto"/>
        </w:rPr>
      </w:pPr>
    </w:p>
    <w:p>
      <w:pPr>
        <w:ind w:right="6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competition in our business. If we are unable to compete successfully against our current and future competitors, our business, financial condition and operating results could be harmed.</w:t>
      </w:r>
    </w:p>
    <w:p>
      <w:pPr>
        <w:spacing w:after="0" w:line="15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current and prospective customers tend to evaluate our capabilities against the merits of their internal manufacturing as well as the capabilities of other third-party manufacturers. We believe the internal manufacturing capabilities of current and prospective customers are our primary competition. This competition is particularly strong when our customers have excess manufacturing capacity, as was the case when the markets that we serve experienced a significant downturn in 2008 and 2009 that resulted in underutilized capacity. Should our existing and potential customers have excess manufacturing capacity at their facilities, it could adversely affect our business. In addition, as a result of the 2011 flooding in Thailand, some of our customers began manufacturing products internally or using other third-party manufacturers that were not affected by the flooding. If our customers choose to manufacture products internally rather than to outsource production to us, or choose to outsource to a different third-party manufacturer, our business, financial condition and operating results could be harmed.</w:t>
      </w:r>
    </w:p>
    <w:p>
      <w:pPr>
        <w:spacing w:after="0" w:line="19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Competitors in the market for optical manufacturing services include Benchmark Electronics, Inc., Celestica Inc., InnoLight Technology (Suzhou) Ltd., Jabil Inc., Sanmina Corporation, Venture Corporation Limited and Eoptolink Technology Inc., Ltd. Our customized optics and glass operations face competition from companies such as CASTECH, Inc., Excelitas Technologies Corp. and Photop Technologies, Inc. (a subsidiary of Coherent Corp.). Other existing contract manufacturing companies, original design manufacturers or outsourced semiconductor assembly and test companies could also enter our target markets. In addition, we may face new competitors as we attempt to penetrate new markets.</w:t>
      </w:r>
    </w:p>
    <w:p>
      <w:pPr>
        <w:spacing w:after="0" w:line="183"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Many of our customers and potential competitors have longer operating histories, greater name recognition, larger customer bases and significantly greater resources than we have. These advantages may allow them to devote greater resources than we can to the development and promotion of service offerings that are similar or superior to our service offerings. These competitors may also engage in more extensive research and development, undertake more far-reaching marketing campaigns, adopt more aggressive pricing policies or offer services that achieve greater market acceptance than ours. These competitors may also compete with us by making more attractive offers to our existing and potential employees, suppliers, and strategic partners. Further, consolidation in the optics industry could lead to larger and more geographically diverse competitors. New and increased competition could result in price reductions for our services, reduced gross profit margins or loss of market share. We may not be able to compete successfully against our current and future competitors, and the competitive pressures we face may harm our business, financial condition and operating results.</w:t>
      </w:r>
    </w:p>
    <w:p>
      <w:pPr>
        <w:spacing w:after="0" w:line="188"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Cancellations, delays or reductions of customer orders and the relatively short-term nature of the commitments of our customers could harm our business, financial condition and operating results.</w:t>
      </w:r>
    </w:p>
    <w:p>
      <w:pPr>
        <w:spacing w:after="0" w:line="15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do not typically obtain firm purchase orders or commitments from our customers that extend beyond 13 weeks. While we work closely with our customers to develop forecasts for periods of up to one year, these forecasts are not binding and may be unreliable. Customers may cancel their orders, change production quantities from forecasted volumes or delay production for a number of reasons beyond our control. Any material delay, cancellation or reduction of orders could cause our revenues to decline significantly and could cause us to hold excess materials. Many of our costs and operating expenses are fixed. As a result, a reduction in customer demand could decrease our gross profit and harm our business, financial condition and operating results.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80" w:firstLine="486"/>
        <w:spacing w:after="0" w:line="256" w:lineRule="auto"/>
        <w:rPr>
          <w:sz w:val="20"/>
          <w:szCs w:val="20"/>
          <w:color w:val="auto"/>
        </w:rPr>
      </w:pPr>
      <w:r>
        <w:rPr>
          <w:rFonts w:ascii="Times New Roman" w:cs="Times New Roman" w:eastAsia="Times New Roman" w:hAnsi="Times New Roman"/>
          <w:sz w:val="18"/>
          <w:szCs w:val="18"/>
          <w:color w:val="auto"/>
        </w:rPr>
        <w:t>In addition, we make significant decisions with respect to production schedules, material procurement commitments, personnel needs and other resource requirements based on our estimate of our customers’ requirements. The short-term nature of our customers’ commitments and the possibility of rapid changes in demand for their products reduce our ability to accurately estimate the future requirements of our customers. Inability to forecast the level of customer orders with certainty makes it difficult to allocate resources to specific customers, order appropriate levels of materials and maximize the use of our manufacturing capacity. This could also lead to an inability to meet a spike in production demand, all of which could harm our business, financial condition and operating results.</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exposure to financially troubled customers or suppliers could harm our business, financial condition and operating results.</w:t>
      </w:r>
    </w:p>
    <w:p>
      <w:pPr>
        <w:spacing w:after="0" w:line="229"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Some of our customers and suppliers have in the past and may in the future experience financial difficulty, particularly in light of adverse conditions in the credit markets that have affected access to capital and liquidity. During challenging economic times, our customers may face difficulties in gaining timely access to sufficient credit, which could impact their ability to make timely payments to us. As a result, we devote significant resources to monitor receivables and inventory balances with certain of our customers. If our customers experience financial difficulty, we could have difficulty recovering amounts owed to us from these customers, or demand for our services from these customers could decline. If our suppliers experience financial difficulty, we could have trouble sourcing materials necessary to fulfill production requirements and meet scheduled shipments. Any such financial difficulty could adversely affect our operating results and financial condition by resulting in a reduction in our revenues, a charge for inventory write-offs, a provision for expected credit losses, and larger working capital requirements due to increased days in inventory and days in accounts receivable.</w:t>
      </w:r>
    </w:p>
    <w:p>
      <w:pPr>
        <w:spacing w:after="0" w:line="188" w:lineRule="exact"/>
        <w:rPr>
          <w:sz w:val="20"/>
          <w:szCs w:val="20"/>
          <w:color w:val="auto"/>
        </w:rPr>
      </w:pPr>
    </w:p>
    <w:p>
      <w:pPr>
        <w:ind w:right="22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purchase some of the critical materials used in certain of our products from a single source or a limited number of suppliers. Supply shortages have in the past, and could in the future, impair the quality, reduce the availability or increase the cost of materials, which could harm our revenues, profitability and customer relations.</w:t>
      </w:r>
    </w:p>
    <w:p>
      <w:pPr>
        <w:spacing w:after="0" w:line="1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We rely on a single source or a limited number of suppliers for critical materials used in a significant number of the products we manufacture. We generally purchase these single or limited source materials through standard purchase orders and do not maintain long-term supply agreements with our suppliers. We generally use a rolling 12-month forecast based on anticipated product orders, customer forecasts, product order history, backlog, and warranty and service demand to determine our materials requirements. Lead times for the parts and components that we order vary significantly and depend on factors such as manufacturing cycle times, manufacturing yields, and the availability of raw materials used to produce the parts or components. Historically, we have experienced supply shortages resulting from various causes, including reduced yields by our suppliers, which prevented us from manufacturing products for our customers in a timely manner. The semiconductor supply chain is complex, and, in recent years, there has been a significant global shortage of semiconductors. Demand for consumer electronics surged during the COVID-19 pandemic, which in turn has increased the demand for semiconductors. At the same time, wafer foundries that support chipmakers have not invested enough in recent years to increase capacities to the levels needed to support the increased demand from all of their customers. Further exacerbating the shortage is the long production lead-time for wafers, which can be as long as 30 weeks in some cases. A shortage of semiconductors or other key components can cause a significant disruption to our production schedule and have a substantial adverse effect on our business, financial condition and operating results.</w:t>
      </w:r>
    </w:p>
    <w:p>
      <w:pPr>
        <w:spacing w:after="0" w:line="19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revenues, profitability and customer relations will be harmed by continued fluctuations in the availability of materials, a stoppage or delay of supply, a substitution of more expensive or less reliable parts, the receipt of defective parts or contaminated materials, an increase in the price of supplies, or an inability to obtain reductions in price from our suppliers in response to competitive pressures. We continue to undertake programs to strengthen our supply chain. Nevertheless, we are experiencing, and expect for the foreseeable future to experience, strain on our supply chain, as well as periodic supplier problems. These supply chain issues have impacted, and will continue to impact, our ability to generate revenue. In addition, we have incurred, and expect for the foreseeable future to incur, increased costs related to our efforts to address these problems.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Managing our inventory is complex and may require write-downs due to excess or obsolete inventory, which could cause our operating results to decrease significantly in a given fiscal period.</w:t>
      </w:r>
    </w:p>
    <w:p>
      <w:pPr>
        <w:spacing w:after="0" w:line="15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Managing our inventory is complex. We are generally required to procure materials based upon the anticipated demand of our customers. The inaccuracy of these forecasts or estimates could result in excess supply or shortages of certain materials. Inventory that is not used or expected to be used as and when planned may become excess or obsolete. Generally, we are unable to use most of the materials purchased for one of our customers to manufacture products for any of our other customers. Additionally, we could experience reduced or delayed product shipments or incur additional inventory write-downs and cancellation charges or penalties, which would increase costs and could harm our business, financial condition and operating results. While our agreements with customers are structured to mitigate our risks related to excess or obsolete inventory, enforcement of these provisions may result in material expense, and delay in payment for inventory. If any of our significant customers becomes unable or unwilling to purchase inventory or does not agree to such contractual provisions in the future, our business, financial condition and operating results may be harmed.</w:t>
      </w:r>
    </w:p>
    <w:p>
      <w:pPr>
        <w:spacing w:after="0" w:line="188" w:lineRule="exact"/>
        <w:rPr>
          <w:sz w:val="20"/>
          <w:szCs w:val="20"/>
          <w:color w:val="auto"/>
        </w:rPr>
      </w:pPr>
    </w:p>
    <w:p>
      <w:pPr>
        <w:jc w:val="both"/>
        <w:ind w:right="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adequately expand our manufacturing capacity, we will not be able to grow our business, which would harm our business, financial condition and operating results. Conversely, if we expand too much or too rapidly, we may experience excess capacity, which would harm our business, financial condition and operating results.</w:t>
      </w:r>
    </w:p>
    <w:p>
      <w:pPr>
        <w:spacing w:after="0" w:line="175"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may not be able to pursue many large customer orders or sustain our historical growth rates if we do not have sufficient manufacturing capacity to enable us to commit to provide customers with specified quantities of products. If our customers do not believe that we have sufficient manufacturing capacity, they may: (1) outsource all of their production to another manufacturer that they believe can fulfill all of their production requirements; (2) look to a second manufacturer for the manufacture of additional quantities of the products that we currently manufacture for them; (3) manufacture the products themselves; or (4) decide against using our services for their new products.</w:t>
      </w:r>
    </w:p>
    <w:p>
      <w:pPr>
        <w:spacing w:after="0" w:line="183" w:lineRule="exact"/>
        <w:rPr>
          <w:sz w:val="20"/>
          <w:szCs w:val="20"/>
          <w:color w:val="auto"/>
        </w:rPr>
      </w:pPr>
    </w:p>
    <w:p>
      <w:pPr>
        <w:ind w:right="60" w:firstLine="486"/>
        <w:spacing w:after="0" w:line="281" w:lineRule="auto"/>
        <w:rPr>
          <w:sz w:val="20"/>
          <w:szCs w:val="20"/>
          <w:color w:val="auto"/>
        </w:rPr>
      </w:pPr>
      <w:r>
        <w:rPr>
          <w:rFonts w:ascii="Times New Roman" w:cs="Times New Roman" w:eastAsia="Times New Roman" w:hAnsi="Times New Roman"/>
          <w:sz w:val="17"/>
          <w:szCs w:val="17"/>
          <w:color w:val="auto"/>
        </w:rPr>
        <w:t>We most recently expanded our manufacturing capacity by building a new facility at our Chonburi campus in Thailand in 2022, and we began construction of a new manufacturing building at our Chonburi campus in February 2025. We may continue to devote significant resources to the expansion of our manufacturing capacity, and any such expansion will be expensive, will require management’s time and may disrupt our operations. In the event we are unsuccessful in our attempts to expand our manufacturing capacity, our business, financial condition and operating results could be harmed.</w:t>
      </w:r>
    </w:p>
    <w:p>
      <w:pPr>
        <w:spacing w:after="0" w:line="164"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However, if we successfully expand our manufacturing capacity but are unable to promptly utilize the additional space due to reduced demand for our services or an inability to win new projects, add new customers or penetrate new markets, or if the optics industry does not grow as we expect, we may experience periods of excess capacity, which could harm our business, financial condition and operating results.</w:t>
      </w:r>
    </w:p>
    <w:p>
      <w:pPr>
        <w:spacing w:after="0" w:line="172"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experience manufacturing yields that are lower than expected, potentially resulting in increased costs, which could harm our business, operating results and customer relations.</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Manufacturing yields depend on a number of factors, including the following:</w:t>
      </w:r>
    </w:p>
    <w:p>
      <w:pPr>
        <w:spacing w:after="0" w:line="117"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of input, materials and equipment;</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and feasibility of our customer’s design;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repeatability and complexity of the manufacturing process;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experience and quality of training of our manufacturing and engineering teams;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monitoring of the manufacturing environment.</w:t>
      </w:r>
    </w:p>
    <w:p>
      <w:pPr>
        <w:spacing w:after="0" w:line="225"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Lower volume production due to continually changing designs generally results in lower yields. Manufacturing yields and margins can also be lower if we receive or inadvertently use defective or contaminated materials from our suppliers. In addition, our customer contracts typically provide that we will supply products at a fixed price each quarter, which assumes specific production yields and quality metrics. If we do not meet the yield assumptions and quality metrics used in calculating the price of a product, we may not be able to recover the costs associated with our failure to do so. Consequently, our operating results and profitability may be harmed.</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1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products that we manufacture contain defects, we could incur significant correction costs, demand for our services may decline and we may be exposed to product liability and product warranty claims, which could harm our business, financial condition, operating results and customer relations.</w:t>
      </w:r>
    </w:p>
    <w:p>
      <w:pPr>
        <w:spacing w:after="0" w:line="175"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7"/>
          <w:szCs w:val="17"/>
          <w:color w:val="auto"/>
        </w:rPr>
        <w:t>We manufacture products to our customers’ specifications, and our manufacturing processes and facilities must comply with applicable statutory and regulatory requirements. In addition, our customers’ products and the manufacturing processes that we use to produce them are often complex. As a result, products that we manufacture may at times contain manufacturing or design defects, and our manufacturing processes may be subject to errors or fail to be in compliance with applicable statutory or regulatory requirements. Additionally, not all defects are immediately detectable. The testing procedures of our customers are generally limited to the evaluation of the products that we manufacture under likely and foreseeable failure scenarios. For various reasons (including, among others, the occurrence of performance problems that are unforeseeable at the time of testing or that are detected only when products are fully deployed and operated under peak stress conditions), these products may fail to perform as expected after their initial acceptance by a customer.</w:t>
      </w:r>
    </w:p>
    <w:p>
      <w:pPr>
        <w:spacing w:after="0" w:line="171" w:lineRule="exact"/>
        <w:rPr>
          <w:sz w:val="20"/>
          <w:szCs w:val="20"/>
          <w:color w:val="auto"/>
        </w:rPr>
      </w:pPr>
    </w:p>
    <w:p>
      <w:pPr>
        <w:ind w:firstLine="486"/>
        <w:spacing w:after="0" w:line="269" w:lineRule="auto"/>
        <w:rPr>
          <w:sz w:val="20"/>
          <w:szCs w:val="20"/>
          <w:color w:val="auto"/>
        </w:rPr>
      </w:pPr>
      <w:r>
        <w:rPr>
          <w:rFonts w:ascii="Times New Roman" w:cs="Times New Roman" w:eastAsia="Times New Roman" w:hAnsi="Times New Roman"/>
          <w:sz w:val="17"/>
          <w:szCs w:val="17"/>
          <w:color w:val="auto"/>
        </w:rPr>
        <w:t>We generally provide a warranty of between one to five years on the products that we manufacture for our customers. This warranty typically guarantees that products will conform to our customers’ specifications and be free from defects in workmanship. Defects in the products we manufacture, whether caused by a design, engineering, manufacturing or component failure or by deficiencies in our manufacturing processes, and whether such defects are discovered during or after the warranty period, could result in product or component failures, which may damage our business reputation, whether or not we are indemnified for such failures. We could also incur significant costs to repair or replace defective products under warranty, particularly when such failures occur in installed systems. In some instances, we may also be required to incur costs to repair or replace defective products outside of the warranty period in the event that a recurring defect is discovered in a certain percentage of a customer’s products delivered over an agreed upon period of time. We have experienced product or component failures in the past and remain exposed to such failures, as the products that we manufacture are widely deployed throughout the world in multiple environments and applications. Further, due to the difficulty in determining whether a given defect resulted from our customer’s design of the product or our manufacturing process, we may be exposed to product liability or product warranty claims arising from defects that are not attributable to our manufacturing process. In addition, if the number or type of defects exceeds certain percentage limitations contained in our contractual arrangements, we may be required to conduct extensive failure analysis, re-qualify for production or cease production of the specified products.</w:t>
      </w:r>
    </w:p>
    <w:p>
      <w:pPr>
        <w:spacing w:after="0" w:line="17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Product liability claims may include liability for personal injury or property damage. Product warranty claims may include liability for a recall, repair or replacement of a product or component. Although liability for these claims is generally assigned to our customers in our contracts, even where they have assumed liability our customers may not, or may not have the resources to, satisfy claims for costs or liabilities arising from a defective product. Additionally, under one of our contracts, in the event the products we manufacture do not meet the end-customer’s testing requirements or otherwise fail, we may be required to pay penalties to our customer, including a fee during the time period that the customer or end-customer’s production line is not operational as a result of the failure of the products that we manufacture, all of which could harm our business, operating results and customer relations. If we engineer or manufacture a product that is found to cause any personal injury or property damage or is otherwise found to be defective, we could incur significant costs to resolve the claim. While we maintain insurance for certain product liability claims, we do not maintain insurance for any recalls and, therefore, would be required to pay any associated costs that are determined to be our responsibility. A successful product liability or product warranty claim in excess of our insurance coverage or any material claim for which insurance coverage is denied, limited, is not available or has not been obtained could harm our business, financial condition and operating results.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If we fail to attract additional skilled employees or retain key personnel, our business, financial condition and operating results could suffer.</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Our future success depends, in part, upon our ability to attract additional skilled employees and retain our current key personnel. We have identified several areas where we intend to expand our hiring, including business development, finance, human resources, operations and supply chain management. We may not be able to hire and retain such personnel at compensation levels consistent with our existing compensation and salary structure. Our future also depends on the continued contributions of our executive management team and other key management and technical personnel, each of whom would be difficult to replace. Although we have key person life insurance policies on some of our executive officers, the loss of any of our executive officers or key personnel or the inability to continue to attract qualified personnel could harm our business, financial condition and operating results.</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International Operations</w:t>
      </w:r>
    </w:p>
    <w:p>
      <w:pPr>
        <w:spacing w:after="0" w:line="225" w:lineRule="exact"/>
        <w:rPr>
          <w:sz w:val="20"/>
          <w:szCs w:val="20"/>
          <w:color w:val="auto"/>
        </w:rPr>
      </w:pPr>
    </w:p>
    <w:p>
      <w:pPr>
        <w:ind w:right="6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Fluctuations in foreign currency exchange rates and changes in governmental policies regarding foreign currencies could increase our operating costs, which would adversely affect our operating results.</w:t>
      </w:r>
    </w:p>
    <w:p>
      <w:pPr>
        <w:spacing w:after="0" w:line="15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Volatility in the functional and non-functional currencies of our entities and the U.S. dollar could seriously harm our business, financial condition and operating results. The primary impact of currency exchange fluctuations is on our cash, receivables, and payables of our operating entities. We may experience significant unexpected losses from fluctuations in exchange rates. For example, in the three months ended December 26, 2025, we experienced a $3.2 million foreign exchange loss, which negatively affected our net income per share for the same period by $0.09.</w:t>
      </w:r>
    </w:p>
    <w:p>
      <w:pPr>
        <w:spacing w:after="0" w:line="180"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Our customer contracts generally require that our customers pay us in U.S. dollars. However, the majority of our payroll and other operating expenses are paid in Thai baht. As a result of these arrangements, we have significant exposure to changes in the exchange rate between the Thai baht and the U.S. dollar, and our operating results are adversely impacted when the U.S. dollar depreciates relative to the Thai baht and other currencies. As of March 27, 2026, the U.S. dollar had depreciated approximately 9.7% against the Thai baht since March 29, 2024. While we attempt to hedge against certain exchange rate risks, we typically enter into hedging contracts with maturities of up to 12 months, leaving us exposed to longer term changes in exchange rates.</w:t>
      </w:r>
    </w:p>
    <w:p>
      <w:pPr>
        <w:spacing w:after="0" w:line="187" w:lineRule="exact"/>
        <w:rPr>
          <w:sz w:val="20"/>
          <w:szCs w:val="20"/>
          <w:color w:val="auto"/>
        </w:rPr>
      </w:pPr>
    </w:p>
    <w:p>
      <w:pPr>
        <w:ind w:right="260" w:firstLine="486"/>
        <w:spacing w:after="0" w:line="254" w:lineRule="auto"/>
        <w:rPr>
          <w:sz w:val="20"/>
          <w:szCs w:val="20"/>
          <w:color w:val="auto"/>
        </w:rPr>
      </w:pPr>
      <w:r>
        <w:rPr>
          <w:rFonts w:ascii="Times New Roman" w:cs="Times New Roman" w:eastAsia="Times New Roman" w:hAnsi="Times New Roman"/>
          <w:sz w:val="18"/>
          <w:szCs w:val="18"/>
          <w:color w:val="auto"/>
        </w:rPr>
        <w:t>Additionally, we have significant exposure to changes in the exchange rate between the Chinese Renminbi (“RMB”) and the U.S. dollar. The expenses of our subsidiaries located in the PRC are denominated in RMB. Currently, RMB are convertible in connection with trade and service-related foreign exchange transactions, foreign debt service, and payment of dividends. The PRC government may at its discretion restrict access in the future to foreign currencies for current account transactions. If this occurs, our PRC subsidiary may not be able to pay us dividends in U.S. dollars without prior approval from the PRC State Administration of Foreign Exchange. In addition, conversion of RMB for most capital account items, including direct investments, is still subject to government approval in the PRC. This restriction may limit our ability to invest the earnings of our PRC subsidiary. As of March 27, 2026, the U.S. dollar had depreciated approximately 4.5% against the RMB since March 29, 2024. There remains significant international pressure on the PRC government to adopt a substantially more liberalized currency policy. Any appreciation in the value of the RMB against the U.S. dollar could negatively impact our operating results.</w:t>
      </w:r>
    </w:p>
    <w:p>
      <w:pPr>
        <w:spacing w:after="0" w:line="184" w:lineRule="exact"/>
        <w:rPr>
          <w:sz w:val="20"/>
          <w:szCs w:val="20"/>
          <w:color w:val="auto"/>
        </w:rPr>
      </w:pPr>
    </w:p>
    <w:p>
      <w:pPr>
        <w:ind w:right="2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conduct operations in a number of countries, which creates logistical and communications challenges for us and exposes us to other risks and challenges that could harm our business, financial condition and operating results.</w:t>
      </w:r>
    </w:p>
    <w:p>
      <w:pPr>
        <w:spacing w:after="0" w:line="15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vast majority of our operations, including manufacturing and customer support, are located primarily in the Asia- Pacific region. The distances between Thailand, the PRC and our customers and suppliers globally create a number of logistical and communications challenges for us, including managing operations across multiple time zones, directing the manufacture and delivery of products across significant distances, coordinating the procurement of raw materials and their delivery to multiple locations and coordinating the activities and decisions of our management team, the members of which are based in different countries.</w:t>
      </w:r>
    </w:p>
    <w:p>
      <w:pPr>
        <w:spacing w:after="0" w:line="18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customers are located throughout the world, and our principal manufacturing facilities are located in Thailand. Revenues from the bill-to-location of customers outside of North America accounted for 47.9% and 53.8% of our revenues for the three months ended March 27, 2026 and March 28, 2025, respectively. We expect that revenues from the bill-to-location of customers outside of North America will continue to account for a significant portion of our revenues. Our customers also depend on international sales, which further exposes us to the risks associated with international operations. Conducting business outside the United States subjects us to a number of risks and challenges, including:</w:t>
      </w:r>
    </w:p>
    <w:p>
      <w:pPr>
        <w:spacing w:after="0" w:line="75" w:lineRule="exact"/>
        <w:rPr>
          <w:sz w:val="20"/>
          <w:szCs w:val="20"/>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 variety of domestic and foreign laws and regulations, including trade regulatory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 changes in a specific country or region’s economic conditions, such as recession;</w:t>
      </w:r>
    </w:p>
    <w:p>
      <w:pPr>
        <w:spacing w:after="0" w:line="117" w:lineRule="exact"/>
        <w:rPr>
          <w:rFonts w:ascii="Times New Roman" w:cs="Times New Roman" w:eastAsia="Times New Roman" w:hAnsi="Times New Roman"/>
          <w:sz w:val="18"/>
          <w:szCs w:val="18"/>
          <w:color w:val="auto"/>
        </w:rPr>
      </w:pPr>
    </w:p>
    <w:p>
      <w:pPr>
        <w:ind w:left="980" w:hanging="486"/>
        <w:spacing w:after="0" w:line="261"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restrictions on our ability to sell to foreign customers where sales of products and the provision of services may require export licenses or are prohibited by government action (for example, the U.S. Department of Commerce has prohibited the export and sale of a broad category of U.S. products, as well as the provision of services, to ZTE Corporation and to Huawei, both of which are customers of certain of our customers);</w:t>
      </w:r>
    </w:p>
    <w:p>
      <w:pPr>
        <w:spacing w:after="0" w:line="71"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protection of intellectual property rights in some countries; and</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980" w:right="320" w:hanging="486"/>
        <w:spacing w:after="0" w:line="312" w:lineRule="auto"/>
        <w:tabs>
          <w:tab w:leader="none" w:pos="975"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legal and economic instability, foreign armed conflicts (such as the U.S.-Iran war, the Israel-Hamas war, and the Russia-Ukraine war), and the impact of regional and global infectious illnesses in the countries in which we and our customers and suppliers are located.</w:t>
      </w:r>
    </w:p>
    <w:p>
      <w:pPr>
        <w:spacing w:after="0" w:line="14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failure to manage the risks and challenges associated with our international operations could have a material adverse effect on our business.</w:t>
      </w:r>
    </w:p>
    <w:p>
      <w:pPr>
        <w:spacing w:after="0" w:line="221" w:lineRule="exact"/>
        <w:rPr>
          <w:sz w:val="20"/>
          <w:szCs w:val="20"/>
          <w:color w:val="auto"/>
        </w:rPr>
      </w:pPr>
    </w:p>
    <w:p>
      <w:pPr>
        <w:ind w:right="6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in several jurisdictions that subject us to a variety of risks, including liability, impairment of our ability to compete in international markets, and decreased sales and customer orders.</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are subject to governmental export and import controls in Thailand, the PRC, Israel and the United States that may limit our business opportunities. Various countries regulate the import of certain technologies and have enacted laws or taken actions that could limit (1) our ability to export or sell the products we manufacture and (2) our customers’ ability to export or sell products that we manufacture for them. The export of certain technologies from the United States and other nations to the PRC is barred by applicable export controls, and similar prohibitions could be extended to Thailand, thereby limiting our ability to manufacture certain products. Any change in export or import regulations or related legislation, shift in approach to the enforcement of existing regulations, or change in the countries, persons or technologies targeted by such regulations could limit our ability to offer our manufacturing services to existing or potential customers, which could harm our business, financial condition and operating results.</w:t>
      </w:r>
    </w:p>
    <w:p>
      <w:pPr>
        <w:spacing w:after="0" w:line="189"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For example, the May 2019 addition of Huawei and certain affiliates by the U.S. Commerce Department’s Bureau of Industry and Security ("BIS") to the BIS Entity List denied Huawei the ability to purchase products, software and technology that are subject to U.S. Export Administration Regulations. Although we do not sell directly to Huawei, some of our customers do sell to Huawei (and its affiliates) directly. To ensure compliance, some of our customers immediately suspended shipments to Huawei in order to assess whether their products were subject to the restrictions resulting from the ban. This had an immediate impact on our customer orders in the three months ended June 28, 2019, which affected our revenue for that quarter. We expect this ban to continue to adversely affect orders from our customers for the foreseeable future.</w:t>
      </w:r>
    </w:p>
    <w:p>
      <w:pPr>
        <w:spacing w:after="0" w:line="183" w:lineRule="exact"/>
        <w:rPr>
          <w:sz w:val="20"/>
          <w:szCs w:val="20"/>
          <w:color w:val="auto"/>
        </w:rPr>
      </w:pPr>
    </w:p>
    <w:p>
      <w:pPr>
        <w:ind w:right="1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changes in U.S. and international trade policies, including new or increased tariffs on materials that we use in manufacturing, which could adversely affect our business, financial condition and operating results.</w:t>
      </w:r>
    </w:p>
    <w:p>
      <w:pPr>
        <w:spacing w:after="0" w:line="15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Our business may be adversely affected by evolving global trade policies, including tariffs and other trade restrictions. We are subject to risks associated with changes in international trade policies, regulations, and relationships. In recent years, multiple countries, including the United States, the PRC, and members of the European Union, among others have enacted tariffs, export controls, quotas, and other forms of trade restrictions on a variety of goods and services. These measures have led to increased costs, supply chain disruptions, and reduced demand across several industries. Although certain tariffs have been reduced or delayed, the potential for future escalation or the imposition of new trade restrictions remains. Ongoing or future trade disputes may impact the availability and cost of materials used in our manufacturing processes. In some cases, suppliers may struggle to meet increased demand resulting from accelerated purchasing ahead of anticipated policy changes, further exacerbating supply chain instability. Additionally, retaliatory actions or changes in trade policies by foreign governments may reduce the demand for our customers’ products in impacted regions, which could lead to reduced orders and revenue for us. If we are unable to mitigate the effects of increased costs or pass them on to our customers, our gross margins, financial condition, and results of operations could be materially and adversely affected.</w:t>
      </w:r>
    </w:p>
    <w:p>
      <w:pPr>
        <w:spacing w:after="0" w:line="194"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We cannot predict the outcome of current or future trade negotiations, the timing of any policy changes, or the impact such changes may have on our industry, supply chain, or customer base.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3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Political unrest and demonstrations, as well as changes in the political, social, business or economic conditions in Thailand, could harm our business, financial condition and operating results.</w:t>
      </w:r>
    </w:p>
    <w:p>
      <w:pPr>
        <w:spacing w:after="0" w:line="159"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 majority of our assets and manufacturing operations are located in Thailand. Therefore, political, social, business and economic conditions in Thailand have a significant effect on our business. Any changes to tax regimes, laws, exchange controls or political action in Thailand may harm our business, financial condition and operating results.</w:t>
      </w:r>
    </w:p>
    <w:p>
      <w:pPr>
        <w:spacing w:after="0" w:line="176"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Thailand has a history of political unrest that includes the involvement of the military as an active participant in the ruling government. In recent years, political unrest in the country has sparked political demonstrations and, in some instances, violence. Any future political instability in Thailand could prevent shipments from entering or leaving the country, disrupt our ability to manufacture products in Thailand, and force us to transfer our operations to more stable, and potentially more costly, regions, which would harm our business, financial condition and operating results.</w:t>
      </w:r>
    </w:p>
    <w:p>
      <w:pPr>
        <w:spacing w:after="0" w:line="180"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Further, the Thai government may raise the minimum wage standards for labor and could repeal certain promotional certificates that we have received or tax holidays for certain export and value added taxes that we enjoy, either preventing us from engaging in our current or anticipated activities or subjecting us to higher tax rates.</w:t>
      </w:r>
    </w:p>
    <w:p>
      <w:pPr>
        <w:spacing w:after="0" w:line="172" w:lineRule="exact"/>
        <w:rPr>
          <w:sz w:val="20"/>
          <w:szCs w:val="20"/>
          <w:color w:val="auto"/>
        </w:rPr>
      </w:pPr>
    </w:p>
    <w:p>
      <w:pPr>
        <w:ind w:right="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continue to invest in our manufacturing operations in the PRC, which will continue to expose us to risks inherent in doing business in the PRC, any of which risks could harm our business, financial condition and operating results.</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anticipate that we will continue to invest in our customized optics manufacturing facilities located in Fuzhou, the PRC. Because these operations are located in the PRC, they are subject to greater political, legal and economic risks than the geographies in which the facilities of many of our competitors and customers are located. In particular, the political and economic climate in the PRC (both at national and regional levels) is fluid and unpredictable. A large part of the PRC’s economy is still being operated under varying degrees of control by the PRC government. By imposing industrial policies and other economic measures, such as control of foreign exchange, taxation, import and export tariffs, environmental regulations, land use rights, intellectual property and restrictions on foreign participation in the domestic market of various industries, the PRC government exerts considerable direct and indirect influence on the development of the PRC economy. Many of the economic reforms carried out by the PRC government are unprecedented or experimental and are expected to change further. Any changes to the political, legal or economic climate in the PRC could harm our business, financial condition and operating results.</w:t>
      </w:r>
    </w:p>
    <w:p>
      <w:pPr>
        <w:spacing w:after="0" w:line="188"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Our PRC subsidiary is a “wholly foreign-owned enterprise” and is therefore subject to laws and regulations applicable to foreign investment in the PRC, in general, and laws and regulations applicable to wholly foreign-owned enterprises, in particular. The PRC has made significant progress in the promulgation of laws and regulations pertaining to economic matters such as corporate organization and governance, foreign investment, commerce, taxation and trade. However, the promulgation of new laws, changes in existing laws and abrogation of local regulations by national laws may have a negative impact on our business and prospects. In addition, these laws and regulations are relatively new, and published cases are limited in volume and non-binding. Therefore, the interpretation and enforcement of these laws and regulations involve significant uncertainties. Laws may be changed with little or no prior notice, for political or other reasons. These uncertainties could limit the legal protections available to foreign investors. Furthermore, any litigation in the PRC may be protracted and result in substantial costs and diversion of resources and management’s attention.</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5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Natural disasters, epidemics, acts of terrorism and political and economic developments could harm our business, financial condition and operating results.</w:t>
      </w:r>
    </w:p>
    <w:p>
      <w:pPr>
        <w:spacing w:after="0" w:line="15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Natural disasters could severely disrupt our manufacturing operations and increase our supply chain costs. These events, over which we have little or no control, could cause a decrease in demand for our services, make it difficult or impossible for us to manufacture and deliver products or for our suppliers to deliver components allowing us to manufacture those products, require large expenditures to repair or replace our facilities, or create delays and inefficiencies in our supply chain. For example, the 2011 flooding in Thailand forced us to temporarily shut down all of our manufacturing facilities in Thailand and cease production permanently at our former Chokchai facility, which adversely affected our ability to meet our customers’ demands during fiscal year 2012.</w:t>
      </w:r>
    </w:p>
    <w:p>
      <w:pPr>
        <w:spacing w:after="0" w:line="187"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In some countries in which we operate, including the PRC, the U.S., and Thailand, outbreaks of infectious diseases such as COVID-19, H1N1 influenza virus, severe acute respiratory syndrome or bird flu could disrupt our manufacturing operations, reduce demand for our customers’ products and increase our supply chain costs. For example, the outbreak of COVID-19 resulted in a two-week suspension of operations at our facility in Fuzhou, the PRC in February 2020 and caused labor shortages for us and some of our suppliers and customers in the PRC during the three months ended March 27, 2020, which negatively affected our revenues during the same period.</w:t>
      </w:r>
    </w:p>
    <w:p>
      <w:pPr>
        <w:spacing w:after="0" w:line="183" w:lineRule="exact"/>
        <w:rPr>
          <w:sz w:val="20"/>
          <w:szCs w:val="20"/>
          <w:color w:val="auto"/>
        </w:rPr>
      </w:pPr>
    </w:p>
    <w:p>
      <w:pPr>
        <w:ind w:right="20" w:firstLine="486"/>
        <w:spacing w:after="0" w:line="272" w:lineRule="auto"/>
        <w:rPr>
          <w:sz w:val="20"/>
          <w:szCs w:val="20"/>
          <w:color w:val="auto"/>
        </w:rPr>
      </w:pPr>
      <w:r>
        <w:rPr>
          <w:rFonts w:ascii="Times New Roman" w:cs="Times New Roman" w:eastAsia="Times New Roman" w:hAnsi="Times New Roman"/>
          <w:sz w:val="17"/>
          <w:szCs w:val="17"/>
          <w:color w:val="auto"/>
        </w:rPr>
        <w:t>In addition, increased international political instability, the threat or occurrence of terrorist attacks, conflicts in the Middle East, Asia and Europe (including the U.S.-Iran war, the Israel-Hamas war, and the Russia-Ukraine war), strained international relations arising from these conflicts and the related decline in consumer confidence and economic weakness, may hinder our ability to do business. Any escalation in these events or similar future events may disrupt our operations and the operations of our customers and suppliers and may affect the availability of materials needed for our manufacturing services. Such events may also disrupt the transportation of materials to our manufacturing facilities and finished products to our customers. These events have had, and may continue to have, an adverse impact on the U.S. and world economy in general, and customer confidence and spending in particular, which in turn could adversely affect our total revenues and operating results. The impact of these events on the volatility of the U.S. and world financial markets also could increase the volatility of the market price of our ordinary shares and may limit the capital resources available to us, our customers and our suppliers.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Risks</w:t>
      </w:r>
    </w:p>
    <w:p>
      <w:pPr>
        <w:spacing w:after="0" w:line="225" w:lineRule="exact"/>
        <w:rPr>
          <w:sz w:val="20"/>
          <w:szCs w:val="20"/>
          <w:color w:val="auto"/>
        </w:rPr>
      </w:pPr>
    </w:p>
    <w:p>
      <w:pPr>
        <w:ind w:right="3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worldwide economic conditions (including inflation and supply chain disruptions) may negatively affect our business, financial condition and operating results.</w:t>
      </w:r>
    </w:p>
    <w:p>
      <w:pPr>
        <w:spacing w:after="0" w:line="15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current volatility and adverse conditions in the capital and credit markets have negatively affected levels of business and consumer spending, heightening concerns about the likelihood of a global recession and potential default of various national bonds and debt backed by individual countries. Such developments, as well as the policies impacting these, could adversely affect our financial results. Uncertainty about worldwide economic conditions poses a risk as businesses may further reduce or postpone spending in response to reduced budgets, tight credit, negative financial news and declines in income or asset values, which could adversely affect our business, financial condition and operating results and increase the volatility of our share price. In addition, our ability to access capital markets may be restricted, which could have an impact on our ability to react to changing economic and business conditions and could also adversely affect our business, financial condition and operating results.</w:t>
      </w:r>
    </w:p>
    <w:p>
      <w:pPr>
        <w:spacing w:after="0" w:line="18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In 2022 and 2023, inflation increased globally to levels not seen in decades. Although inflation rates have recently declined, inflation can adversely affect us by increasing the costs of labor and other expenses. There is no assurance that our revenues will increase at the same rate to maintain the same level of profitability. Inflation and government efforts to combat inflation, such as raising the benchmark interest rate, could increase market volatility and have an adverse effect on the financial market and global economy. In addition, we expect that disruptions in our supply chain and fluctuations in the availability of parts and materials will continue to have a significant impact on our ability to generate revenue, despite strong demand from our customers. Such adverse conditions could negatively impact demand for our products, which could adversely affect our business, financial condition and operating results.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capital when desired on favorable terms, if at all, or without dilution to our shareholders.</w:t>
      </w:r>
    </w:p>
    <w:p>
      <w:pPr>
        <w:spacing w:after="0" w:line="229"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We anticipate that our current cash and cash equivalents, together with cash provided by operating activities and funds available through our working capital and credit facilities, will be sufficient to meet our current and anticipated needs for general corporate purposes for at least the next 12 months. However, we operate in a market that makes our prospects difficult to evaluate. It is possible that we may not generate sufficient cash flow from operations or otherwise have the capital resources to meet our future capital needs. If this occurs, we may need additional financing to execute on our current or future business strategies.</w:t>
      </w:r>
    </w:p>
    <w:p>
      <w:pPr>
        <w:spacing w:after="0" w:line="183"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Furthermore, if we raise additional funds through the issuance of equity or convertible debt securities, the percentage ownership of our shareholders could be significantly diluted, and these newly issued securities may have rights, preferences or privileges senior to those of existing shareholders. If adequate additional funds are not available or are not available on acceptable terms, if and when needed, our ability to fund our operations, take advantage of unanticipated opportunities, develop or enhance our manufacturing services, hire additional technical and other personnel, or otherwise respond to competitive pressures could be significantly limited.</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investment portfolio may become impaired by deterioration of the capital markets.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use professional investment management firms to manage our excess cash and cash equivalents. Our short-term investments as of March 27, 2026 are primarily investments in a fixed income portfolio, including liquidity funds, certificates of deposit and time deposits, corporate debt securities, and U.S. agency and U.S. Treasury securities. Our investment portfolio may become impaired by deterioration of the capital markets. We follow an established investment policy and set of guidelines to monitor and help mitigate our exposure to interest rate and credit risk. The policy sets forth credit quality standards and limits our exposure to any one issuer, as well as our maximum exposure to various asset classes. The policy also provides that we may not invest in short-term investments with a maturity in excess of three years.</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Should financial market conditions worsen, investments in some financial instruments may pose risks arising from market liquidity and credit concerns. In addition, any deterioration of the capital markets could cause our other income and expense to vary from expectations. As of March 27, 2026, we did not record any impairment charges associated with our portfolio of short-term investments, and although we believe our current investment portfolio has little risk of material impairment, we cannot predict future market conditions or market liquidity, or credit availability, and can provide no assurance that our investment portfolio will remain materially unimpaired.</w:t>
      </w:r>
    </w:p>
    <w:p>
      <w:pPr>
        <w:spacing w:after="0" w:line="179" w:lineRule="exact"/>
        <w:rPr>
          <w:sz w:val="20"/>
          <w:szCs w:val="20"/>
          <w:color w:val="auto"/>
        </w:rPr>
      </w:pPr>
    </w:p>
    <w:p>
      <w:pPr>
        <w:ind w:right="6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fully insured against all potential losses. Natural disasters or other catastrophes could adversely affect our business, financial condition and operating results.</w:t>
      </w:r>
    </w:p>
    <w:p>
      <w:pPr>
        <w:spacing w:after="0" w:line="15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current property and casualty insurance covers loss or damage to our property and third-party property over which we have custody and control, as well as losses associated with business interruption, subject to specified exclusions and limitations such as coinsurance, facilities location sub-limits and other policy limitations and covenants. Even with insurance coverage, natural disasters or other catastrophic events, including acts of war, could cause us to suffer substantial losses in our operational capacity and could also lead to a loss of opportunity and to a potential adverse impact on our relationships with our existing customers resulting from our inability to produce products for them, for which we might not be compensated by existing insurance. This in turn could have a material adverse effect on our business, financial condition and operating results.</w:t>
      </w:r>
    </w:p>
    <w:p>
      <w:pPr>
        <w:spacing w:after="0" w:line="183" w:lineRule="exact"/>
        <w:rPr>
          <w:sz w:val="20"/>
          <w:szCs w:val="20"/>
          <w:color w:val="auto"/>
        </w:rPr>
      </w:pPr>
    </w:p>
    <w:p>
      <w:pPr>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inherent uncertainties involved in estimates, judgments and assumptions used in the preparation of financial statements in accordance with U.S. GAAP. Any changes in estimates, judgments and assumptions could have a material adverse effect on our business, financial condition and operating results.</w:t>
      </w:r>
    </w:p>
    <w:p>
      <w:pPr>
        <w:spacing w:after="0" w:line="175"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involves making estimates, judgments and assumptions that affect reported amounts of assets (including intangible assets), liabilities and related reserves, revenues, expenses and income. Estimates, judgments and assumptions are inherently subject to change in the future, and any such changes could result in corresponding changes to the amounts of assets, liabilities, revenues, expenses and income. Any such changes could have a material adverse effect on our business, financial condition and operating results.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 and Cybersecurity Risks</w:t>
      </w:r>
    </w:p>
    <w:p>
      <w:pPr>
        <w:spacing w:after="0" w:line="225" w:lineRule="exact"/>
        <w:rPr>
          <w:sz w:val="20"/>
          <w:szCs w:val="20"/>
          <w:color w:val="auto"/>
        </w:rPr>
      </w:pPr>
    </w:p>
    <w:p>
      <w:pPr>
        <w:ind w:right="3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be adversely impacted in the event of a failure of our information technology infrastructure and/or cyber security attacks.</w:t>
      </w:r>
    </w:p>
    <w:p>
      <w:pPr>
        <w:spacing w:after="0" w:line="15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rely upon the capacity, availability and security of our information technology hardware and software infrastructure. For instance, we use a combination of standard and customized software platforms to manage, record, and report all aspects of our operations and, in many instances, enable our customers to remotely access certain areas of our databases to monitor yields, inventory positions, work-in-progress status and vendor quality data. We are constantly expanding and updating our information technology infrastructure in response to our changing needs. Any failure to manage, expand and update our information technology infrastructure or any failure in the operation of this infrastructure could harm our business.</w:t>
      </w:r>
    </w:p>
    <w:p>
      <w:pPr>
        <w:spacing w:after="0" w:line="183"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Despite our implementation of security measures, our systems are vulnerable to damage caused by computer viruses, natural disasters, unauthorized access and other similar disruptions. Any system failure, accident or security breach could result in disruptions to our operations. To the extent that any disruption, cyber-attack or other security breach results in a loss or damage to our data or inappropriate disclosure of confidential information, our business could be harmed. In addition, we may be required to incur significant costs to protect against damage caused by these disruptions or security breaches in the future.</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infringement claims against our customers or us could harm our business, financial condition and operating results.</w:t>
      </w:r>
    </w:p>
    <w:p>
      <w:pPr>
        <w:spacing w:after="0" w:line="216"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Our services involve the creation and use of intellectual property rights, which subject us to the risk of intellectual property infringement claims from third parties and claims arising from the allocation of intellectual property rights among us and our customers.</w:t>
      </w:r>
    </w:p>
    <w:p>
      <w:pPr>
        <w:spacing w:after="0" w:line="16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Our customers may require that we indemnify them against the risk of intellectual property infringement arising out of our manufacturing processes. If any claims are brought against us or our customers for such infringement, whether or not these claims have merit, we could be required to expend significant resources in defense of such claims. In the event of an infringement claim, we may be required to spend a significant amount of time and money to develop non-infringing alternatives or obtain licenses. We may not be successful in developing such alternatives or obtaining such licenses on reasonable terms or at all, which could harm our business, financial condition and operating results.</w:t>
      </w:r>
    </w:p>
    <w:p>
      <w:pPr>
        <w:spacing w:after="0" w:line="179" w:lineRule="exact"/>
        <w:rPr>
          <w:sz w:val="20"/>
          <w:szCs w:val="20"/>
          <w:color w:val="auto"/>
        </w:rPr>
      </w:pPr>
    </w:p>
    <w:p>
      <w:pPr>
        <w:ind w:right="5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protect our customers’ intellectual property that we use in the products we manufacture for them could harm our customer relationships and subject us to liability.</w:t>
      </w:r>
    </w:p>
    <w:p>
      <w:pPr>
        <w:spacing w:after="0" w:line="15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We focus on manufacturing complex optical products for our customers. These products often contain our customers’ intellectual property, including trade secrets and know-how. Our success depends, in part, on our ability to protect our customers’ intellectual property. We may maintain separate and secure areas for customer proprietary manufacturing processes and materials and dedicate floor space, equipment, engineers and supply chain management to protect our customers’ proprietary drawings, materials and products. The steps we take to protect our customers’ intellectual property may not adequately prevent its disclosure or misappropriation. If we fail to protect our customers’ intellectual property, our customer relationships could be harmed, and we may experience difficulty in establishing new customer relationships. In addition, our customers might pursue legal claims against us for any failure to protect their intellectual property, possibly resulting in harm to our reputation and our business, financial condition and operating results.</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Compliance and Regulatory Risks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the risk of increased income taxes, which could harm our business, financial condition and operating results.</w:t>
      </w:r>
    </w:p>
    <w:p>
      <w:pPr>
        <w:spacing w:after="0" w:line="229" w:lineRule="exact"/>
        <w:rPr>
          <w:sz w:val="20"/>
          <w:szCs w:val="20"/>
          <w:color w:val="auto"/>
        </w:rPr>
      </w:pPr>
    </w:p>
    <w:p>
      <w:pPr>
        <w:ind w:right="200" w:firstLine="486"/>
        <w:spacing w:after="0" w:line="253" w:lineRule="auto"/>
        <w:rPr>
          <w:sz w:val="20"/>
          <w:szCs w:val="20"/>
          <w:color w:val="auto"/>
        </w:rPr>
      </w:pPr>
      <w:r>
        <w:rPr>
          <w:rFonts w:ascii="Times New Roman" w:cs="Times New Roman" w:eastAsia="Times New Roman" w:hAnsi="Times New Roman"/>
          <w:sz w:val="18"/>
          <w:szCs w:val="18"/>
          <w:color w:val="auto"/>
        </w:rPr>
        <w:t>We are subject to income and other taxes in Thailand, the PRC, the U.K., the U.S. and Israel. Our effective income tax rate, provision for income taxes and future tax liability could be adversely affected by numerous factors, including the results of tax audits and examinations, income before taxes being lower than anticipated in countries with lower statutory tax rates and higher than anticipated in countries with higher statutory tax rates, changes in income tax rates, changes in the valuation of deferred tax assets and liabilities, failure to meet obligations with respect to tax exemptions, and changes in tax laws and regulations. From time to time, we engage in discussions and negotiations with tax authorities regarding tax matters in various jurisdictions. As of March 27, 2026, our U.S. federal and state tax returns remain open to examination for the tax years 2020 through 2023. The Company is currently under examination by the U.S. Internal Revenue Service (“IRS”) for fiscal year 2022. In fiscal year 2025, the IRS completed the examination of the Company’s U.S. subsidiaries for fiscal year 2022 and fiscal year 2023. In addition, tax returns that remain open to examination in Thailand, the PRC, the U.K. and Israel range from the tax years 2018 through 2024. The results of audits and examinations of previously filed tax returns and continuing assessments of our tax exposures may have an adverse effect on our provision for income taxes and tax liability.</w:t>
      </w:r>
    </w:p>
    <w:p>
      <w:pPr>
        <w:spacing w:after="0" w:line="194"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base our tax position upon the anticipated nature and conduct of our business and upon our understanding of the tax laws of the various countries in which we have assets or conduct activities. However, our tax position is subject to review and possible challenge by tax authorities and to possible changes in law, which may have retroactive effect. Fabrinet (the “Cayman Islands Parent”) is an exempted company incorporated in the Cayman Islands. We maintain manufacturing operations in Thailand, the PRC, the U.S. and Israel. We cannot determine in advance the extent to which some jurisdictions may require us to pay taxes or make payments in lieu of taxes. Under the current laws of the Cayman Islands, we are not subject to tax in the Cayman Islands on income or capital gains until March 6, 2039.</w:t>
      </w:r>
    </w:p>
    <w:p>
      <w:pPr>
        <w:spacing w:after="0" w:line="18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Preferential tax treatment from the Thai government in the form of a corporate tax exemption on income generated from projects to manufacture certain products at our Chonburi campus is available to us through June 2026. Preferential tax treatment is available to us for products manufactured at our Chonburi campus Building 9, where income generated will be tax exempt through 2031, capped at our actual investment amount. Such preferential tax treatment is contingent on various factors, including the export of our customers’ products out of Thailand and our agreement not to move our manufacturing facilities out of our current province in Thailand for at least 15 years from the date on which preferential tax treatment was granted. We will lose this favorable tax treatment in Thailand unless we comply with these restrictions, and as a result we may delay or forego certain strategic business decisions due to these tax considerations.</w:t>
      </w:r>
    </w:p>
    <w:p>
      <w:pPr>
        <w:spacing w:after="0" w:line="18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There is also a risk that Thailand or another jurisdiction in which we operate may treat the Cayman Islands Parent as having a permanent establishment in such jurisdiction and subject its income to tax. If we become subject to additional taxes in any jurisdiction or if any jurisdiction begins to treat the Cayman Islands Parent as having a permanent establishment, such tax treatment could materially and adversely affect our business, financial condition and operating results.</w:t>
      </w:r>
    </w:p>
    <w:p>
      <w:pPr>
        <w:spacing w:after="0" w:line="180"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Certain of our subsidiaries provide products and services to, and may from time to time undertake certain significant transactions with us and our other subsidiaries in different jurisdictions. For instance, we have intercompany agreements in place that provide for our California and Singapore subsidiaries to provide administrative services for the Cayman Islands Parent, and the Cayman Islands Parent has entered into manufacturing agreements with our Thai subsidiary. In general, related party transactions and, in particular, related party financing transactions, are subject to close review by tax authorities. Moreover, several jurisdictions in which we operate have tax laws with detailed transfer pricing rules that require all transactions with non-resident related parties to be priced using arm’s length pricing principles and require the existence of contemporaneous documentation to support such pricing. Tax authorities in various jurisdictions could challenge the validity of our related party transfer pricing policies. Such a challenge generally involves a complex area of taxation and a significant degree of judgment by management. If any tax authorities are successful in challenging our financing or transfer pricing policies, our income tax expense may be adversely affected and we could become subject to interest and penalty charges, which may harm our business, financial condition and operating results.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As part of the Organization for Economic Co-operation and Development’s (“OECD”) Inclusive Framework on Base Erosion and Profit Shifting, over 140 countries have joined a two-pillar plan to reform international taxation rules. The first pillar is focused on the allocation of taxing rights between countries for in-scope multinational enterprises that sell goods and services into countries with little or no local physical presence and is intended to apply to multinational enterprises with global revenues above €20 billion. The second pillar is focused on developing a global minimum tax rate of at least 15% applicable to in-scope multinational enterprises and is intended to apply to multinational enterprises with annual consolidated group revenue in excess of €750 million.</w:t>
      </w:r>
    </w:p>
    <w:p>
      <w:pPr>
        <w:spacing w:after="0" w:line="187"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The OECD has issued Pillar Two model rules and continues to release guidance on these rules. As of March 27, 2026, these rules are either effective or have been adopted in draft form in various countries. On January 5, 2026, the OECD issued additional administrative guidance introducing a “side-by-side system” intended to facilitate the parallel application of Pillar Two rules alongside existing domestic income tax systems. We evaluated the applicable tax law changes resulting from Pillar Two implementation in the countries where we operate, and there was no material impact to our unaudited condensed consolidated financial statements for the three months ended March 27, 2026. In future years, the Pillar Two framework for the global minimum tax may increase the level of income tax in the jurisdictions where we operate or have a presence.</w:t>
      </w:r>
    </w:p>
    <w:p>
      <w:pPr>
        <w:spacing w:after="0" w:line="18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was enacted into law in the United States. The new law contains a broad range of tax reform provisions, including, but not limited to, immediate expensing of domestic research and development expenditure, the restoration of 100% bonus depreciation, and the interest expense limitation. The legislation has multiple effective dates, with certain provisions effective in fiscal year 2026 and others in the subsequent years. These provisions did not have a material impact to our unaudited condensed consolidated financial statements for the three months ended March 27, 2026.</w:t>
      </w:r>
    </w:p>
    <w:p>
      <w:pPr>
        <w:spacing w:after="0" w:line="179"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significant increased costs as a result of operating as a public company, and our management will be required to continue to devote substantial time to various compliance initiatives.</w:t>
      </w:r>
    </w:p>
    <w:p>
      <w:pPr>
        <w:spacing w:after="0" w:line="15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Sarbanes-Oxley Act of 2002, the Dodd-Frank Wall Street Reform and Consumer Protection Act of 2010, as well as other rules implemented by the SEC and the New York Stock Exchange (“NYSE”), impose various requirements on public companies, including requiring changes in corporate governance practices. These and proposed corporate governance laws and regulations under consideration may further increase our compliance costs. If compliance with these various legal and regulatory requirements diverts our management’s attention from other business concerns, it could have a material adverse effect on our business, financial condition and operating results. The Sarbanes-Oxley Act requires, among other things, that we assess the effectiveness of our internal control over financial reporting annually and disclosure controls and procedures quarterly. While we were able to assert in our Annual Report on Form 10-K that our internal control over financial reporting was effective as of June 27, 2025, we cannot predict the outcome of our testing in future periods. If we are unable to assert in any future reporting periods that our internal control over financial reporting is effective (or if our independent registered public accounting firm is unable to express an opinion on the effectiveness of our internal controls), we could lose investor confidence in the accuracy and completeness of our financial reports, which would have an adverse effect on our share price.</w:t>
      </w:r>
    </w:p>
    <w:p>
      <w:pPr>
        <w:spacing w:after="0" w:line="194"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Given the nature and complexity of our business and the fact that some members of our management team are located in Thailand while others are located in the U.S., control deficiencies may periodically occur. While we have ongoing measures and procedures to prevent and remedy control deficiencies, if they occur there can be no assurance that we will be successful or that we will be able to prevent material weaknesses or significant deficiencies in our internal control over financial reporting in the future. Moreover, if we identify deficiencies in our internal control over financial reporting that are deemed to be material weaknesses in future periods, the market price of our ordinary shares could decline and we could be subject to potential delisting by the NYSE and review by the NYSE, the SEC, or other regulatory authorities, which would require us to expend additional financial and management resources. As a result, our shareholders could lose confidence in our financial reporting, which would harm our business and the market price of our ordinary shares.</w:t>
      </w: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2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meet regulatory quality standards applicable to our manufacturing and quality processes for the products we manufacture, our business, financial condition and operating results could be harmed.</w:t>
      </w:r>
    </w:p>
    <w:p>
      <w:pPr>
        <w:spacing w:after="0" w:line="159"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As a manufacturer of products for the optics industry, we are required to meet certain certification standards, including the following: ISO 9001 for Manufacturing Quality Management Systems; ISO 14001 for Environmental Management Systems; TL 9000 for Telecommunications Industry Quality Certification; IATF 16949 for Automotive Industry Quality Certification; ISO 13485 for Medical Devices Industry Quality Certification; AS 9100 for Aerospace Industry Quality Certification; NADCAP (National Aerospace and Defense Contractors Accreditation Program) for Quality Assurance throughout the Aerospace and Defense Industries; ISO 45001 for Occupational Health and Safety Management Systems; ISO/IEC 17025 for Testing and Calibration Laboratories Certification; ISO 22301 for Business Continuity Management Systems; ISO/IEC 27001 for Information Security Management Systems; and ISO 50001 for Energy Management Systems. We also maintain compliance with various additional standards imposed by the U.S. Food and Drug Administration (“FDA”) with respect to the manufacture of medical devices.</w:t>
      </w:r>
    </w:p>
    <w:p>
      <w:pPr>
        <w:spacing w:after="0" w:line="192"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Additionally, we are required to register with the FDA and other regulatory bodies and are subject to continual review and periodic inspection for compliance with various regulations, including testing, quality control and documentation procedures. We hold the following additional certifications: ANSI ESD S20.20 for facilities and manufacturing process control; Transported Asset Protection Association and Custom Trade Partnership Against Terrorism for logistic security and management; and CSR-DIW for corporate social responsibility in Thailand. In the European Union, we are required to maintain certain ISO certifications in order to sell our precision optical, electro-mechanical and electronic manufacturing services and we must undergo periodic inspections by regulatory bodies to obtain and maintain these certifications. If any regulatory inspection reveals that we are not in compliance with applicable standards, regulators may take action against us, including issuing a warning letter, imposing fines on us, requiring a recall of the products we manufactured for our customers, or closing our manufacturing facilities. If any of these actions were to occur, it could harm our reputation as well as our business, financial condition and operating results.</w:t>
      </w:r>
    </w:p>
    <w:p>
      <w:pPr>
        <w:spacing w:after="0" w:line="184" w:lineRule="exact"/>
        <w:rPr>
          <w:sz w:val="20"/>
          <w:szCs w:val="20"/>
          <w:color w:val="auto"/>
        </w:rPr>
      </w:pPr>
    </w:p>
    <w:p>
      <w:pPr>
        <w:ind w:right="10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applicable environmental laws and regulations could have a material adverse effect on our business, financial condition and operating results.</w:t>
      </w:r>
    </w:p>
    <w:p>
      <w:pPr>
        <w:spacing w:after="0" w:line="15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sale and manufacturing of products in certain states and countries may subject us to environmental laws and regulations. In addition, rules adopted by the SEC implementing the Dodd-Frank Wall Street Reform and Consumer Protection Act of 2010 impose diligence and disclosure requirements regarding the use of “conflict minerals” mined from the Democratic Republic of Congo and adjoining countries in the products we manufacture for our customers. Compliance with these rules has resulted in additional cost and expense, including for due diligence to determine and verify the sources of any conflict minerals used in the products we manufacture, and may result in additional costs of remediation and other changes to processes or sources of supply as a consequence of such verification activities. These rules may also affect the sourcing and availability of minerals used in the products we manufacture, as there may be only a limited number of suppliers offering “conflict free” metals that can be used in the products we manufacture for our customers.</w:t>
      </w:r>
    </w:p>
    <w:p>
      <w:pPr>
        <w:spacing w:after="0" w:line="192"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Although we do not anticipate any material adverse effects based on the nature of our operations and these laws and regulations, we will need to ensure that we and, in some cases, our suppliers comply with applicable laws and regulations. If we fail to timely comply with such laws and regulations, our customers may cease doing business with us, which would have a material adverse effect on our business, financial condition and operating results. In addition, if we were found to be in violation of these laws, we could be subject to governmental fines, liability to our customers and damage to our reputation, which would also have a material adverse effect on our business, financial condition and operating results.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Ordinary Shares</w:t>
      </w:r>
    </w:p>
    <w:p>
      <w:pPr>
        <w:spacing w:after="0" w:line="117" w:lineRule="exact"/>
        <w:rPr>
          <w:sz w:val="20"/>
          <w:szCs w:val="20"/>
          <w:color w:val="auto"/>
        </w:rPr>
      </w:pPr>
    </w:p>
    <w:p>
      <w:pPr>
        <w:ind w:right="28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share price may be volatile due to fluctuations in our operating results and other factors, including the activities and operating results of our customers or competitors, any of which could cause our share price to decline.</w:t>
      </w:r>
    </w:p>
    <w:p>
      <w:pPr>
        <w:spacing w:after="0" w:line="159" w:lineRule="exact"/>
        <w:rPr>
          <w:sz w:val="20"/>
          <w:szCs w:val="20"/>
          <w:color w:val="auto"/>
        </w:rPr>
      </w:pPr>
    </w:p>
    <w:p>
      <w:pPr>
        <w:ind w:right="80" w:firstLine="486"/>
        <w:spacing w:after="0" w:line="253" w:lineRule="auto"/>
        <w:rPr>
          <w:sz w:val="20"/>
          <w:szCs w:val="20"/>
          <w:color w:val="auto"/>
        </w:rPr>
      </w:pPr>
      <w:r>
        <w:rPr>
          <w:rFonts w:ascii="Times New Roman" w:cs="Times New Roman" w:eastAsia="Times New Roman" w:hAnsi="Times New Roman"/>
          <w:sz w:val="18"/>
          <w:szCs w:val="18"/>
          <w:color w:val="auto"/>
        </w:rPr>
        <w:t>Our revenues, expenses and results of operations have fluctuated in the past and are likely to do so in the future from quarter-to-quarter and year-to-year due to the risk factors described in this section and elsewhere in this Quarterly Report on Form 10-Q. In addition to market and industry factors, the price and trading volume of our ordinary shares may fluctuate in response to a number of events and factors relating to us, our competitors, our customers and the markets we serve, many of which are beyond our control. Factors such as variations in our total revenues, earnings and cash flow, announcements of new investments or acquisitions, changes in our pricing practices or those of our competitors, commencement or outcome of litigation, sales of ordinary shares by us or our principal shareholders, fluctuations in market prices for our services and general market conditions could cause the market price of our ordinary shares to change substantially. Any of these factors may result in large and sudden changes in the volume and price at which our ordinary shares trade. Volatility and weakness in our share price could mean that investors may not be able to sell their shares at or above the prices they paid and could also impair our ability in the future to offer our ordinary shares or convertible securities as a source of additional capital and/or as consideration in the acquisition of other businesses.</w:t>
      </w:r>
    </w:p>
    <w:p>
      <w:pPr>
        <w:spacing w:after="0" w:line="194"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Furthermore, the stock markets have experienced extreme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as well as general economic, political and market conditions such as recessions, interest rate changes or international currency fluctuations, may cause the market price of our ordinary shares to decline.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85" w:lineRule="exact"/>
        <w:rPr>
          <w:sz w:val="20"/>
          <w:szCs w:val="20"/>
          <w:color w:val="auto"/>
        </w:rPr>
      </w:pPr>
    </w:p>
    <w:p>
      <w:pPr>
        <w:ind w:right="22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if they publish misleading or unfavorable research about our business, the market price and trading volume of our ordinary shares could decline.</w:t>
      </w:r>
    </w:p>
    <w:p>
      <w:pPr>
        <w:spacing w:after="0" w:line="15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in part on the research and reports that securities or industry analysts publish about us or our business. If securities or industry analysts stop covering us, or if too few analysts cover us, the market price of our ordinary shares could be adversely impacted. If one or more of the analysts who covers us downgrades our ordinary shares or publishes misleading or unfavorable research about our business, our market price would likely decline. If one or more of these analysts ceases coverage of us or fails to publish reports on us regularly, demand for our ordinary shares could decrease, which could cause the market price or trading volume of our ordinary shares to decline.</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We may become a passive foreign investment company, which could result in adverse U.S. tax consequences to U.S. investors.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Based upon estimates of the value of our assets, which are based in part on the trading price of our ordinary shares, we do not expect to be a passive foreign investment company (“PFIC”) for U.S. federal income tax purposes for the taxable year 2026 or for the foreseeable future. However, despite our expectations, we cannot guarantee that we will not become a PFIC for the taxable year 2026 or any future year because our PFIC status is determined at the end of each year and depends on the</w:t>
      </w:r>
    </w:p>
    <w:p>
      <w:pPr>
        <w:spacing w:after="0" w:line="3"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composition of our income and assets during such year. If we become a PFIC, our U.S. investors will be subject to increased tax liabilities under U.S. tax laws and regulations as well as burdensome reporting requirements.</w:t>
      </w:r>
    </w:p>
    <w:p>
      <w:pPr>
        <w:spacing w:after="0" w:line="17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share price could be negatively affected as a result of activist shareholders.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If an activist investor takes an ownership position in our ordinary shares, responding to actions by such activist shareholder could be costly and time-consuming, disrupt our operations and divert the attention of management and our employees. Additionally, perceived uncertainties as to our future direction as a result of shareholder activism or changes to the composition of our board of directors may lead to the perception of a change in the direction of our business or other instability, which may be exploited by our competitors, cause concern to our current or potential customers, and make it more difficult to attract and retain qualified personnel. If customers choose to delay, defer or reduce transactions with us or do business with our competitors instead of us because of any such issues, then our business, financial condition and operating results would be adversely affected. In addition, our share price could experience periods of increased volatility as a result of shareholder activism.</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right="64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Certain provisions in our constitutional documents may discourage our acquisition by a third party, which could limit our shareholders' opportunity to sell shares at a premium.</w:t>
      </w:r>
    </w:p>
    <w:p>
      <w:pPr>
        <w:spacing w:after="0" w:line="15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constitutional documents include provisions that could limit the ability of others to acquire control of us, modify our structure or cause us to engage in change-of-control transactions, including, among other things, provisions that:</w:t>
      </w:r>
    </w:p>
    <w:p>
      <w:pPr>
        <w:spacing w:after="0" w:line="54" w:lineRule="exact"/>
        <w:rPr>
          <w:sz w:val="20"/>
          <w:szCs w:val="20"/>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of directors;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our shareholders from calling meetings or acting by written consent in lieu of a meeting;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our shareholders to propose actions at duly convened meetings;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without action by our shareholders, to issue preferred shares and additional ordinary shares.</w:t>
      </w:r>
    </w:p>
    <w:p>
      <w:pPr>
        <w:spacing w:after="0" w:line="225"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These provisions could have the effect of depriving our shareholders of an opportunity to sell their ordinary shares at a premium over prevailing market prices by discouraging third parties from seeking to acquire control of us in a tender offer or similar transaction.</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may face difficulties in protecting their interests because we are incorporated under Cayman Islands law.</w:t>
      </w:r>
    </w:p>
    <w:p>
      <w:pPr>
        <w:spacing w:after="0" w:line="229" w:lineRule="exact"/>
        <w:rPr>
          <w:sz w:val="20"/>
          <w:szCs w:val="20"/>
          <w:color w:val="auto"/>
        </w:rPr>
      </w:pPr>
    </w:p>
    <w:p>
      <w:pPr>
        <w:ind w:right="160" w:firstLine="486"/>
        <w:spacing w:after="0" w:line="258" w:lineRule="auto"/>
        <w:rPr>
          <w:sz w:val="20"/>
          <w:szCs w:val="20"/>
          <w:color w:val="auto"/>
        </w:rPr>
      </w:pPr>
      <w:r>
        <w:rPr>
          <w:rFonts w:ascii="Times New Roman" w:cs="Times New Roman" w:eastAsia="Times New Roman" w:hAnsi="Times New Roman"/>
          <w:sz w:val="18"/>
          <w:szCs w:val="18"/>
          <w:color w:val="auto"/>
        </w:rPr>
        <w:t>Our corporate affairs are governed by our amended and restated memorandum and articles of association (“MOA”), by the Companies Law (as amended) of the Cayman Islands and the common law of the Cayman Islands. The rights of our shareholders and the fiduciary responsibilities of our directors under the laws of the Cayman Islands are not as clearly established under statutes or judicial precedent as in jurisdictions in the U.S. Therefore, our shareholders may have more difficulty in protecting their interests than would shareholders of a corporation incorporated in a jurisdiction in the U.S., due to the comparatively less developed nature of Cayman Islands law in this area.</w:t>
      </w:r>
    </w:p>
    <w:p>
      <w:pPr>
        <w:spacing w:after="0" w:line="183"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Companies Law permits mergers and consolidations between Cayman Islands companies and between Cayman Islands companies and non-Cayman Islands companies.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spacing w:after="0" w:line="180"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 addition, there are statutory provisions that facilitate the reconstruction and amalgamation of companies, provided that the arrangement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convened for that purpose. The convening of the meeting and subsequently the arrangement must be sanctioned by the Grand Court of the Cayman Islands. A dissenting shareholder has the right to express to the court the view that the transaction ought not to be approved.</w:t>
      </w:r>
    </w:p>
    <w:p>
      <w:pPr>
        <w:spacing w:after="0" w:line="183"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When a takeover offer is made and accepted by holders of 90.0% of the shares within four months, the offeror may, within a two-month period, require the holders of the remaining shares to transfer such shares on the terms of the offer. An objection can be made to the Grand Court of the Cayman Islands but is unlikely to succeed unless there is evidence of fraud, bad faith or collusion.</w:t>
      </w:r>
    </w:p>
    <w:p>
      <w:pPr>
        <w:spacing w:after="0" w:line="17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If the arrangement and reconstruction is thus approved, the dissenting shareholder would have no rights comparable to appraisal rights, which would otherwise ordinarily be available to dissenting shareholders of a corporation incorporated in a jurisdiction in the U.S., providing rights to receive payment in cash for the judicially determined value of the shares. This may make it more difficult for our shareholders to assess the value of any consideration they may receive in a merger or consolidation or to require that the offeror give them additional consideration if they believe the consideration offered is insufficient.</w:t>
      </w:r>
    </w:p>
    <w:p>
      <w:pPr>
        <w:spacing w:after="0" w:line="18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Shareholders of Cayman Islands exempted companies have no general rights under Cayman Islands law to inspect corporate records and accounts or to obtain copies of lists of shareholders. Our directors have discretion under our MOA to determine whether or not, and under what conditions, our corporate records may be inspected by our shareholders, but are not obliged to make them available to our shareholders. This may make it more difficult for our shareholders to obtain the information needed to establish any facts necessary for a shareholder motion or to solicit proxies from other shareholders in connection with a proxy contest.</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Subject to limited exceptions, under Cayman Islands law, a minority shareholder may not bring a derivative action against the board of directors.</w:t>
      </w:r>
    </w:p>
    <w:p>
      <w:pPr>
        <w:spacing w:after="0" w:line="2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Certain judgments obtained against us by our shareholders may not be enforceable.</w:t>
      </w:r>
    </w:p>
    <w:p>
      <w:pPr>
        <w:spacing w:after="0" w:line="229"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Cayman Islands Parent is a Cayman Islands exempted company and substantially all of our assets are located outside of the U.S. Given our domicile and the location of our assets, it may be difficult to enforce in U.S. courts judgments obtained against us in U.S. courts based on the civil liability provisions of the U.S. federal securities laws. In addition, there is uncertainty as to whether the courts of the Cayman Islands, Thailand or the PRC would recognize or enforce judgments of U.S. courts against us predicated upon the civil liability provisions of the securities laws of the U.S. or any state. In particular, a judgment in a U.S. court would not be recognized and accepted by Thai courts without a re-trial or examination of the merits of the case. In addition, there is uncertainty as to whether such Cayman Islands, Thai or PRC courts would be competent to hear original actions brought in the Cayman Islands, Thailand or the PRC against us predicated upon the securities laws of the U.S. or any state.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Energy price volatility may negatively impact our business, financial condition and operating results.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We, along with our suppliers and customers, rely on various energy sources in our manufacturing and transportation activities. Energy prices have been subject to increases and general volatility caused by market fluctuations, supply and demand, currency fluctuation, production and transportation disruption, world events and government regulations. While we are currently experiencing lower energy prices, a significant increase is possible, which could increase our raw material and transportation costs. In addition, increased transportation costs of our suppliers and customers could be passed along to us. We may not be able to increase our prices to adequately offset these increased costs, and any increase in our prices may reduce our future customer orders, which could harm our business, financial condition and operating results.</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of Unregistered Securities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Purchases of Equity Securities by the Issuer and Affiliated Purchasers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share repurchase activity for the three months ended March 27, 2026:</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Dollar Value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1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Average Price</w:t>
            </w:r>
          </w:p>
        </w:tc>
        <w:tc>
          <w:tcPr>
            <w:tcW w:w="18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 Part</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40" w:type="dxa"/>
            <w:vAlign w:val="bottom"/>
          </w:tcPr>
          <w:p>
            <w:pPr>
              <w:jc w:val="center"/>
              <w:ind w:right="84"/>
              <w:spacing w:after="0" w:line="135"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480" w:type="dxa"/>
            <w:vAlign w:val="bottom"/>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Publicly</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1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Program</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tcPr>
          <w:p>
            <w:pPr>
              <w:jc w:val="center"/>
              <w:ind w:right="84"/>
              <w:spacing w:after="0" w:line="149" w:lineRule="exact"/>
              <w:rPr>
                <w:sz w:val="20"/>
                <w:szCs w:val="20"/>
                <w:color w:val="auto"/>
              </w:rPr>
            </w:pPr>
            <w:r>
              <w:rPr>
                <w:rFonts w:ascii="Times New Roman" w:cs="Times New Roman" w:eastAsia="Times New Roman" w:hAnsi="Times New Roman"/>
                <w:sz w:val="14"/>
                <w:szCs w:val="14"/>
                <w:b w:val="1"/>
                <w:bCs w:val="1"/>
                <w:color w:val="auto"/>
              </w:rPr>
              <w:t>Under the Program</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560" w:type="dxa"/>
            <w:vAlign w:val="bottom"/>
            <w:gridSpan w:val="2"/>
            <w:vMerge w:val="continue"/>
          </w:tcPr>
          <w:p>
            <w:pPr>
              <w:spacing w:after="0"/>
              <w:rPr>
                <w:sz w:val="10"/>
                <w:szCs w:val="10"/>
                <w:color w:val="auto"/>
              </w:rPr>
            </w:pPr>
          </w:p>
        </w:tc>
        <w:tc>
          <w:tcPr>
            <w:tcW w:w="1480" w:type="dxa"/>
            <w:vAlign w:val="bottom"/>
          </w:tcPr>
          <w:p>
            <w:pPr>
              <w:jc w:val="right"/>
              <w:ind w:right="116"/>
              <w:spacing w:after="0" w:line="122"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8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(1)</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40" w:type="dxa"/>
            <w:vAlign w:val="bottom"/>
          </w:tcPr>
          <w:p>
            <w:pPr>
              <w:jc w:val="center"/>
              <w:ind w:right="44"/>
              <w:spacing w:after="0" w:line="122" w:lineRule="exact"/>
              <w:rPr>
                <w:sz w:val="20"/>
                <w:szCs w:val="20"/>
                <w:color w:val="auto"/>
              </w:rPr>
            </w:pPr>
            <w:r>
              <w:rPr>
                <w:rFonts w:ascii="Times New Roman" w:cs="Times New Roman" w:eastAsia="Times New Roman" w:hAnsi="Times New Roman"/>
                <w:sz w:val="11"/>
                <w:szCs w:val="11"/>
                <w:b w:val="1"/>
                <w:bCs w:val="1"/>
                <w:color w:val="auto"/>
                <w:w w:val="93"/>
              </w:rPr>
              <w:t>(1)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420" w:type="dxa"/>
            <w:vAlign w:val="bottom"/>
            <w:tcBorders>
              <w:top w:val="single" w:sz="8" w:color="auto"/>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27, 2025 – January 23, 2026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169,198,389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January 24, 2026 – February 20, 2026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422.05</w:t>
            </w:r>
          </w:p>
        </w:tc>
        <w:tc>
          <w:tcPr>
            <w:tcW w:w="10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4"/>
              <w:spacing w:after="0"/>
              <w:rPr>
                <w:sz w:val="20"/>
                <w:szCs w:val="20"/>
                <w:color w:val="auto"/>
              </w:rPr>
            </w:pPr>
            <w:r>
              <w:rPr>
                <w:rFonts w:ascii="Times New Roman" w:cs="Times New Roman" w:eastAsia="Times New Roman" w:hAnsi="Times New Roman"/>
                <w:sz w:val="18"/>
                <w:szCs w:val="18"/>
                <w:color w:val="auto"/>
              </w:rPr>
              <w:t>169,047,719</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February 21, 2026 – March 27, 2026</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169,047,719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340" w:right="80" w:hanging="332"/>
        <w:spacing w:after="0" w:line="246" w:lineRule="auto"/>
        <w:tabs>
          <w:tab w:leader="none" w:pos="377"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August 21, 2017, we announced that our board of directors had approved a share repurchase program to permit us to repurchase up to $30.0 million worth of our issued and outstanding ordinary shares in the open market in accordance with applicable rules and regulations. In February 2018, May 2019, August 2020, August 2022, August 2023, August 2024, and January 2025, we announced that our board of directors approved increases of $30.0 million, $50.0 million, $58.5 million, $78.7 million, $47.6 million, $139.5 million, and $100.0 million, respectively, to the original share repurchase authorization, bringing the aggregate authorization to $534.3 million. The repurchased shares will be held as treasury stock. Our share repurchase program does not have an expiration date. Any repurchases under our share repurchase program are made in accordance with Rule 10b-18, including pursuant to pre-set trading plans adopted in accordance with Rule 10b5-1 under the Exchange Act of 1934. During the three months ended March 27, 2026, 357 shares were repurchased under the program, at an average price per share (excluding other direct costs) of $422.05, for an aggregate purchase price of $0.2 million. As of March 27, 2026, we had a remaining authorization to repurchase up to $169.0 million worth of our ordinary shares.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ITEMS 3 and 4 are not applicable and have been omitted.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Trading Plans of Directors and Executive Officers</w:t>
      </w:r>
    </w:p>
    <w:p>
      <w:pPr>
        <w:spacing w:after="0" w:line="337"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During our last fiscal quarter, no director or officer, as defined in Rule 16a-1(f), adopted or terminated a "Rule 10b5-1 trading arrangement" or a "non-Rule 10b5-1 trading arrangement," each as defined in Regulation S-K Item 408.</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 by reference herein</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20" w:type="dxa"/>
            <w:vAlign w:val="bottom"/>
          </w:tcPr>
          <w:p>
            <w:pPr>
              <w:spacing w:after="0"/>
              <w:rPr>
                <w:sz w:val="14"/>
                <w:szCs w:val="14"/>
                <w:color w:val="auto"/>
              </w:rPr>
            </w:pPr>
          </w:p>
        </w:tc>
        <w:tc>
          <w:tcPr>
            <w:tcW w:w="10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60" w:type="dxa"/>
            <w:vAlign w:val="bottom"/>
          </w:tcPr>
          <w:p>
            <w:pPr>
              <w:spacing w:after="0"/>
              <w:rPr>
                <w:sz w:val="14"/>
                <w:szCs w:val="14"/>
                <w:color w:val="auto"/>
              </w:rPr>
            </w:pPr>
          </w:p>
        </w:tc>
        <w:tc>
          <w:tcPr>
            <w:tcW w:w="3340" w:type="dxa"/>
            <w:vAlign w:val="bottom"/>
            <w:gridSpan w:val="9"/>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20" w:type="dxa"/>
            <w:vAlign w:val="bottom"/>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48"/>
        </w:trPr>
        <w:tc>
          <w:tcPr>
            <w:tcW w:w="148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2060" w:type="dxa"/>
            <w:vAlign w:val="bottom"/>
          </w:tcPr>
          <w:p>
            <w:pPr>
              <w:spacing w:after="0"/>
              <w:rPr>
                <w:sz w:val="12"/>
                <w:szCs w:val="12"/>
                <w:color w:val="auto"/>
              </w:rPr>
            </w:pPr>
          </w:p>
        </w:tc>
        <w:tc>
          <w:tcPr>
            <w:tcW w:w="3340" w:type="dxa"/>
            <w:vAlign w:val="bottom"/>
            <w:gridSpan w:val="9"/>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No.</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31.1</w:t>
            </w:r>
          </w:p>
        </w:tc>
        <w:tc>
          <w:tcPr>
            <w:tcW w:w="560" w:type="dxa"/>
            <w:vAlign w:val="bottom"/>
          </w:tcPr>
          <w:p>
            <w:pPr>
              <w:spacing w:after="0"/>
              <w:rPr>
                <w:sz w:val="2"/>
                <w:szCs w:val="2"/>
                <w:color w:val="auto"/>
              </w:rPr>
            </w:pPr>
          </w:p>
        </w:tc>
        <w:tc>
          <w:tcPr>
            <w:tcW w:w="540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Exchange Act Rules</w:t>
            </w:r>
          </w:p>
        </w:tc>
        <w:tc>
          <w:tcPr>
            <w:tcW w:w="1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72"/>
        </w:trPr>
        <w:tc>
          <w:tcPr>
            <w:tcW w:w="92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5400" w:type="dxa"/>
            <w:vAlign w:val="bottom"/>
            <w:gridSpan w:val="10"/>
            <w:vMerge w:val="continue"/>
          </w:tcPr>
          <w:p>
            <w:pPr>
              <w:spacing w:after="0"/>
              <w:rPr>
                <w:sz w:val="24"/>
                <w:szCs w:val="24"/>
                <w:color w:val="auto"/>
              </w:rPr>
            </w:pP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13a-14(a) and 15d-14(a), as adopted pursuant to Section 302 of the</w:t>
            </w: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76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6"/>
        </w:trPr>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31.2</w:t>
            </w:r>
          </w:p>
        </w:tc>
        <w:tc>
          <w:tcPr>
            <w:tcW w:w="560" w:type="dxa"/>
            <w:vAlign w:val="bottom"/>
          </w:tcPr>
          <w:p>
            <w:pPr>
              <w:spacing w:after="0"/>
              <w:rPr>
                <w:sz w:val="24"/>
                <w:szCs w:val="24"/>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 Act Rules</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8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8"/>
                <w:szCs w:val="18"/>
                <w:color w:val="0000FF"/>
              </w:rPr>
              <w:t>13a-14(a) and 15d-14(a), as adopted pursuant to Section 302 of the</w:t>
            </w:r>
          </w:p>
        </w:tc>
        <w:tc>
          <w:tcPr>
            <w:tcW w:w="220" w:type="dxa"/>
            <w:vAlign w:val="bottom"/>
            <w:gridSpan w:val="2"/>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2760" w:type="dxa"/>
            <w:vAlign w:val="bottom"/>
            <w:tcBorders>
              <w:top w:val="single" w:sz="8" w:color="0000FF"/>
            </w:tcBorders>
            <w:gridSpan w:val="4"/>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32.1</w:t>
            </w:r>
          </w:p>
        </w:tc>
        <w:tc>
          <w:tcPr>
            <w:tcW w:w="560" w:type="dxa"/>
            <w:vAlign w:val="bottom"/>
          </w:tcPr>
          <w:p>
            <w:pPr>
              <w:spacing w:after="0"/>
              <w:rPr>
                <w:sz w:val="24"/>
                <w:szCs w:val="24"/>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Certifications of Chief Executive Officer and Chief Financial Officer</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20" w:type="dxa"/>
            <w:vAlign w:val="bottom"/>
            <w:gridSpan w:val="3"/>
            <w:shd w:val="clear" w:color="auto" w:fill="0000FF"/>
          </w:tcPr>
          <w:p>
            <w:pPr>
              <w:spacing w:after="0" w:line="20" w:lineRule="exact"/>
              <w:rPr>
                <w:sz w:val="1"/>
                <w:szCs w:val="1"/>
                <w:color w:val="auto"/>
              </w:rPr>
            </w:pPr>
          </w:p>
        </w:tc>
        <w:tc>
          <w:tcPr>
            <w:tcW w:w="244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0" w:type="dxa"/>
            <w:vAlign w:val="bottom"/>
            <w:gridSpan w:val="10"/>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 906</w:t>
            </w: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52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620" w:type="dxa"/>
            <w:vAlign w:val="bottom"/>
            <w:tcBorders>
              <w:top w:val="single" w:sz="8" w:color="0000FF"/>
            </w:tcBorders>
            <w:gridSpan w:val="4"/>
          </w:tcPr>
          <w:p>
            <w:pPr>
              <w:spacing w:after="0"/>
              <w:rPr>
                <w:sz w:val="13"/>
                <w:szCs w:val="13"/>
                <w:color w:val="auto"/>
              </w:rPr>
            </w:pPr>
          </w:p>
        </w:tc>
        <w:tc>
          <w:tcPr>
            <w:tcW w:w="260" w:type="dxa"/>
            <w:vAlign w:val="bottom"/>
            <w:gridSpan w:val="3"/>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101.INS</w:t>
            </w: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Instance</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101.SCH</w:t>
            </w: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101.CAL</w:t>
            </w: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101.DEF</w:t>
            </w: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101.LAB</w:t>
            </w: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101.PRE</w:t>
            </w:r>
          </w:p>
        </w:tc>
        <w:tc>
          <w:tcPr>
            <w:tcW w:w="540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500" w:right="5040" w:hanging="1474"/>
        <w:spacing w:after="0" w:line="237" w:lineRule="auto"/>
        <w:tabs>
          <w:tab w:leader="none" w:pos="15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May 5, 2026.</w:t>
      </w:r>
    </w:p>
    <w:p>
      <w:pPr>
        <w:spacing w:after="0" w:line="347" w:lineRule="exact"/>
        <w:rPr>
          <w:sz w:val="20"/>
          <w:szCs w:val="20"/>
          <w:color w:val="auto"/>
        </w:rPr>
      </w:pPr>
    </w:p>
    <w:tbl>
      <w:tblPr>
        <w:tblLayout w:type="fixed"/>
        <w:tblInd w:w="632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FABRINET</w:t>
            </w:r>
          </w:p>
        </w:tc>
      </w:tr>
      <w:tr>
        <w:trPr>
          <w:trHeight w:val="507"/>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4"/>
                <w:szCs w:val="14"/>
                <w:color w:val="auto"/>
              </w:rPr>
              <w:t>SABA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VERHA</w:t>
            </w:r>
          </w:p>
        </w:tc>
      </w:tr>
      <w:tr>
        <w:trPr>
          <w:trHeight w:val="225"/>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ind w:left="1480"/>
              <w:spacing w:after="0"/>
              <w:rPr>
                <w:sz w:val="20"/>
                <w:szCs w:val="20"/>
                <w:color w:val="auto"/>
              </w:rPr>
            </w:pPr>
            <w:r>
              <w:rPr>
                <w:rFonts w:ascii="Times New Roman" w:cs="Times New Roman" w:eastAsia="Times New Roman" w:hAnsi="Times New Roman"/>
                <w:sz w:val="18"/>
                <w:szCs w:val="18"/>
                <w:b w:val="1"/>
                <w:bCs w:val="1"/>
                <w:color w:val="auto"/>
              </w:rPr>
              <w:t>Csaba Sverha</w:t>
            </w:r>
          </w:p>
        </w:tc>
      </w:tr>
      <w:tr>
        <w:trPr>
          <w:trHeight w:val="180"/>
        </w:trPr>
        <w:tc>
          <w:tcPr>
            <w:tcW w:w="8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860" w:type="dxa"/>
            <w:vAlign w:val="bottom"/>
          </w:tcPr>
          <w:p>
            <w:pPr>
              <w:spacing w:after="0"/>
              <w:rPr>
                <w:sz w:val="20"/>
                <w:szCs w:val="20"/>
                <w:color w:val="auto"/>
              </w:rPr>
            </w:pPr>
          </w:p>
        </w:tc>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200"/>
          </w:cols>
          <w:pgMar w:left="320" w:top="121" w:right="37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Seamus Grady, certify that:</w:t>
      </w:r>
    </w:p>
    <w:p>
      <w:pPr>
        <w:spacing w:after="0" w:line="117" w:lineRule="exact"/>
        <w:rPr>
          <w:sz w:val="20"/>
          <w:szCs w:val="20"/>
          <w:color w:val="auto"/>
        </w:rPr>
      </w:pPr>
    </w:p>
    <w:p>
      <w:pPr>
        <w:ind w:left="980" w:hanging="486"/>
        <w:spacing w:after="0"/>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Fabrinet;</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486"/>
        <w:spacing w:after="0" w:line="266" w:lineRule="auto"/>
        <w:tabs>
          <w:tab w:leader="none" w:pos="9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460" w:hanging="480"/>
        <w:spacing w:after="0" w:line="266" w:lineRule="auto"/>
        <w:tabs>
          <w:tab w:leader="none" w:pos="14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460" w:right="260" w:hanging="480"/>
        <w:spacing w:after="0" w:line="266" w:lineRule="auto"/>
        <w:tabs>
          <w:tab w:leader="none" w:pos="14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460" w:right="60" w:hanging="480"/>
        <w:spacing w:after="0" w:line="266" w:lineRule="auto"/>
        <w:tabs>
          <w:tab w:leader="none" w:pos="14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486"/>
        <w:spacing w:after="0" w:line="312" w:lineRule="auto"/>
        <w:tabs>
          <w:tab w:leader="none" w:pos="9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460" w:right="300" w:hanging="480"/>
        <w:spacing w:after="0" w:line="282" w:lineRule="auto"/>
        <w:tabs>
          <w:tab w:leader="none" w:pos="145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5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5, 2026</w:t>
      </w:r>
    </w:p>
    <w:p>
      <w:pPr>
        <w:spacing w:after="0" w:line="18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6"/>
          <w:szCs w:val="16"/>
          <w:color w:val="auto"/>
        </w:rPr>
        <w:t>EAMUS</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6"/>
          <w:szCs w:val="16"/>
          <w:color w:val="auto"/>
        </w:rPr>
        <w:t>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26035</wp:posOffset>
            </wp:positionV>
            <wp:extent cx="31972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Seamus Grady</w:t>
      </w:r>
    </w:p>
    <w:p>
      <w:pPr>
        <w:spacing w:after="0" w:line="2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p>
      <w:pPr>
        <w:sectPr>
          <w:pgSz w:w="11900" w:h="16838" w:orient="portrait"/>
          <w:cols w:equalWidth="0" w:num="1">
            <w:col w:w="11240"/>
          </w:cols>
          <w:pgMar w:left="320" w:top="887"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Csaba Sverha, certify that:</w:t>
      </w:r>
    </w:p>
    <w:p>
      <w:pPr>
        <w:spacing w:after="0" w:line="117" w:lineRule="exact"/>
        <w:rPr>
          <w:sz w:val="20"/>
          <w:szCs w:val="20"/>
          <w:color w:val="auto"/>
        </w:rPr>
      </w:pPr>
    </w:p>
    <w:p>
      <w:pPr>
        <w:ind w:left="980" w:hanging="486"/>
        <w:spacing w:after="0"/>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Fabrinet;</w:t>
      </w:r>
    </w:p>
    <w:p>
      <w:pPr>
        <w:spacing w:after="0" w:line="117" w:lineRule="exact"/>
        <w:rPr>
          <w:rFonts w:ascii="Times New Roman" w:cs="Times New Roman" w:eastAsia="Times New Roman" w:hAnsi="Times New Roman"/>
          <w:sz w:val="18"/>
          <w:szCs w:val="18"/>
          <w:color w:val="auto"/>
        </w:rPr>
      </w:pPr>
    </w:p>
    <w:p>
      <w:pPr>
        <w:jc w:val="both"/>
        <w:ind w:left="980" w:right="60" w:hanging="486"/>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980" w:right="180" w:hanging="486"/>
        <w:spacing w:after="0" w:line="266" w:lineRule="auto"/>
        <w:tabs>
          <w:tab w:leader="none" w:pos="9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460" w:hanging="480"/>
        <w:spacing w:after="0" w:line="266" w:lineRule="auto"/>
        <w:tabs>
          <w:tab w:leader="none" w:pos="14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460" w:right="260" w:hanging="480"/>
        <w:spacing w:after="0" w:line="266" w:lineRule="auto"/>
        <w:tabs>
          <w:tab w:leader="none" w:pos="14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460" w:right="40" w:hanging="480"/>
        <w:spacing w:after="0" w:line="282" w:lineRule="auto"/>
        <w:tabs>
          <w:tab w:leader="none" w:pos="14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460" w:right="60" w:hanging="480"/>
        <w:spacing w:after="0" w:line="266" w:lineRule="auto"/>
        <w:tabs>
          <w:tab w:leader="none" w:pos="14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980" w:right="140" w:hanging="486"/>
        <w:spacing w:after="0" w:line="312" w:lineRule="auto"/>
        <w:tabs>
          <w:tab w:leader="none" w:pos="9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1" w:lineRule="exact"/>
        <w:rPr>
          <w:rFonts w:ascii="Times New Roman" w:cs="Times New Roman" w:eastAsia="Times New Roman" w:hAnsi="Times New Roman"/>
          <w:sz w:val="17"/>
          <w:szCs w:val="17"/>
          <w:color w:val="auto"/>
        </w:rPr>
      </w:pPr>
    </w:p>
    <w:p>
      <w:pPr>
        <w:ind w:left="1460" w:right="300" w:hanging="480"/>
        <w:spacing w:after="0" w:line="282" w:lineRule="auto"/>
        <w:tabs>
          <w:tab w:leader="none" w:pos="14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460" w:right="580" w:hanging="480"/>
        <w:spacing w:after="0" w:line="282" w:lineRule="auto"/>
        <w:tabs>
          <w:tab w:leader="none" w:pos="145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5, 2026</w:t>
      </w:r>
    </w:p>
    <w:p>
      <w:pPr>
        <w:spacing w:after="0" w:line="18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6"/>
          <w:szCs w:val="16"/>
          <w:color w:val="auto"/>
        </w:rPr>
        <w:t>SABA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6"/>
          <w:szCs w:val="16"/>
          <w:color w:val="auto"/>
        </w:rPr>
        <w:t>VERHA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17145</wp:posOffset>
            </wp:positionV>
            <wp:extent cx="319722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Csaba Sverha</w:t>
      </w:r>
    </w:p>
    <w:p>
      <w:pPr>
        <w:spacing w:after="0" w:line="1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 Chief Financial Officer (Principal</w:t>
      </w:r>
    </w:p>
    <w:p>
      <w:pPr>
        <w:ind w:left="6200"/>
        <w:spacing w:after="0"/>
        <w:rPr>
          <w:sz w:val="20"/>
          <w:szCs w:val="20"/>
          <w:color w:val="auto"/>
        </w:rPr>
      </w:pPr>
      <w:r>
        <w:rPr>
          <w:rFonts w:ascii="Times New Roman" w:cs="Times New Roman" w:eastAsia="Times New Roman" w:hAnsi="Times New Roman"/>
          <w:sz w:val="18"/>
          <w:szCs w:val="18"/>
          <w:color w:val="auto"/>
        </w:rPr>
        <w:t>Financial and Accounting Officer)</w:t>
      </w:r>
    </w:p>
    <w:p>
      <w:pPr>
        <w:sectPr>
          <w:pgSz w:w="11900" w:h="16838" w:orient="portrait"/>
          <w:cols w:equalWidth="0" w:num="1">
            <w:col w:w="11240"/>
          </w:cols>
          <w:pgMar w:left="320" w:top="887"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OF CHIEF EXECUTIVE OFFICER AND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 Seamus Grady, certify, pursuant to 18 U.S.C. Section 1350, as adopted pursuant to Section 906 of the Sarbanes-Oxley Act of 2002, that the Quarterly Report on Form 10-Q of Fabrinet for the fiscal quarter ended March 27, 2026 fully complies with the requirements of Section 13(a) or 15(d) of the Securities Exchange Act of 1934 and that information contained in this Quarterly Report on Form 10-Q fairly presents, in all material respects, the financial condition and results of operations of Fabrinet.</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/s/ </w:t>
            </w:r>
            <w:r>
              <w:rPr>
                <w:rFonts w:ascii="Times New Roman" w:cs="Times New Roman" w:eastAsia="Times New Roman" w:hAnsi="Times New Roman"/>
                <w:sz w:val="16"/>
                <w:szCs w:val="16"/>
                <w:color w:val="auto"/>
              </w:rPr>
              <w:t>SEAMUS GRADY</w:t>
            </w: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Seamus Grady</w:t>
            </w:r>
          </w:p>
        </w:tc>
      </w:tr>
      <w:tr>
        <w:trPr>
          <w:trHeight w:val="234"/>
        </w:trPr>
        <w:tc>
          <w:tcPr>
            <w:tcW w:w="3280" w:type="dxa"/>
            <w:vAlign w:val="bottom"/>
          </w:tcPr>
          <w:p>
            <w:pPr>
              <w:spacing w:after="0"/>
              <w:rPr>
                <w:sz w:val="20"/>
                <w:szCs w:val="20"/>
                <w:color w:val="auto"/>
              </w:rPr>
            </w:pP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bl>
    <w:p>
      <w:pPr>
        <w:spacing w:after="0" w:line="27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I, Csaba Sverha, certify, pursuant to 18 U.S.C. Section 1350, as adopted pursuant to Section 906 of the Sarbanes-Oxley Act of 2002, that the Quarterly Report on Form 10-Q of Fabrinet for the fiscal quarter ended March 27, 2026 fully complies with the requirements of Section 13(a) or 15(d) of the Securities Exchange Act of 1934 and that information contained in this Quarterly Report on Form 10-Q fairly presents, in all material respects, the financial condition and results of operations of Fabrinet.</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w:t>
            </w:r>
            <w:r>
              <w:rPr>
                <w:rFonts w:ascii="Times New Roman" w:cs="Times New Roman" w:eastAsia="Times New Roman" w:hAnsi="Times New Roman"/>
                <w:sz w:val="16"/>
                <w:szCs w:val="16"/>
                <w:color w:val="auto"/>
              </w:rPr>
              <w:t>SABA</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6"/>
                <w:szCs w:val="16"/>
                <w:color w:val="auto"/>
              </w:rPr>
              <w:t>VERHA</w:t>
            </w:r>
          </w:p>
        </w:tc>
      </w:tr>
      <w:tr>
        <w:trPr>
          <w:trHeight w:val="218"/>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2026</w:t>
            </w:r>
          </w:p>
        </w:tc>
        <w:tc>
          <w:tcPr>
            <w:tcW w:w="26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Csaba Sverha</w:t>
            </w:r>
          </w:p>
        </w:tc>
      </w:tr>
      <w:tr>
        <w:trPr>
          <w:trHeight w:val="180"/>
        </w:trPr>
        <w:tc>
          <w:tcPr>
            <w:tcW w:w="3280" w:type="dxa"/>
            <w:vAlign w:val="bottom"/>
          </w:tcPr>
          <w:p>
            <w:pPr>
              <w:spacing w:after="0"/>
              <w:rPr>
                <w:sz w:val="15"/>
                <w:szCs w:val="15"/>
                <w:color w:val="auto"/>
              </w:rPr>
            </w:pPr>
          </w:p>
        </w:tc>
        <w:tc>
          <w:tcPr>
            <w:tcW w:w="2680" w:type="dxa"/>
            <w:vAlign w:val="bottom"/>
          </w:tcPr>
          <w:p>
            <w:pPr>
              <w:ind w:left="192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Executive Vice President, Chief Financial Officer (Principal Financial</w:t>
            </w:r>
          </w:p>
        </w:tc>
      </w:tr>
      <w:tr>
        <w:trPr>
          <w:trHeight w:val="234"/>
        </w:trPr>
        <w:tc>
          <w:tcPr>
            <w:tcW w:w="328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Accounting Officer)</w:t>
            </w: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1."/>
      <w:numFmt w:val="decimal"/>
      <w:start w:val="1"/>
    </w:lvl>
  </w:abstractNum>
  <w:abstractNum w:abstractNumId="5">
    <w:nsid w:val="25E45D32"/>
    <w:multiLevelType w:val="hybridMultilevel"/>
    <w:lvl w:ilvl="0">
      <w:lvlJc w:val="left"/>
      <w:lvlText w:val="%1."/>
      <w:numFmt w:val="decimal"/>
      <w:start w:val="3"/>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4"/>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1."/>
      <w:numFmt w:val="decimal"/>
      <w:start w:val="5"/>
    </w:lvl>
  </w:abstractNum>
  <w:abstractNum w:abstractNumId="11">
    <w:nsid w:val="62BBD95A"/>
    <w:multiLevelType w:val="hybridMultilevel"/>
    <w:lvl w:ilvl="0">
      <w:lvlJc w:val="left"/>
      <w:lvlText w:val="%1."/>
      <w:numFmt w:val="decimal"/>
      <w:start w:val="6"/>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1)"/>
      <w:numFmt w:val="lowerRoman"/>
      <w:start w:val="2"/>
    </w:lvl>
  </w:abstractNum>
  <w:abstractNum w:abstractNumId="14">
    <w:nsid w:val="333AB105"/>
    <w:multiLevelType w:val="hybridMultilevel"/>
    <w:lvl w:ilvl="0">
      <w:lvlJc w:val="left"/>
      <w:lvlText w:val="%1."/>
      <w:numFmt w:val="decimal"/>
      <w:start w:val="8"/>
    </w:lvl>
  </w:abstractNum>
  <w:abstractNum w:abstractNumId="15">
    <w:nsid w:val="721DA317"/>
    <w:multiLevelType w:val="hybridMultilevel"/>
    <w:lvl w:ilvl="0">
      <w:lvlJc w:val="left"/>
      <w:lvlText w:val="%1."/>
      <w:numFmt w:val="decimal"/>
      <w:start w:val="9"/>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1)"/>
      <w:numFmt w:val="decimal"/>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1)"/>
      <w:numFmt w:val="decimal"/>
      <w:start w:val="1"/>
    </w:lvl>
  </w:abstractNum>
  <w:abstractNum w:abstractNumId="25">
    <w:nsid w:val="54E49EB4"/>
    <w:multiLevelType w:val="hybridMultilevel"/>
    <w:lvl w:ilvl="0">
      <w:lvlJc w:val="left"/>
      <w:lvlText w:val="%1"/>
      <w:numFmt w:val="decimal"/>
      <w:start w:val="104"/>
    </w:lvl>
  </w:abstractNum>
  <w:abstractNum w:abstractNumId="26">
    <w:nsid w:val="71F32454"/>
    <w:multiLevelType w:val="hybridMultilevel"/>
    <w:lvl w:ilvl="0">
      <w:lvlJc w:val="left"/>
      <w:lvlText w:val="%1."/>
      <w:numFmt w:val="decimal"/>
      <w:start w:val="1"/>
    </w:lvl>
    <w:lvl w:ilvl="1">
      <w:lvlJc w:val="left"/>
      <w:lvlText w:val="(%2)"/>
      <w:numFmt w:val="lowerLetter"/>
      <w:start w:val="1"/>
    </w:lvl>
  </w:abstractNum>
  <w:abstractNum w:abstractNumId="27">
    <w:nsid w:val="2CA8861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2026-05-05T06:18:03Z</dcterms:created>
  <dcterms:modified xsi:type="dcterms:W3CDTF">2026-05-05T06:18:03Z</dcterms:modified>
</cp:coreProperties>
</file>