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9"/>
          <w:szCs w:val="19"/>
          <w:color w:val="auto"/>
        </w:rPr>
        <w:t>Form 144 Filer Information UNITED STATES</w:t>
      </w:r>
    </w:p>
    <w:p>
      <w:pPr>
        <w:spacing w:after="0" w:line="3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SECURITIES AND EXCHANGE COMMISSION</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216" w:lineRule="exact"/>
        <w:rPr>
          <w:sz w:val="24"/>
          <w:szCs w:val="24"/>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9"/>
          <w:szCs w:val="19"/>
          <w:color w:val="auto"/>
        </w:rPr>
        <w:t>FORM 144</w:t>
      </w:r>
      <w:r>
        <w:rPr>
          <w:sz w:val="20"/>
          <w:szCs w:val="20"/>
          <w:color w:val="auto"/>
        </w:rPr>
        <w:tab/>
      </w:r>
      <w:r>
        <w:rPr>
          <w:rFonts w:ascii="Times New Roman" w:cs="Times New Roman" w:eastAsia="Times New Roman" w:hAnsi="Times New Roman"/>
          <w:sz w:val="18"/>
          <w:szCs w:val="18"/>
          <w:color w:val="auto"/>
        </w:rPr>
        <w:t>Form 144</w:t>
      </w:r>
    </w:p>
    <w:p>
      <w:pPr>
        <w:spacing w:after="0" w:line="239"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NOTICE OF PROPOSED SALE OF SECURITIES</w:t>
      </w:r>
    </w:p>
    <w:p>
      <w:pPr>
        <w:spacing w:after="0" w:line="2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PURSUANT TO RULE 144 UNDER THE SECURITIES ACT OF 1933</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Filer Information</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CIK</w:t>
            </w:r>
          </w:p>
        </w:tc>
        <w:tc>
          <w:tcPr>
            <w:tcW w:w="29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0001899814</w:t>
            </w:r>
          </w:p>
        </w:tc>
        <w:tc>
          <w:tcPr>
            <w:tcW w:w="4200" w:type="dxa"/>
            <w:vAlign w:val="bottom"/>
          </w:tcPr>
          <w:p>
            <w:pPr>
              <w:spacing w:after="0"/>
              <w:rPr>
                <w:sz w:val="21"/>
                <w:szCs w:val="2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CCC</w:t>
            </w:r>
          </w:p>
        </w:tc>
        <w:tc>
          <w:tcPr>
            <w:tcW w:w="29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XXXXXXXX</w:t>
            </w:r>
          </w:p>
        </w:tc>
        <w:tc>
          <w:tcPr>
            <w:tcW w:w="4200" w:type="dxa"/>
            <w:vAlign w:val="bottom"/>
          </w:tcPr>
          <w:p>
            <w:pPr>
              <w:spacing w:after="0"/>
              <w:rPr>
                <w:sz w:val="24"/>
                <w:szCs w:val="24"/>
                <w:color w:val="auto"/>
              </w:rPr>
            </w:pPr>
          </w:p>
        </w:tc>
      </w:tr>
      <w:tr>
        <w:trPr>
          <w:trHeight w:val="28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Is this a LIVE or TEST Filing?</w:t>
            </w:r>
          </w:p>
        </w:tc>
        <w:tc>
          <w:tcPr>
            <w:tcW w:w="296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LIVE   TEST</w:t>
            </w:r>
          </w:p>
        </w:tc>
        <w:tc>
          <w:tcPr>
            <w:tcW w:w="4200" w:type="dxa"/>
            <w:vAlign w:val="bottom"/>
          </w:tcPr>
          <w:p>
            <w:pPr>
              <w:spacing w:after="0"/>
              <w:rPr>
                <w:sz w:val="24"/>
                <w:szCs w:val="24"/>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Submission Contact Information</w:t>
            </w:r>
          </w:p>
        </w:tc>
        <w:tc>
          <w:tcPr>
            <w:tcW w:w="296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52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w:t>
            </w:r>
          </w:p>
        </w:tc>
        <w:tc>
          <w:tcPr>
            <w:tcW w:w="296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296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E-Mail Address</w:t>
            </w:r>
          </w:p>
        </w:tc>
        <w:tc>
          <w:tcPr>
            <w:tcW w:w="296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742"/>
        </w:trPr>
        <w:tc>
          <w:tcPr>
            <w:tcW w:w="5620" w:type="dxa"/>
            <w:vAlign w:val="bottom"/>
            <w:gridSpan w:val="2"/>
          </w:tcPr>
          <w:p>
            <w:pPr>
              <w:spacing w:after="0"/>
              <w:rPr>
                <w:sz w:val="20"/>
                <w:szCs w:val="20"/>
                <w:color w:val="auto"/>
              </w:rPr>
            </w:pPr>
            <w:r>
              <w:rPr>
                <w:rFonts w:ascii="Times New Roman" w:cs="Times New Roman" w:eastAsia="Times New Roman" w:hAnsi="Times New Roman"/>
                <w:sz w:val="38"/>
                <w:szCs w:val="38"/>
                <w:b w:val="1"/>
                <w:bCs w:val="1"/>
                <w:color w:val="auto"/>
              </w:rPr>
              <w:t>144: Issuer Information</w:t>
            </w:r>
          </w:p>
        </w:tc>
        <w:tc>
          <w:tcPr>
            <w:tcW w:w="4200" w:type="dxa"/>
            <w:vAlign w:val="bottom"/>
          </w:tcPr>
          <w:p>
            <w:pPr>
              <w:spacing w:after="0"/>
              <w:rPr>
                <w:sz w:val="24"/>
                <w:szCs w:val="24"/>
                <w:color w:val="auto"/>
              </w:rPr>
            </w:pPr>
          </w:p>
        </w:tc>
      </w:tr>
      <w:tr>
        <w:trPr>
          <w:trHeight w:val="50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 of Issuer</w:t>
            </w:r>
          </w:p>
        </w:tc>
        <w:tc>
          <w:tcPr>
            <w:tcW w:w="2960" w:type="dxa"/>
            <w:vAlign w:val="bottom"/>
          </w:tcPr>
          <w:p>
            <w:pPr>
              <w:spacing w:after="0"/>
              <w:rPr>
                <w:sz w:val="24"/>
                <w:szCs w:val="24"/>
                <w:color w:val="auto"/>
              </w:rPr>
            </w:pPr>
          </w:p>
        </w:tc>
        <w:tc>
          <w:tcPr>
            <w:tcW w:w="4200" w:type="dxa"/>
            <w:vAlign w:val="bottom"/>
          </w:tcPr>
          <w:p>
            <w:pPr>
              <w:ind w:left="500"/>
              <w:spacing w:after="0"/>
              <w:rPr>
                <w:sz w:val="20"/>
                <w:szCs w:val="20"/>
                <w:color w:val="auto"/>
              </w:rPr>
            </w:pPr>
            <w:r>
              <w:rPr>
                <w:rFonts w:ascii="Times New Roman" w:cs="Times New Roman" w:eastAsia="Times New Roman" w:hAnsi="Times New Roman"/>
                <w:sz w:val="19"/>
                <w:szCs w:val="19"/>
                <w:color w:val="auto"/>
              </w:rPr>
              <w:t>Fabrinet</w:t>
            </w: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 File Number</w:t>
            </w:r>
          </w:p>
        </w:tc>
        <w:tc>
          <w:tcPr>
            <w:tcW w:w="2960" w:type="dxa"/>
            <w:vAlign w:val="bottom"/>
          </w:tcPr>
          <w:p>
            <w:pPr>
              <w:spacing w:after="0"/>
              <w:rPr>
                <w:sz w:val="24"/>
                <w:szCs w:val="24"/>
                <w:color w:val="auto"/>
              </w:rPr>
            </w:pPr>
          </w:p>
        </w:tc>
        <w:tc>
          <w:tcPr>
            <w:tcW w:w="4200" w:type="dxa"/>
            <w:vAlign w:val="bottom"/>
          </w:tcPr>
          <w:p>
            <w:pPr>
              <w:ind w:left="500"/>
              <w:spacing w:after="0"/>
              <w:rPr>
                <w:sz w:val="20"/>
                <w:szCs w:val="20"/>
                <w:color w:val="auto"/>
              </w:rPr>
            </w:pPr>
            <w:r>
              <w:rPr>
                <w:rFonts w:ascii="Times New Roman" w:cs="Times New Roman" w:eastAsia="Times New Roman" w:hAnsi="Times New Roman"/>
                <w:sz w:val="19"/>
                <w:szCs w:val="19"/>
                <w:color w:val="auto"/>
              </w:rPr>
              <w:t>001-34775</w:t>
            </w:r>
          </w:p>
        </w:tc>
      </w:tr>
      <w:tr>
        <w:trPr>
          <w:trHeight w:val="253"/>
        </w:trPr>
        <w:tc>
          <w:tcPr>
            <w:tcW w:w="266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4200" w:type="dxa"/>
            <w:vAlign w:val="bottom"/>
          </w:tcPr>
          <w:p>
            <w:pPr>
              <w:ind w:left="500"/>
              <w:spacing w:after="0"/>
              <w:rPr>
                <w:sz w:val="20"/>
                <w:szCs w:val="20"/>
                <w:color w:val="auto"/>
              </w:rPr>
            </w:pPr>
            <w:r>
              <w:rPr>
                <w:rFonts w:ascii="Times New Roman" w:cs="Times New Roman" w:eastAsia="Times New Roman" w:hAnsi="Times New Roman"/>
                <w:sz w:val="19"/>
                <w:szCs w:val="19"/>
                <w:color w:val="auto"/>
              </w:rPr>
              <w:t>C/O INTERTRUST CORPORATE SERVICES</w:t>
            </w:r>
          </w:p>
        </w:tc>
      </w:tr>
      <w:tr>
        <w:trPr>
          <w:trHeight w:val="228"/>
        </w:trPr>
        <w:tc>
          <w:tcPr>
            <w:tcW w:w="26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00" w:type="dxa"/>
            <w:vAlign w:val="bottom"/>
          </w:tcPr>
          <w:p>
            <w:pPr>
              <w:ind w:left="500"/>
              <w:spacing w:after="0"/>
              <w:rPr>
                <w:sz w:val="20"/>
                <w:szCs w:val="20"/>
                <w:color w:val="auto"/>
              </w:rPr>
            </w:pPr>
            <w:r>
              <w:rPr>
                <w:rFonts w:ascii="Times New Roman" w:cs="Times New Roman" w:eastAsia="Times New Roman" w:hAnsi="Times New Roman"/>
                <w:sz w:val="19"/>
                <w:szCs w:val="19"/>
                <w:color w:val="auto"/>
              </w:rPr>
              <w:t>ONE NEXUS WAY, CAMANA BAY</w:t>
            </w:r>
          </w:p>
        </w:tc>
      </w:tr>
      <w:tr>
        <w:trPr>
          <w:trHeight w:val="22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Address of Issuer</w:t>
            </w:r>
          </w:p>
        </w:tc>
        <w:tc>
          <w:tcPr>
            <w:tcW w:w="2960" w:type="dxa"/>
            <w:vAlign w:val="bottom"/>
          </w:tcPr>
          <w:p>
            <w:pPr>
              <w:spacing w:after="0"/>
              <w:rPr>
                <w:sz w:val="19"/>
                <w:szCs w:val="19"/>
                <w:color w:val="auto"/>
              </w:rPr>
            </w:pPr>
          </w:p>
        </w:tc>
        <w:tc>
          <w:tcPr>
            <w:tcW w:w="4200" w:type="dxa"/>
            <w:vAlign w:val="bottom"/>
          </w:tcPr>
          <w:p>
            <w:pPr>
              <w:ind w:left="500"/>
              <w:spacing w:after="0"/>
              <w:rPr>
                <w:sz w:val="20"/>
                <w:szCs w:val="20"/>
                <w:color w:val="auto"/>
              </w:rPr>
            </w:pPr>
            <w:r>
              <w:rPr>
                <w:rFonts w:ascii="Times New Roman" w:cs="Times New Roman" w:eastAsia="Times New Roman" w:hAnsi="Times New Roman"/>
                <w:sz w:val="19"/>
                <w:szCs w:val="19"/>
                <w:color w:val="auto"/>
              </w:rPr>
              <w:t>GRAND CAYMAN</w:t>
            </w:r>
          </w:p>
        </w:tc>
      </w:tr>
      <w:tr>
        <w:trPr>
          <w:trHeight w:val="228"/>
        </w:trPr>
        <w:tc>
          <w:tcPr>
            <w:tcW w:w="26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00" w:type="dxa"/>
            <w:vAlign w:val="bottom"/>
          </w:tcPr>
          <w:p>
            <w:pPr>
              <w:ind w:left="500"/>
              <w:spacing w:after="0"/>
              <w:rPr>
                <w:sz w:val="20"/>
                <w:szCs w:val="20"/>
                <w:color w:val="auto"/>
              </w:rPr>
            </w:pPr>
            <w:r>
              <w:rPr>
                <w:rFonts w:ascii="Times New Roman" w:cs="Times New Roman" w:eastAsia="Times New Roman" w:hAnsi="Times New Roman"/>
                <w:sz w:val="19"/>
                <w:szCs w:val="19"/>
                <w:color w:val="auto"/>
              </w:rPr>
              <w:t>CAYMAN ISLANDS</w:t>
            </w:r>
          </w:p>
        </w:tc>
      </w:tr>
      <w:tr>
        <w:trPr>
          <w:trHeight w:val="251"/>
        </w:trPr>
        <w:tc>
          <w:tcPr>
            <w:tcW w:w="266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200" w:type="dxa"/>
            <w:vAlign w:val="bottom"/>
          </w:tcPr>
          <w:p>
            <w:pPr>
              <w:ind w:left="500"/>
              <w:spacing w:after="0"/>
              <w:rPr>
                <w:sz w:val="20"/>
                <w:szCs w:val="20"/>
                <w:color w:val="auto"/>
              </w:rPr>
            </w:pPr>
            <w:r>
              <w:rPr>
                <w:rFonts w:ascii="Times New Roman" w:cs="Times New Roman" w:eastAsia="Times New Roman" w:hAnsi="Times New Roman"/>
                <w:sz w:val="19"/>
                <w:szCs w:val="19"/>
                <w:color w:val="auto"/>
              </w:rPr>
              <w:t>KY1-9005</w:t>
            </w: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2960" w:type="dxa"/>
            <w:vAlign w:val="bottom"/>
          </w:tcPr>
          <w:p>
            <w:pPr>
              <w:spacing w:after="0"/>
              <w:rPr>
                <w:sz w:val="24"/>
                <w:szCs w:val="24"/>
                <w:color w:val="auto"/>
              </w:rPr>
            </w:pPr>
          </w:p>
        </w:tc>
        <w:tc>
          <w:tcPr>
            <w:tcW w:w="4200" w:type="dxa"/>
            <w:vAlign w:val="bottom"/>
          </w:tcPr>
          <w:p>
            <w:pPr>
              <w:ind w:left="500"/>
              <w:spacing w:after="0"/>
              <w:rPr>
                <w:sz w:val="20"/>
                <w:szCs w:val="20"/>
                <w:color w:val="auto"/>
              </w:rPr>
            </w:pPr>
            <w:r>
              <w:rPr>
                <w:rFonts w:ascii="Times New Roman" w:cs="Times New Roman" w:eastAsia="Times New Roman" w:hAnsi="Times New Roman"/>
                <w:sz w:val="19"/>
                <w:szCs w:val="19"/>
                <w:color w:val="auto"/>
              </w:rPr>
              <w:t>(408) 748 0900</w:t>
            </w:r>
          </w:p>
        </w:tc>
      </w:tr>
      <w:tr>
        <w:trPr>
          <w:trHeight w:val="276"/>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Name of Person for Whose Account the Securities are To Be Sold</w:t>
            </w:r>
          </w:p>
        </w:tc>
        <w:tc>
          <w:tcPr>
            <w:tcW w:w="4200" w:type="dxa"/>
            <w:vAlign w:val="bottom"/>
          </w:tcPr>
          <w:p>
            <w:pPr>
              <w:ind w:left="500"/>
              <w:spacing w:after="0"/>
              <w:rPr>
                <w:sz w:val="20"/>
                <w:szCs w:val="20"/>
                <w:color w:val="auto"/>
              </w:rPr>
            </w:pPr>
            <w:r>
              <w:rPr>
                <w:rFonts w:ascii="Times New Roman" w:cs="Times New Roman" w:eastAsia="Times New Roman" w:hAnsi="Times New Roman"/>
                <w:sz w:val="19"/>
                <w:szCs w:val="19"/>
                <w:color w:val="auto"/>
              </w:rPr>
              <w:t>Knight Darlene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1711325</wp:posOffset>
            </wp:positionH>
            <wp:positionV relativeFrom="paragraph">
              <wp:posOffset>-3092450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-3092450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5" w:lineRule="exact"/>
        <w:rPr>
          <w:sz w:val="24"/>
          <w:szCs w:val="24"/>
          <w:color w:val="auto"/>
        </w:rPr>
      </w:pPr>
    </w:p>
    <w:p>
      <w:pPr>
        <w:jc w:val="both"/>
        <w:ind w:left="40" w:right="20"/>
        <w:spacing w:after="0" w:line="265" w:lineRule="auto"/>
        <w:rPr>
          <w:sz w:val="20"/>
          <w:szCs w:val="20"/>
          <w:color w:val="auto"/>
        </w:rPr>
      </w:pPr>
      <w:r>
        <w:rPr>
          <w:rFonts w:ascii="Times New Roman" w:cs="Times New Roman" w:eastAsia="Times New Roman" w:hAnsi="Times New Roman"/>
          <w:sz w:val="19"/>
          <w:szCs w:val="19"/>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4"/>
          <w:szCs w:val="24"/>
          <w:color w:val="auto"/>
        </w:rPr>
      </w:pPr>
    </w:p>
    <w:p>
      <w:pPr>
        <w:spacing w:after="0" w:line="265"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19"/>
          <w:szCs w:val="19"/>
          <w:color w:val="auto"/>
        </w:rPr>
        <w:t>Relationship to Issuer</w:t>
      </w:r>
      <w:r>
        <w:rPr>
          <w:sz w:val="20"/>
          <w:szCs w:val="20"/>
          <w:color w:val="auto"/>
        </w:rPr>
        <w:tab/>
      </w:r>
      <w:r>
        <w:rPr>
          <w:rFonts w:ascii="Times New Roman" w:cs="Times New Roman" w:eastAsia="Times New Roman" w:hAnsi="Times New Roman"/>
          <w:sz w:val="19"/>
          <w:szCs w:val="19"/>
          <w:color w:val="auto"/>
        </w:rPr>
        <w:t>Director</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Information</w:t>
      </w:r>
    </w:p>
    <w:p>
      <w:pPr>
        <w:sectPr>
          <w:pgSz w:w="11900" w:h="16840" w:orient="portrait"/>
          <w:cols w:equalWidth="0" w:num="1">
            <w:col w:w="10560"/>
          </w:cols>
          <w:pgMar w:left="660" w:top="592" w:right="680" w:bottom="247" w:gutter="0" w:footer="0" w:header="0"/>
        </w:sectPr>
      </w:pPr>
    </w:p>
    <w:p>
      <w:pPr>
        <w:spacing w:after="0" w:line="32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21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00" w:type="dxa"/>
            <w:vAlign w:val="bottom"/>
          </w:tcPr>
          <w:p>
            <w:pPr>
              <w:jc w:val="center"/>
              <w:ind w:left="44"/>
              <w:spacing w:after="0"/>
              <w:rPr>
                <w:sz w:val="20"/>
                <w:szCs w:val="20"/>
                <w:color w:val="auto"/>
              </w:rPr>
            </w:pPr>
            <w:r>
              <w:rPr>
                <w:rFonts w:ascii="Times New Roman" w:cs="Times New Roman" w:eastAsia="Times New Roman" w:hAnsi="Times New Roman"/>
                <w:sz w:val="19"/>
                <w:szCs w:val="19"/>
                <w:b w:val="1"/>
                <w:bCs w:val="1"/>
                <w:color w:val="auto"/>
                <w:w w:val="99"/>
              </w:rPr>
              <w:t>Number of</w:t>
            </w:r>
          </w:p>
        </w:tc>
        <w:tc>
          <w:tcPr>
            <w:tcW w:w="0" w:type="dxa"/>
            <w:vAlign w:val="bottom"/>
          </w:tcPr>
          <w:p>
            <w:pPr>
              <w:spacing w:after="0"/>
              <w:rPr>
                <w:sz w:val="1"/>
                <w:szCs w:val="1"/>
                <w:color w:val="auto"/>
              </w:rPr>
            </w:pPr>
          </w:p>
        </w:tc>
      </w:tr>
      <w:tr>
        <w:trPr>
          <w:trHeight w:val="228"/>
        </w:trPr>
        <w:tc>
          <w:tcPr>
            <w:tcW w:w="218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Title of the Class of</w:t>
            </w:r>
          </w:p>
        </w:tc>
        <w:tc>
          <w:tcPr>
            <w:tcW w:w="2340" w:type="dxa"/>
            <w:vAlign w:val="bottom"/>
          </w:tcPr>
          <w:p>
            <w:pPr>
              <w:ind w:left="220"/>
              <w:spacing w:after="0"/>
              <w:rPr>
                <w:sz w:val="20"/>
                <w:szCs w:val="20"/>
                <w:color w:val="auto"/>
              </w:rPr>
            </w:pPr>
            <w:r>
              <w:rPr>
                <w:rFonts w:ascii="Times New Roman" w:cs="Times New Roman" w:eastAsia="Times New Roman" w:hAnsi="Times New Roman"/>
                <w:sz w:val="19"/>
                <w:szCs w:val="19"/>
                <w:b w:val="1"/>
                <w:bCs w:val="1"/>
                <w:color w:val="auto"/>
              </w:rPr>
              <w:t>Name and Address of the</w:t>
            </w:r>
          </w:p>
        </w:tc>
        <w:tc>
          <w:tcPr>
            <w:tcW w:w="1100" w:type="dxa"/>
            <w:vAlign w:val="bottom"/>
          </w:tcPr>
          <w:p>
            <w:pPr>
              <w:jc w:val="center"/>
              <w:ind w:left="44"/>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0" w:type="dxa"/>
            <w:vAlign w:val="bottom"/>
          </w:tcPr>
          <w:p>
            <w:pPr>
              <w:spacing w:after="0"/>
              <w:rPr>
                <w:sz w:val="1"/>
                <w:szCs w:val="1"/>
                <w:color w:val="auto"/>
              </w:rPr>
            </w:pPr>
          </w:p>
        </w:tc>
      </w:tr>
      <w:tr>
        <w:trPr>
          <w:trHeight w:val="228"/>
        </w:trPr>
        <w:tc>
          <w:tcPr>
            <w:tcW w:w="218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Securities To Be Sold</w:t>
            </w:r>
          </w:p>
        </w:tc>
        <w:tc>
          <w:tcPr>
            <w:tcW w:w="2340" w:type="dxa"/>
            <w:vAlign w:val="bottom"/>
          </w:tcPr>
          <w:p>
            <w:pPr>
              <w:ind w:left="960"/>
              <w:spacing w:after="0"/>
              <w:rPr>
                <w:sz w:val="20"/>
                <w:szCs w:val="20"/>
                <w:color w:val="auto"/>
              </w:rPr>
            </w:pPr>
            <w:r>
              <w:rPr>
                <w:rFonts w:ascii="Times New Roman" w:cs="Times New Roman" w:eastAsia="Times New Roman" w:hAnsi="Times New Roman"/>
                <w:sz w:val="19"/>
                <w:szCs w:val="19"/>
                <w:b w:val="1"/>
                <w:bCs w:val="1"/>
                <w:color w:val="auto"/>
              </w:rPr>
              <w:t>Broker</w:t>
            </w:r>
          </w:p>
        </w:tc>
        <w:tc>
          <w:tcPr>
            <w:tcW w:w="1100" w:type="dxa"/>
            <w:vAlign w:val="bottom"/>
          </w:tcPr>
          <w:p>
            <w:pPr>
              <w:jc w:val="center"/>
              <w:ind w:left="44"/>
              <w:spacing w:after="0"/>
              <w:rPr>
                <w:sz w:val="20"/>
                <w:szCs w:val="20"/>
                <w:color w:val="auto"/>
              </w:rPr>
            </w:pPr>
            <w:r>
              <w:rPr>
                <w:rFonts w:ascii="Times New Roman" w:cs="Times New Roman" w:eastAsia="Times New Roman" w:hAnsi="Times New Roman"/>
                <w:sz w:val="19"/>
                <w:szCs w:val="19"/>
                <w:b w:val="1"/>
                <w:bCs w:val="1"/>
                <w:color w:val="auto"/>
                <w:w w:val="99"/>
              </w:rPr>
              <w:t>Other Units</w:t>
            </w:r>
          </w:p>
        </w:tc>
        <w:tc>
          <w:tcPr>
            <w:tcW w:w="0" w:type="dxa"/>
            <w:vAlign w:val="bottom"/>
          </w:tcPr>
          <w:p>
            <w:pPr>
              <w:spacing w:after="0"/>
              <w:rPr>
                <w:sz w:val="1"/>
                <w:szCs w:val="1"/>
                <w:color w:val="auto"/>
              </w:rPr>
            </w:pPr>
          </w:p>
        </w:tc>
      </w:tr>
      <w:tr>
        <w:trPr>
          <w:trHeight w:val="253"/>
        </w:trPr>
        <w:tc>
          <w:tcPr>
            <w:tcW w:w="21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10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To Be Sold</w:t>
            </w:r>
          </w:p>
        </w:tc>
        <w:tc>
          <w:tcPr>
            <w:tcW w:w="0" w:type="dxa"/>
            <w:vAlign w:val="bottom"/>
          </w:tcPr>
          <w:p>
            <w:pPr>
              <w:spacing w:after="0"/>
              <w:rPr>
                <w:sz w:val="1"/>
                <w:szCs w:val="1"/>
                <w:color w:val="auto"/>
              </w:rPr>
            </w:pPr>
          </w:p>
        </w:tc>
      </w:tr>
      <w:tr>
        <w:trPr>
          <w:trHeight w:val="253"/>
        </w:trPr>
        <w:tc>
          <w:tcPr>
            <w:tcW w:w="2180" w:type="dxa"/>
            <w:vAlign w:val="bottom"/>
          </w:tcPr>
          <w:p>
            <w:pPr>
              <w:spacing w:after="0"/>
              <w:rPr>
                <w:sz w:val="22"/>
                <w:szCs w:val="22"/>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Citigroup Global Markets,</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1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Ordinary Shares</w:t>
            </w:r>
          </w:p>
        </w:tc>
        <w:tc>
          <w:tcPr>
            <w:tcW w:w="23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Inc.</w:t>
            </w:r>
          </w:p>
        </w:tc>
        <w:tc>
          <w:tcPr>
            <w:tcW w:w="1100" w:type="dxa"/>
            <w:vAlign w:val="bottom"/>
            <w:vMerge w:val="restart"/>
          </w:tcPr>
          <w:p>
            <w:pPr>
              <w:jc w:val="right"/>
              <w:ind w:right="644"/>
              <w:spacing w:after="0"/>
              <w:rPr>
                <w:sz w:val="20"/>
                <w:szCs w:val="20"/>
                <w:color w:val="auto"/>
              </w:rPr>
            </w:pPr>
            <w:r>
              <w:rPr>
                <w:rFonts w:ascii="Times New Roman" w:cs="Times New Roman" w:eastAsia="Times New Roman" w:hAnsi="Times New Roman"/>
                <w:sz w:val="19"/>
                <w:szCs w:val="19"/>
                <w:color w:val="auto"/>
              </w:rPr>
              <w:t>500</w:t>
            </w:r>
          </w:p>
        </w:tc>
        <w:tc>
          <w:tcPr>
            <w:tcW w:w="0" w:type="dxa"/>
            <w:vAlign w:val="bottom"/>
          </w:tcPr>
          <w:p>
            <w:pPr>
              <w:spacing w:after="0"/>
              <w:rPr>
                <w:sz w:val="1"/>
                <w:szCs w:val="1"/>
                <w:color w:val="auto"/>
              </w:rPr>
            </w:pPr>
          </w:p>
        </w:tc>
      </w:tr>
      <w:tr>
        <w:trPr>
          <w:trHeight w:val="131"/>
        </w:trPr>
        <w:tc>
          <w:tcPr>
            <w:tcW w:w="2180" w:type="dxa"/>
            <w:vAlign w:val="bottom"/>
            <w:vMerge w:val="continue"/>
          </w:tcPr>
          <w:p>
            <w:pPr>
              <w:spacing w:after="0"/>
              <w:rPr>
                <w:sz w:val="11"/>
                <w:szCs w:val="11"/>
                <w:color w:val="auto"/>
              </w:rPr>
            </w:pPr>
          </w:p>
        </w:tc>
        <w:tc>
          <w:tcPr>
            <w:tcW w:w="2340" w:type="dxa"/>
            <w:vAlign w:val="bottom"/>
            <w:vMerge w:val="restart"/>
          </w:tcPr>
          <w:p>
            <w:pPr>
              <w:ind w:left="160"/>
              <w:spacing w:after="0"/>
              <w:rPr>
                <w:sz w:val="20"/>
                <w:szCs w:val="20"/>
                <w:color w:val="auto"/>
              </w:rPr>
            </w:pPr>
            <w:r>
              <w:rPr>
                <w:rFonts w:ascii="Times New Roman" w:cs="Times New Roman" w:eastAsia="Times New Roman" w:hAnsi="Times New Roman"/>
                <w:sz w:val="19"/>
                <w:szCs w:val="19"/>
                <w:color w:val="auto"/>
              </w:rPr>
              <w:t>390 Greenwich St.</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18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180" w:type="dxa"/>
            <w:vAlign w:val="bottom"/>
          </w:tcPr>
          <w:p>
            <w:pPr>
              <w:spacing w:after="0"/>
              <w:rPr>
                <w:sz w:val="21"/>
                <w:szCs w:val="21"/>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New York  NY  10013</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12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Name the</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Aggregate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Approximate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Securities</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Market Value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Other Units</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Date of Sale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Exchange</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2"/>
        </w:trPr>
        <w:tc>
          <w:tcPr>
            <w:tcW w:w="1220" w:type="dxa"/>
            <w:vAlign w:val="bottom"/>
          </w:tcPr>
          <w:p>
            <w:pPr>
              <w:jc w:val="right"/>
              <w:ind w:right="304"/>
              <w:spacing w:after="0"/>
              <w:rPr>
                <w:sz w:val="20"/>
                <w:szCs w:val="20"/>
                <w:color w:val="auto"/>
              </w:rPr>
            </w:pPr>
            <w:r>
              <w:rPr>
                <w:rFonts w:ascii="Times New Roman" w:cs="Times New Roman" w:eastAsia="Times New Roman" w:hAnsi="Times New Roman"/>
                <w:sz w:val="19"/>
                <w:szCs w:val="19"/>
                <w:color w:val="auto"/>
                <w:w w:val="99"/>
              </w:rPr>
              <w:t>241000.00</w:t>
            </w:r>
          </w:p>
        </w:tc>
        <w:tc>
          <w:tcPr>
            <w:tcW w:w="114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35827210</w:t>
            </w: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12/05/2025   NYSE</w:t>
            </w:r>
          </w:p>
        </w:tc>
        <w:tc>
          <w:tcPr>
            <w:tcW w:w="0" w:type="dxa"/>
            <w:vAlign w:val="bottom"/>
          </w:tcPr>
          <w:p>
            <w:pPr>
              <w:spacing w:after="0"/>
              <w:rPr>
                <w:sz w:val="1"/>
                <w:szCs w:val="1"/>
                <w:color w:val="auto"/>
              </w:rPr>
            </w:pPr>
          </w:p>
        </w:tc>
      </w:tr>
    </w:tbl>
    <w:p>
      <w:pPr>
        <w:spacing w:after="0" w:line="548" w:lineRule="exact"/>
        <w:rPr>
          <w:sz w:val="24"/>
          <w:szCs w:val="24"/>
          <w:color w:val="auto"/>
        </w:rPr>
      </w:pPr>
    </w:p>
    <w:p>
      <w:pPr>
        <w:sectPr>
          <w:pgSz w:w="11900" w:h="16840" w:orient="portrait"/>
          <w:cols w:equalWidth="0" w:num="2">
            <w:col w:w="5660" w:space="120"/>
            <w:col w:w="4780"/>
          </w:cols>
          <w:pgMar w:left="660" w:top="592" w:right="680" w:bottom="247" w:gutter="0" w:footer="0" w:header="0"/>
          <w:type w:val="continuous"/>
        </w:sectPr>
      </w:pPr>
    </w:p>
    <w:p>
      <w:pPr>
        <w:spacing w:after="0" w:line="269"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with respect to the acquisition of the securities to be sold and with respect to the payment of all or any part of the purchase price or other consideration therefor:</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To Be Sold</w:t>
      </w:r>
    </w:p>
    <w:p>
      <w:pPr>
        <w:spacing w:after="0" w:line="32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1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w:t>
            </w:r>
          </w:p>
        </w:tc>
        <w:tc>
          <w:tcPr>
            <w:tcW w:w="1540" w:type="dxa"/>
            <w:vAlign w:val="bottom"/>
            <w:vMerge w:val="restart"/>
          </w:tcPr>
          <w:p>
            <w:pPr>
              <w:jc w:val="center"/>
              <w:ind w:left="64"/>
              <w:spacing w:after="0"/>
              <w:rPr>
                <w:sz w:val="20"/>
                <w:szCs w:val="20"/>
                <w:color w:val="auto"/>
              </w:rPr>
            </w:pPr>
            <w:r>
              <w:rPr>
                <w:rFonts w:ascii="Times New Roman" w:cs="Times New Roman" w:eastAsia="Times New Roman" w:hAnsi="Times New Roman"/>
                <w:sz w:val="19"/>
                <w:szCs w:val="19"/>
                <w:b w:val="1"/>
                <w:bCs w:val="1"/>
                <w:color w:val="auto"/>
              </w:rPr>
              <w:t>Name of Person</w:t>
            </w:r>
          </w:p>
        </w:tc>
        <w:tc>
          <w:tcPr>
            <w:tcW w:w="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4"/>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Date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9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9"/>
                <w:szCs w:val="19"/>
                <w:b w:val="1"/>
                <w:bCs w:val="1"/>
                <w:color w:val="auto"/>
              </w:rPr>
              <w:t>Date you</w:t>
            </w:r>
          </w:p>
        </w:tc>
        <w:tc>
          <w:tcPr>
            <w:tcW w:w="13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this</w:t>
            </w:r>
          </w:p>
        </w:tc>
        <w:tc>
          <w:tcPr>
            <w:tcW w:w="9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Date of</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 Payment</w:t>
            </w:r>
          </w:p>
        </w:tc>
        <w:tc>
          <w:tcPr>
            <w:tcW w:w="0" w:type="dxa"/>
            <w:vAlign w:val="bottom"/>
          </w:tcPr>
          <w:p>
            <w:pPr>
              <w:spacing w:after="0"/>
              <w:rPr>
                <w:sz w:val="1"/>
                <w:szCs w:val="1"/>
                <w:color w:val="auto"/>
              </w:rPr>
            </w:pPr>
          </w:p>
        </w:tc>
      </w:tr>
      <w:tr>
        <w:trPr>
          <w:trHeight w:val="195"/>
        </w:trPr>
        <w:tc>
          <w:tcPr>
            <w:tcW w:w="1420" w:type="dxa"/>
            <w:vAlign w:val="bottom"/>
          </w:tcPr>
          <w:p>
            <w:pPr>
              <w:spacing w:after="0" w:line="195" w:lineRule="exact"/>
              <w:rPr>
                <w:sz w:val="20"/>
                <w:szCs w:val="20"/>
                <w:color w:val="auto"/>
              </w:rPr>
            </w:pPr>
            <w:r>
              <w:rPr>
                <w:rFonts w:ascii="Times New Roman" w:cs="Times New Roman" w:eastAsia="Times New Roman" w:hAnsi="Times New Roman"/>
                <w:sz w:val="19"/>
                <w:szCs w:val="19"/>
                <w:b w:val="1"/>
                <w:bCs w:val="1"/>
                <w:color w:val="auto"/>
              </w:rPr>
              <w:t>Title of the Class</w:t>
            </w:r>
          </w:p>
        </w:tc>
        <w:tc>
          <w:tcPr>
            <w:tcW w:w="1020" w:type="dxa"/>
            <w:vAlign w:val="bottom"/>
            <w:vMerge w:val="continue"/>
          </w:tcPr>
          <w:p>
            <w:pPr>
              <w:spacing w:after="0"/>
              <w:rPr>
                <w:sz w:val="16"/>
                <w:szCs w:val="16"/>
                <w:color w:val="auto"/>
              </w:rPr>
            </w:pPr>
          </w:p>
        </w:tc>
        <w:tc>
          <w:tcPr>
            <w:tcW w:w="138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Acquisition</w:t>
            </w:r>
          </w:p>
        </w:tc>
        <w:tc>
          <w:tcPr>
            <w:tcW w:w="1540" w:type="dxa"/>
            <w:vAlign w:val="bottom"/>
          </w:tcPr>
          <w:p>
            <w:pPr>
              <w:jc w:val="center"/>
              <w:ind w:left="64"/>
              <w:spacing w:after="0" w:line="195" w:lineRule="exact"/>
              <w:rPr>
                <w:sz w:val="20"/>
                <w:szCs w:val="20"/>
                <w:color w:val="auto"/>
              </w:rPr>
            </w:pPr>
            <w:r>
              <w:rPr>
                <w:rFonts w:ascii="Times New Roman" w:cs="Times New Roman" w:eastAsia="Times New Roman" w:hAnsi="Times New Roman"/>
                <w:sz w:val="19"/>
                <w:szCs w:val="19"/>
                <w:b w:val="1"/>
                <w:bCs w:val="1"/>
                <w:color w:val="auto"/>
              </w:rPr>
              <w:t>from Whom</w:t>
            </w:r>
          </w:p>
        </w:tc>
        <w:tc>
          <w:tcPr>
            <w:tcW w:w="520" w:type="dxa"/>
            <w:vAlign w:val="bottom"/>
            <w:vMerge w:val="continue"/>
          </w:tcPr>
          <w:p>
            <w:pPr>
              <w:spacing w:after="0"/>
              <w:rPr>
                <w:sz w:val="16"/>
                <w:szCs w:val="16"/>
                <w:color w:val="auto"/>
              </w:rPr>
            </w:pPr>
          </w:p>
        </w:tc>
        <w:tc>
          <w:tcPr>
            <w:tcW w:w="900" w:type="dxa"/>
            <w:vAlign w:val="bottom"/>
          </w:tcPr>
          <w:p>
            <w:pPr>
              <w:jc w:val="center"/>
              <w:ind w:right="4"/>
              <w:spacing w:after="0" w:line="195" w:lineRule="exact"/>
              <w:rPr>
                <w:sz w:val="20"/>
                <w:szCs w:val="20"/>
                <w:color w:val="auto"/>
              </w:rPr>
            </w:pPr>
            <w:r>
              <w:rPr>
                <w:rFonts w:ascii="Times New Roman" w:cs="Times New Roman" w:eastAsia="Times New Roman" w:hAnsi="Times New Roman"/>
                <w:sz w:val="19"/>
                <w:szCs w:val="19"/>
                <w:b w:val="1"/>
                <w:bCs w:val="1"/>
                <w:color w:val="auto"/>
              </w:rPr>
              <w:t>Donor</w:t>
            </w:r>
          </w:p>
        </w:tc>
        <w:tc>
          <w:tcPr>
            <w:tcW w:w="114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Securities</w:t>
            </w:r>
          </w:p>
        </w:tc>
        <w:tc>
          <w:tcPr>
            <w:tcW w:w="9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20" w:type="dxa"/>
            <w:vAlign w:val="bottom"/>
          </w:tcPr>
          <w:p>
            <w:pPr>
              <w:spacing w:after="0"/>
              <w:rPr>
                <w:sz w:val="13"/>
                <w:szCs w:val="13"/>
                <w:color w:val="auto"/>
              </w:rPr>
            </w:pPr>
          </w:p>
        </w:tc>
        <w:tc>
          <w:tcPr>
            <w:tcW w:w="1020" w:type="dxa"/>
            <w:vAlign w:val="bottom"/>
          </w:tcPr>
          <w:p>
            <w:pPr>
              <w:ind w:left="60"/>
              <w:spacing w:after="0" w:line="153" w:lineRule="exact"/>
              <w:rPr>
                <w:sz w:val="20"/>
                <w:szCs w:val="20"/>
                <w:color w:val="auto"/>
              </w:rPr>
            </w:pPr>
            <w:r>
              <w:rPr>
                <w:rFonts w:ascii="Times New Roman" w:cs="Times New Roman" w:eastAsia="Times New Roman" w:hAnsi="Times New Roman"/>
                <w:sz w:val="17"/>
                <w:szCs w:val="17"/>
                <w:b w:val="1"/>
                <w:bCs w:val="1"/>
                <w:color w:val="auto"/>
              </w:rPr>
              <w:t>Acquired</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Transaction</w:t>
            </w:r>
          </w:p>
        </w:tc>
        <w:tc>
          <w:tcPr>
            <w:tcW w:w="1540" w:type="dxa"/>
            <w:vAlign w:val="bottom"/>
            <w:vMerge w:val="restart"/>
          </w:tcPr>
          <w:p>
            <w:pPr>
              <w:jc w:val="center"/>
              <w:ind w:left="64"/>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52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a</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Acquired</w:t>
            </w:r>
          </w:p>
        </w:tc>
        <w:tc>
          <w:tcPr>
            <w:tcW w:w="94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Payment</w:t>
            </w:r>
          </w:p>
        </w:tc>
        <w:tc>
          <w:tcPr>
            <w:tcW w:w="1620" w:type="dxa"/>
            <w:vAlign w:val="bottom"/>
          </w:tcPr>
          <w:p>
            <w:pPr>
              <w:jc w:val="right"/>
              <w:ind w:right="649"/>
              <w:spacing w:after="0" w:line="153" w:lineRule="exact"/>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1540" w:type="dxa"/>
            <w:vAlign w:val="bottom"/>
            <w:vMerge w:val="continue"/>
          </w:tcPr>
          <w:p>
            <w:pPr>
              <w:spacing w:after="0"/>
              <w:rPr>
                <w:sz w:val="22"/>
                <w:szCs w:val="2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Gift?</w:t>
            </w:r>
          </w:p>
        </w:tc>
        <w:tc>
          <w:tcPr>
            <w:tcW w:w="90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9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40" w:orient="portrait"/>
          <w:cols w:equalWidth="0" w:num="1">
            <w:col w:w="10560"/>
          </w:cols>
          <w:pgMar w:left="660" w:top="592" w:right="680" w:bottom="247"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450"/>
        </w:trPr>
        <w:tc>
          <w:tcPr>
            <w:tcW w:w="2320" w:type="dxa"/>
            <w:vAlign w:val="bottom"/>
          </w:tcPr>
          <w:p>
            <w:pPr>
              <w:spacing w:after="0"/>
              <w:rPr>
                <w:sz w:val="20"/>
                <w:szCs w:val="20"/>
                <w:color w:val="auto"/>
              </w:rPr>
            </w:pPr>
            <w:r>
              <w:rPr>
                <w:rFonts w:ascii="Times New Roman" w:cs="Times New Roman" w:eastAsia="Times New Roman" w:hAnsi="Times New Roman"/>
                <w:sz w:val="19"/>
                <w:szCs w:val="19"/>
                <w:color w:val="auto"/>
                <w:w w:val="92"/>
              </w:rPr>
              <w:t xml:space="preserve">Ordinary Shares  </w:t>
            </w:r>
            <w:r>
              <w:rPr>
                <w:rFonts w:ascii="Times New Roman" w:cs="Times New Roman" w:eastAsia="Times New Roman" w:hAnsi="Times New Roman"/>
                <w:sz w:val="38"/>
                <w:szCs w:val="38"/>
                <w:color w:val="auto"/>
                <w:w w:val="92"/>
                <w:vertAlign w:val="subscript"/>
              </w:rPr>
              <w:t>01/02/2023</w:t>
            </w:r>
          </w:p>
        </w:tc>
        <w:tc>
          <w:tcPr>
            <w:tcW w:w="1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Restricted Stock</w:t>
            </w:r>
          </w:p>
        </w:tc>
        <w:tc>
          <w:tcPr>
            <w:tcW w:w="2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FABRINET</w:t>
            </w:r>
          </w:p>
        </w:tc>
        <w:tc>
          <w:tcPr>
            <w:tcW w:w="1680" w:type="dxa"/>
            <w:vAlign w:val="bottom"/>
          </w:tcPr>
          <w:p>
            <w:pPr>
              <w:jc w:val="right"/>
              <w:ind w:right="384"/>
              <w:spacing w:after="0"/>
              <w:rPr>
                <w:sz w:val="20"/>
                <w:szCs w:val="20"/>
                <w:color w:val="auto"/>
              </w:rPr>
            </w:pPr>
            <w:r>
              <w:rPr>
                <w:rFonts w:ascii="Times New Roman" w:cs="Times New Roman" w:eastAsia="Times New Roman" w:hAnsi="Times New Roman"/>
                <w:sz w:val="19"/>
                <w:szCs w:val="19"/>
                <w:color w:val="auto"/>
              </w:rPr>
              <w:t>500</w:t>
            </w:r>
          </w:p>
        </w:tc>
        <w:tc>
          <w:tcPr>
            <w:tcW w:w="2840" w:type="dxa"/>
            <w:vAlign w:val="bottom"/>
          </w:tcPr>
          <w:p>
            <w:pPr>
              <w:ind w:left="480"/>
              <w:spacing w:after="0"/>
              <w:rPr>
                <w:sz w:val="20"/>
                <w:szCs w:val="20"/>
                <w:color w:val="auto"/>
              </w:rPr>
            </w:pPr>
            <w:r>
              <w:rPr>
                <w:rFonts w:ascii="Times New Roman" w:cs="Times New Roman" w:eastAsia="Times New Roman" w:hAnsi="Times New Roman"/>
                <w:sz w:val="38"/>
                <w:szCs w:val="38"/>
                <w:color w:val="auto"/>
                <w:w w:val="89"/>
                <w:vertAlign w:val="subscript"/>
              </w:rPr>
              <w:t>12/05/2025</w:t>
            </w:r>
            <w:r>
              <w:rPr>
                <w:rFonts w:ascii="Times New Roman" w:cs="Times New Roman" w:eastAsia="Times New Roman" w:hAnsi="Times New Roman"/>
                <w:sz w:val="19"/>
                <w:szCs w:val="19"/>
                <w:color w:val="auto"/>
                <w:w w:val="89"/>
              </w:rPr>
              <w:t xml:space="preserve"> Services Rendered</w:t>
            </w:r>
          </w:p>
        </w:tc>
      </w:tr>
      <w:tr>
        <w:trPr>
          <w:trHeight w:val="251"/>
        </w:trPr>
        <w:tc>
          <w:tcPr>
            <w:tcW w:w="2320" w:type="dxa"/>
            <w:vAlign w:val="bottom"/>
          </w:tcPr>
          <w:p>
            <w:pPr>
              <w:spacing w:after="0"/>
              <w:rPr>
                <w:sz w:val="21"/>
                <w:szCs w:val="21"/>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Vesting</w:t>
            </w:r>
          </w:p>
        </w:tc>
        <w:tc>
          <w:tcPr>
            <w:tcW w:w="20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8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-257810</wp:posOffset>
            </wp:positionV>
            <wp:extent cx="114300" cy="114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148" w:lineRule="exact"/>
        <w:rPr>
          <w:sz w:val="20"/>
          <w:szCs w:val="20"/>
          <w:color w:val="auto"/>
        </w:rPr>
      </w:pPr>
    </w:p>
    <w:p>
      <w:pPr>
        <w:jc w:val="both"/>
        <w:ind w:firstLine="6"/>
        <w:spacing w:after="0" w:line="268" w:lineRule="auto"/>
        <w:tabs>
          <w:tab w:leader="none" w:pos="145"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as to all securities of the issuer sold during the past 3 months by the person for whose account the securities are to be sold.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Sold During The Past 3 Months</w:t>
      </w:r>
    </w:p>
    <w:p>
      <w:pPr>
        <w:sectPr>
          <w:pgSz w:w="11900" w:h="16840" w:orient="portrait"/>
          <w:cols w:equalWidth="0" w:num="1">
            <w:col w:w="10580"/>
          </w:cols>
          <w:pgMar w:left="660" w:top="420" w:right="66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40" w:firstLine="546"/>
        <w:spacing w:after="0" w:line="356" w:lineRule="auto"/>
        <w:rPr>
          <w:sz w:val="20"/>
          <w:szCs w:val="20"/>
          <w:color w:val="auto"/>
        </w:rPr>
      </w:pPr>
      <w:r>
        <w:rPr>
          <w:rFonts w:ascii="Times New Roman" w:cs="Times New Roman" w:eastAsia="Times New Roman" w:hAnsi="Times New Roman"/>
          <w:sz w:val="19"/>
          <w:szCs w:val="19"/>
          <w:b w:val="1"/>
          <w:bCs w:val="1"/>
          <w:color w:val="auto"/>
        </w:rPr>
        <w:t xml:space="preserve">Name and Address of Seller </w:t>
      </w:r>
      <w:r>
        <w:rPr>
          <w:rFonts w:ascii="Times New Roman" w:cs="Times New Roman" w:eastAsia="Times New Roman" w:hAnsi="Times New Roman"/>
          <w:sz w:val="19"/>
          <w:szCs w:val="19"/>
          <w:color w:val="auto"/>
        </w:rPr>
        <w:t>Darlene S Knight</w:t>
      </w:r>
    </w:p>
    <w:p>
      <w:pPr>
        <w:ind w:left="40" w:right="320"/>
        <w:spacing w:after="0" w:line="256" w:lineRule="auto"/>
        <w:rPr>
          <w:sz w:val="20"/>
          <w:szCs w:val="20"/>
          <w:color w:val="auto"/>
        </w:rPr>
      </w:pPr>
      <w:r>
        <w:rPr>
          <w:rFonts w:ascii="Times New Roman" w:cs="Times New Roman" w:eastAsia="Times New Roman" w:hAnsi="Times New Roman"/>
          <w:sz w:val="19"/>
          <w:szCs w:val="19"/>
          <w:color w:val="auto"/>
        </w:rPr>
        <w:t>c/o Intertrust Corporate Services One Nexus Way, Camana Bay Grand Cayman E9 KY1-9005</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Darlene S Knight</w:t>
      </w:r>
    </w:p>
    <w:p>
      <w:pPr>
        <w:spacing w:after="0" w:line="32" w:lineRule="exact"/>
        <w:rPr>
          <w:sz w:val="20"/>
          <w:szCs w:val="20"/>
          <w:color w:val="auto"/>
        </w:rPr>
      </w:pPr>
    </w:p>
    <w:p>
      <w:pPr>
        <w:ind w:left="40" w:right="320"/>
        <w:spacing w:after="0" w:line="250" w:lineRule="auto"/>
        <w:rPr>
          <w:sz w:val="20"/>
          <w:szCs w:val="20"/>
          <w:color w:val="auto"/>
        </w:rPr>
      </w:pPr>
      <w:r>
        <w:rPr>
          <w:rFonts w:ascii="Times New Roman" w:cs="Times New Roman" w:eastAsia="Times New Roman" w:hAnsi="Times New Roman"/>
          <w:sz w:val="19"/>
          <w:szCs w:val="19"/>
          <w:color w:val="auto"/>
        </w:rPr>
        <w:t>c/o Intertrust Corporate Services One Nexus way</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Camana Bay  E9  E9 KY1-900</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040" w:type="dxa"/>
            <w:vAlign w:val="bottom"/>
            <w:vMerge w:val="restart"/>
          </w:tcPr>
          <w:p>
            <w:pPr>
              <w:ind w:left="780"/>
              <w:spacing w:after="0"/>
              <w:rPr>
                <w:sz w:val="20"/>
                <w:szCs w:val="20"/>
                <w:color w:val="auto"/>
              </w:rPr>
            </w:pPr>
            <w:r>
              <w:rPr>
                <w:rFonts w:ascii="Times New Roman" w:cs="Times New Roman" w:eastAsia="Times New Roman" w:hAnsi="Times New Roman"/>
                <w:sz w:val="19"/>
                <w:szCs w:val="19"/>
                <w:b w:val="1"/>
                <w:bCs w:val="1"/>
                <w:color w:val="auto"/>
              </w:rPr>
              <w:t>Title of Securities Sold</w:t>
            </w:r>
          </w:p>
        </w:tc>
        <w:tc>
          <w:tcPr>
            <w:tcW w:w="1240" w:type="dxa"/>
            <w:vAlign w:val="bottom"/>
          </w:tcPr>
          <w:p>
            <w:pPr>
              <w:jc w:val="center"/>
              <w:ind w:left="364"/>
              <w:spacing w:after="0"/>
              <w:rPr>
                <w:sz w:val="20"/>
                <w:szCs w:val="20"/>
                <w:color w:val="auto"/>
              </w:rPr>
            </w:pPr>
            <w:r>
              <w:rPr>
                <w:rFonts w:ascii="Times New Roman" w:cs="Times New Roman" w:eastAsia="Times New Roman" w:hAnsi="Times New Roman"/>
                <w:sz w:val="19"/>
                <w:szCs w:val="19"/>
                <w:b w:val="1"/>
                <w:bCs w:val="1"/>
                <w:color w:val="auto"/>
                <w:w w:val="98"/>
              </w:rPr>
              <w:t>Date of</w:t>
            </w:r>
          </w:p>
        </w:tc>
        <w:tc>
          <w:tcPr>
            <w:tcW w:w="1340" w:type="dxa"/>
            <w:vAlign w:val="bottom"/>
          </w:tcPr>
          <w:p>
            <w:pPr>
              <w:jc w:val="right"/>
              <w:ind w:right="104"/>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Gross Proceeds</w:t>
            </w:r>
          </w:p>
        </w:tc>
        <w:tc>
          <w:tcPr>
            <w:tcW w:w="0" w:type="dxa"/>
            <w:vAlign w:val="bottom"/>
          </w:tcPr>
          <w:p>
            <w:pPr>
              <w:spacing w:after="0"/>
              <w:rPr>
                <w:sz w:val="1"/>
                <w:szCs w:val="1"/>
                <w:color w:val="auto"/>
              </w:rPr>
            </w:pPr>
          </w:p>
        </w:tc>
      </w:tr>
      <w:tr>
        <w:trPr>
          <w:trHeight w:val="253"/>
        </w:trPr>
        <w:tc>
          <w:tcPr>
            <w:tcW w:w="3040" w:type="dxa"/>
            <w:vAlign w:val="bottom"/>
            <w:vMerge w:val="continue"/>
          </w:tcPr>
          <w:p>
            <w:pPr>
              <w:spacing w:after="0"/>
              <w:rPr>
                <w:sz w:val="22"/>
                <w:szCs w:val="22"/>
                <w:color w:val="auto"/>
              </w:rPr>
            </w:pPr>
          </w:p>
        </w:tc>
        <w:tc>
          <w:tcPr>
            <w:tcW w:w="1240" w:type="dxa"/>
            <w:vAlign w:val="bottom"/>
          </w:tcPr>
          <w:p>
            <w:pPr>
              <w:jc w:val="center"/>
              <w:ind w:left="364"/>
              <w:spacing w:after="0"/>
              <w:rPr>
                <w:sz w:val="20"/>
                <w:szCs w:val="20"/>
                <w:color w:val="auto"/>
              </w:rPr>
            </w:pPr>
            <w:r>
              <w:rPr>
                <w:rFonts w:ascii="Times New Roman" w:cs="Times New Roman" w:eastAsia="Times New Roman" w:hAnsi="Times New Roman"/>
                <w:sz w:val="19"/>
                <w:szCs w:val="19"/>
                <w:b w:val="1"/>
                <w:bCs w:val="1"/>
                <w:color w:val="auto"/>
              </w:rPr>
              <w:t>Sale</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Securities Sold</w:t>
            </w:r>
          </w:p>
        </w:tc>
        <w:tc>
          <w:tcPr>
            <w:tcW w:w="1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12"/>
        </w:trPr>
        <w:tc>
          <w:tcPr>
            <w:tcW w:w="3040" w:type="dxa"/>
            <w:vAlign w:val="bottom"/>
          </w:tcPr>
          <w:p>
            <w:pPr>
              <w:spacing w:after="0"/>
              <w:rPr>
                <w:sz w:val="20"/>
                <w:szCs w:val="20"/>
                <w:color w:val="auto"/>
              </w:rPr>
            </w:pPr>
            <w:r>
              <w:rPr>
                <w:rFonts w:ascii="Times New Roman" w:cs="Times New Roman" w:eastAsia="Times New Roman" w:hAnsi="Times New Roman"/>
                <w:sz w:val="19"/>
                <w:szCs w:val="19"/>
                <w:color w:val="auto"/>
              </w:rPr>
              <w:t>Ordinary Shares</w:t>
            </w:r>
          </w:p>
        </w:tc>
        <w:tc>
          <w:tcPr>
            <w:tcW w:w="2580" w:type="dxa"/>
            <w:vAlign w:val="bottom"/>
            <w:gridSpan w:val="2"/>
          </w:tcPr>
          <w:p>
            <w:pPr>
              <w:jc w:val="right"/>
              <w:ind w:right="864"/>
              <w:spacing w:after="0"/>
              <w:rPr>
                <w:sz w:val="20"/>
                <w:szCs w:val="20"/>
                <w:color w:val="auto"/>
              </w:rPr>
            </w:pPr>
            <w:r>
              <w:rPr>
                <w:rFonts w:ascii="Times New Roman" w:cs="Times New Roman" w:eastAsia="Times New Roman" w:hAnsi="Times New Roman"/>
                <w:sz w:val="19"/>
                <w:szCs w:val="19"/>
                <w:color w:val="auto"/>
              </w:rPr>
              <w:t>09/05/2025 479</w:t>
            </w:r>
          </w:p>
        </w:tc>
        <w:tc>
          <w:tcPr>
            <w:tcW w:w="1380" w:type="dxa"/>
            <w:vAlign w:val="bottom"/>
          </w:tcPr>
          <w:p>
            <w:pPr>
              <w:jc w:val="right"/>
              <w:ind w:right="444"/>
              <w:spacing w:after="0"/>
              <w:rPr>
                <w:sz w:val="20"/>
                <w:szCs w:val="20"/>
                <w:color w:val="auto"/>
              </w:rPr>
            </w:pPr>
            <w:r>
              <w:rPr>
                <w:rFonts w:ascii="Times New Roman" w:cs="Times New Roman" w:eastAsia="Times New Roman" w:hAnsi="Times New Roman"/>
                <w:sz w:val="19"/>
                <w:szCs w:val="19"/>
                <w:color w:val="auto"/>
              </w:rPr>
              <w:t>175314.00</w:t>
            </w:r>
          </w:p>
        </w:tc>
        <w:tc>
          <w:tcPr>
            <w:tcW w:w="0" w:type="dxa"/>
            <w:vAlign w:val="bottom"/>
          </w:tcPr>
          <w:p>
            <w:pPr>
              <w:spacing w:after="0"/>
              <w:rPr>
                <w:sz w:val="1"/>
                <w:szCs w:val="1"/>
                <w:color w:val="auto"/>
              </w:rPr>
            </w:pPr>
          </w:p>
        </w:tc>
      </w:tr>
      <w:tr>
        <w:trPr>
          <w:trHeight w:val="960"/>
        </w:trPr>
        <w:tc>
          <w:tcPr>
            <w:tcW w:w="3040" w:type="dxa"/>
            <w:vAlign w:val="bottom"/>
          </w:tcPr>
          <w:p>
            <w:pPr>
              <w:spacing w:after="0"/>
              <w:rPr>
                <w:sz w:val="20"/>
                <w:szCs w:val="20"/>
                <w:color w:val="auto"/>
              </w:rPr>
            </w:pPr>
            <w:r>
              <w:rPr>
                <w:rFonts w:ascii="Times New Roman" w:cs="Times New Roman" w:eastAsia="Times New Roman" w:hAnsi="Times New Roman"/>
                <w:sz w:val="19"/>
                <w:szCs w:val="19"/>
                <w:color w:val="auto"/>
              </w:rPr>
              <w:t>Ordinary Shares</w:t>
            </w:r>
          </w:p>
        </w:tc>
        <w:tc>
          <w:tcPr>
            <w:tcW w:w="2580" w:type="dxa"/>
            <w:vAlign w:val="bottom"/>
            <w:gridSpan w:val="2"/>
          </w:tcPr>
          <w:p>
            <w:pPr>
              <w:jc w:val="right"/>
              <w:ind w:right="864"/>
              <w:spacing w:after="0"/>
              <w:rPr>
                <w:sz w:val="20"/>
                <w:szCs w:val="20"/>
                <w:color w:val="auto"/>
              </w:rPr>
            </w:pPr>
            <w:r>
              <w:rPr>
                <w:rFonts w:ascii="Times New Roman" w:cs="Times New Roman" w:eastAsia="Times New Roman" w:hAnsi="Times New Roman"/>
                <w:sz w:val="19"/>
                <w:szCs w:val="19"/>
                <w:color w:val="auto"/>
              </w:rPr>
              <w:t>12/04/2025 500</w:t>
            </w:r>
          </w:p>
        </w:tc>
        <w:tc>
          <w:tcPr>
            <w:tcW w:w="1380" w:type="dxa"/>
            <w:vAlign w:val="bottom"/>
          </w:tcPr>
          <w:p>
            <w:pPr>
              <w:jc w:val="right"/>
              <w:ind w:right="444"/>
              <w:spacing w:after="0"/>
              <w:rPr>
                <w:sz w:val="20"/>
                <w:szCs w:val="20"/>
                <w:color w:val="auto"/>
              </w:rPr>
            </w:pPr>
            <w:r>
              <w:rPr>
                <w:rFonts w:ascii="Times New Roman" w:cs="Times New Roman" w:eastAsia="Times New Roman" w:hAnsi="Times New Roman"/>
                <w:sz w:val="19"/>
                <w:szCs w:val="19"/>
                <w:color w:val="auto"/>
              </w:rPr>
              <w:t>236000.00</w:t>
            </w:r>
          </w:p>
        </w:tc>
        <w:tc>
          <w:tcPr>
            <w:tcW w:w="0" w:type="dxa"/>
            <w:vAlign w:val="bottom"/>
          </w:tcPr>
          <w:p>
            <w:pPr>
              <w:spacing w:after="0"/>
              <w:rPr>
                <w:sz w:val="1"/>
                <w:szCs w:val="1"/>
                <w:color w:val="auto"/>
              </w:rPr>
            </w:pPr>
          </w:p>
        </w:tc>
      </w:tr>
    </w:tbl>
    <w:p>
      <w:pPr>
        <w:spacing w:after="0" w:line="537" w:lineRule="exact"/>
        <w:rPr>
          <w:sz w:val="20"/>
          <w:szCs w:val="20"/>
          <w:color w:val="auto"/>
        </w:rPr>
      </w:pPr>
    </w:p>
    <w:p>
      <w:pPr>
        <w:sectPr>
          <w:pgSz w:w="11900" w:h="16840" w:orient="portrait"/>
          <w:cols w:equalWidth="0" w:num="2">
            <w:col w:w="2860" w:space="600"/>
            <w:col w:w="7120"/>
          </w:cols>
          <w:pgMar w:left="660" w:top="420" w:right="660"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Remarks and Signature</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2340" w:type="dxa"/>
            <w:vAlign w:val="bottom"/>
          </w:tcPr>
          <w:p>
            <w:pPr>
              <w:spacing w:after="0"/>
              <w:rPr>
                <w:sz w:val="20"/>
                <w:szCs w:val="20"/>
                <w:color w:val="auto"/>
              </w:rPr>
            </w:pPr>
            <w:r>
              <w:rPr>
                <w:rFonts w:ascii="Times New Roman" w:cs="Times New Roman" w:eastAsia="Times New Roman" w:hAnsi="Times New Roman"/>
                <w:sz w:val="19"/>
                <w:szCs w:val="19"/>
                <w:color w:val="auto"/>
              </w:rPr>
              <w:t>Remarks</w:t>
            </w:r>
          </w:p>
        </w:tc>
        <w:tc>
          <w:tcPr>
            <w:tcW w:w="2080" w:type="dxa"/>
            <w:vAlign w:val="bottom"/>
          </w:tcPr>
          <w:p>
            <w:pPr>
              <w:spacing w:after="0"/>
              <w:rPr>
                <w:sz w:val="21"/>
                <w:szCs w:val="21"/>
                <w:color w:val="auto"/>
              </w:rPr>
            </w:pPr>
          </w:p>
        </w:tc>
      </w:tr>
      <w:tr>
        <w:trPr>
          <w:trHeight w:val="276"/>
        </w:trPr>
        <w:tc>
          <w:tcPr>
            <w:tcW w:w="2340" w:type="dxa"/>
            <w:vAlign w:val="bottom"/>
          </w:tcPr>
          <w:p>
            <w:pPr>
              <w:spacing w:after="0"/>
              <w:rPr>
                <w:sz w:val="20"/>
                <w:szCs w:val="20"/>
                <w:color w:val="auto"/>
              </w:rPr>
            </w:pPr>
            <w:r>
              <w:rPr>
                <w:rFonts w:ascii="Times New Roman" w:cs="Times New Roman" w:eastAsia="Times New Roman" w:hAnsi="Times New Roman"/>
                <w:sz w:val="19"/>
                <w:szCs w:val="19"/>
                <w:color w:val="auto"/>
              </w:rPr>
              <w:t>Date of Notice</w:t>
            </w:r>
          </w:p>
        </w:tc>
        <w:tc>
          <w:tcPr>
            <w:tcW w:w="2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12/05/2025</w:t>
            </w:r>
          </w:p>
        </w:tc>
      </w:tr>
    </w:tbl>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ATTENTION:</w:t>
      </w:r>
    </w:p>
    <w:p>
      <w:pPr>
        <w:spacing w:after="0" w:line="314" w:lineRule="exact"/>
        <w:rPr>
          <w:sz w:val="20"/>
          <w:szCs w:val="20"/>
          <w:color w:val="auto"/>
        </w:rPr>
      </w:pPr>
    </w:p>
    <w:p>
      <w:pPr>
        <w:jc w:val="both"/>
        <w:ind w:left="40" w:right="40"/>
        <w:spacing w:after="0" w:line="259" w:lineRule="auto"/>
        <w:rPr>
          <w:sz w:val="20"/>
          <w:szCs w:val="20"/>
          <w:color w:val="auto"/>
        </w:rPr>
      </w:pPr>
      <w:r>
        <w:rPr>
          <w:rFonts w:ascii="Times New Roman" w:cs="Times New Roman" w:eastAsia="Times New Roman" w:hAnsi="Times New Roman"/>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9" w:lineRule="exact"/>
        <w:rPr>
          <w:sz w:val="20"/>
          <w:szCs w:val="20"/>
          <w:color w:val="auto"/>
        </w:rPr>
      </w:pPr>
    </w:p>
    <w:p>
      <w:pPr>
        <w:ind w:left="40"/>
        <w:spacing w:after="0"/>
        <w:tabs>
          <w:tab w:leader="none" w:pos="356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9"/>
          <w:szCs w:val="19"/>
          <w:color w:val="auto"/>
        </w:rPr>
        <w:t>Conformed Signature on File</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i w:val="1"/>
          <w:iCs w:val="1"/>
          <w:color w:val="auto"/>
        </w:rPr>
        <w:t>ATTENTION: Intentional misstatements or omission of facts constitute Federal Criminal Violations (See 18 U.S.C. 1001)</w:t>
      </w:r>
    </w:p>
    <w:sectPr>
      <w:pgSz w:w="11900" w:h="16840" w:orient="portrait"/>
      <w:cols w:equalWidth="0" w:num="1">
        <w:col w:w="10580"/>
      </w:cols>
      <w:pgMar w:left="660" w:top="420" w:right="66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2025-12-05T14:07:30Z</dcterms:created>
  <dcterms:modified xsi:type="dcterms:W3CDTF">2025-12-05T14:07:30Z</dcterms:modified>
</cp:coreProperties>
</file>