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4, 2026</w:t>
      </w:r>
    </w:p>
    <w:p>
      <w:pPr>
        <w:spacing w:after="0" w:line="3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Fabrinet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76"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96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001-34775</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98-1228572</w:t>
            </w:r>
          </w:p>
        </w:tc>
      </w:tr>
      <w:tr>
        <w:trPr>
          <w:trHeight w:val="148"/>
        </w:trPr>
        <w:tc>
          <w:tcPr>
            <w:tcW w:w="2140" w:type="dxa"/>
            <w:vAlign w:val="bottom"/>
          </w:tcPr>
          <w:p>
            <w:pPr>
              <w:jc w:val="center"/>
              <w:ind w:right="4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95"/>
        </w:trPr>
        <w:tc>
          <w:tcPr>
            <w:tcW w:w="2140" w:type="dxa"/>
            <w:vAlign w:val="bottom"/>
          </w:tcPr>
          <w:p>
            <w:pPr>
              <w:spacing w:after="0"/>
              <w:rPr>
                <w:sz w:val="24"/>
                <w:szCs w:val="24"/>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c/o Walkers Corporate Ltd.</w:t>
            </w:r>
          </w:p>
        </w:tc>
        <w:tc>
          <w:tcPr>
            <w:tcW w:w="176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96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98"/>
              </w:rPr>
              <w:t>190 Elgin Avenue, George Town</w:t>
            </w:r>
          </w:p>
        </w:tc>
        <w:tc>
          <w:tcPr>
            <w:tcW w:w="17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Grand Cayman</w:t>
            </w:r>
          </w:p>
        </w:tc>
        <w:tc>
          <w:tcPr>
            <w:tcW w:w="17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496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99"/>
              </w:rPr>
              <w:t>KY1-9008</w:t>
            </w:r>
          </w:p>
        </w:tc>
        <w:tc>
          <w:tcPr>
            <w:tcW w:w="176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760" w:type="dxa"/>
            <w:vAlign w:val="bottom"/>
          </w:tcPr>
          <w:p>
            <w:pPr>
              <w:spacing w:after="0"/>
              <w:rPr>
                <w:sz w:val="20"/>
                <w:szCs w:val="20"/>
                <w:color w:val="auto"/>
              </w:rPr>
            </w:pPr>
          </w:p>
        </w:tc>
      </w:tr>
      <w:tr>
        <w:trPr>
          <w:trHeight w:val="652"/>
        </w:trPr>
        <w:tc>
          <w:tcPr>
            <w:tcW w:w="2140" w:type="dxa"/>
            <w:vAlign w:val="bottom"/>
          </w:tcPr>
          <w:p>
            <w:pPr>
              <w:spacing w:after="0"/>
              <w:rPr>
                <w:sz w:val="24"/>
                <w:szCs w:val="24"/>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60" w:type="dxa"/>
            <w:vAlign w:val="bottom"/>
          </w:tcPr>
          <w:p>
            <w:pPr>
              <w:spacing w:after="0"/>
              <w:rPr>
                <w:sz w:val="24"/>
                <w:szCs w:val="24"/>
                <w:color w:val="auto"/>
              </w:rPr>
            </w:pPr>
          </w:p>
        </w:tc>
      </w:tr>
      <w:tr>
        <w:trPr>
          <w:trHeight w:val="309"/>
        </w:trPr>
        <w:tc>
          <w:tcPr>
            <w:tcW w:w="2140" w:type="dxa"/>
            <w:vAlign w:val="bottom"/>
          </w:tcPr>
          <w:p>
            <w:pPr>
              <w:spacing w:after="0"/>
              <w:rPr>
                <w:sz w:val="24"/>
                <w:szCs w:val="24"/>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+66 2-524-9600</w:t>
            </w:r>
          </w:p>
        </w:tc>
        <w:tc>
          <w:tcPr>
            <w:tcW w:w="176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296"/>
        </w:trPr>
        <w:tc>
          <w:tcPr>
            <w:tcW w:w="2140" w:type="dxa"/>
            <w:vAlign w:val="bottom"/>
          </w:tcPr>
          <w:p>
            <w:pPr>
              <w:spacing w:after="0"/>
              <w:rPr>
                <w:sz w:val="24"/>
                <w:szCs w:val="24"/>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182"/>
        </w:trPr>
        <w:tc>
          <w:tcPr>
            <w:tcW w:w="2140" w:type="dxa"/>
            <w:vAlign w:val="bottom"/>
          </w:tcPr>
          <w:p>
            <w:pPr>
              <w:spacing w:after="0"/>
              <w:rPr>
                <w:sz w:val="15"/>
                <w:szCs w:val="15"/>
                <w:color w:val="auto"/>
              </w:rPr>
            </w:pPr>
          </w:p>
        </w:tc>
        <w:tc>
          <w:tcPr>
            <w:tcW w:w="4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5"/>
                <w:szCs w:val="15"/>
                <w:color w:val="auto"/>
              </w:rPr>
            </w:pPr>
          </w:p>
        </w:tc>
      </w:tr>
      <w:tr>
        <w:trPr>
          <w:trHeight w:val="286"/>
        </w:trPr>
        <w:tc>
          <w:tcPr>
            <w:tcW w:w="2140" w:type="dxa"/>
            <w:vAlign w:val="bottom"/>
          </w:tcPr>
          <w:p>
            <w:pPr>
              <w:spacing w:after="0"/>
              <w:rPr>
                <w:sz w:val="24"/>
                <w:szCs w:val="24"/>
                <w:color w:val="auto"/>
              </w:rPr>
            </w:pPr>
          </w:p>
        </w:tc>
        <w:tc>
          <w:tcPr>
            <w:tcW w:w="4960" w:type="dxa"/>
            <w:vAlign w:val="bottom"/>
          </w:tcPr>
          <w:p>
            <w:pPr>
              <w:jc w:val="center"/>
              <w:ind w:right="15"/>
              <w:spacing w:after="0"/>
              <w:rPr>
                <w:sz w:val="20"/>
                <w:szCs w:val="20"/>
                <w:color w:val="auto"/>
              </w:rPr>
            </w:pPr>
            <w:r>
              <w:rPr>
                <w:rFonts w:ascii="Times New Roman" w:cs="Times New Roman" w:eastAsia="Times New Roman" w:hAnsi="Times New Roman"/>
                <w:sz w:val="22"/>
                <w:szCs w:val="22"/>
                <w:b w:val="1"/>
                <w:bCs w:val="1"/>
                <w:color w:val="auto"/>
                <w:w w:val="98"/>
              </w:rPr>
              <w:t>______________________</w:t>
            </w:r>
          </w:p>
        </w:tc>
        <w:tc>
          <w:tcPr>
            <w:tcW w:w="1760" w:type="dxa"/>
            <w:vAlign w:val="bottom"/>
          </w:tcPr>
          <w:p>
            <w:pPr>
              <w:spacing w:after="0"/>
              <w:rPr>
                <w:sz w:val="24"/>
                <w:szCs w:val="24"/>
                <w:color w:val="auto"/>
              </w:rPr>
            </w:pPr>
          </w:p>
        </w:tc>
      </w:tr>
    </w:tbl>
    <w:p>
      <w:pPr>
        <w:spacing w:after="0" w:line="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60" w:firstLine="8"/>
        <w:spacing w:after="0" w:line="395"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$0.01 par value</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FN</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May 4, 2026, Fabrinet issued a press release regarding its financial results for its fiscal quarter ended March 27, 2026. A copy of the press release is furnished as Exhibit 99.1 to this report.</w:t>
      </w:r>
    </w:p>
    <w:p>
      <w:pPr>
        <w:spacing w:after="0" w:line="54"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the press release attached hereto as Exhibit 99.1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they be deemed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800" w:type="dxa"/>
            <w:vAlign w:val="bottom"/>
          </w:tcPr>
          <w:p>
            <w:pPr>
              <w:spacing w:after="0"/>
              <w:rPr>
                <w:sz w:val="17"/>
                <w:szCs w:val="17"/>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0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18"/>
                <w:szCs w:val="18"/>
                <w:color w:val="auto"/>
              </w:rPr>
            </w:pPr>
          </w:p>
        </w:tc>
        <w:tc>
          <w:tcPr>
            <w:tcW w:w="2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May 4, 2026</w:t>
            </w:r>
          </w:p>
        </w:tc>
        <w:tc>
          <w:tcPr>
            <w:tcW w:w="7040" w:type="dxa"/>
            <w:vAlign w:val="bottom"/>
          </w:tcPr>
          <w:p>
            <w:pPr>
              <w:spacing w:after="0"/>
              <w:rPr>
                <w:sz w:val="18"/>
                <w:szCs w:val="18"/>
                <w:color w:val="auto"/>
              </w:rPr>
            </w:pPr>
          </w:p>
        </w:tc>
      </w:tr>
      <w:tr>
        <w:trPr>
          <w:trHeight w:val="25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1"/>
                <w:szCs w:val="21"/>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73"/>
        </w:trPr>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97"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CSABA SVERHA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Csaba Sverha</w:t>
      </w:r>
    </w:p>
    <w:p>
      <w:pPr>
        <w:spacing w:after="0" w:line="3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4, 2026</w:t>
      </w:r>
    </w:p>
    <w:p>
      <w:pPr>
        <w:sectPr>
          <w:pgSz w:w="11900" w:h="16838" w:orient="portrait"/>
          <w:cols w:equalWidth="0" w:num="1">
            <w:col w:w="10760"/>
          </w:cols>
          <w:pgMar w:left="320" w:top="1211"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Fabrinet Announces Third Quarter Fiscal Year 2026 Financial Results</w:t>
      </w:r>
    </w:p>
    <w:p>
      <w:pPr>
        <w:spacing w:after="0" w:line="117"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Record Third Quarter Revenue and Earnings Per Share Exceed Guidance Ranges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BANGKOK, Thailand – </w:t>
      </w:r>
      <w:r>
        <w:rPr>
          <w:rFonts w:ascii="Times New Roman" w:cs="Times New Roman" w:eastAsia="Times New Roman" w:hAnsi="Times New Roman"/>
          <w:sz w:val="18"/>
          <w:szCs w:val="18"/>
          <w:color w:val="auto"/>
        </w:rPr>
        <w:t>May 4, 2026 – Fabrinet (NYSE: FN), a leading provider of advanced optical packaging and precision optical, electro-mechanical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electronic manufacturing services to original equipment manufacturers of complex products, today announced its financial results for its third fiscal quarter ended March 27, 2026.</w:t>
      </w:r>
    </w:p>
    <w:p>
      <w:pPr>
        <w:spacing w:after="0" w:line="18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Seamus Grady, Chairman and Chief Executive Officer of Fabrinet, said, “Our third quarter was exceptionally strong, delivering record financial results that exceeded our guidance ranges. Growth was supported by numerous ongoing and ramping programs that continue to provide meaningful tailwinds. We expect several new customer agreements, particularly in the datacom market, to further strengthen our growth trajectory as we move into the fourth quarter and beyond.”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Year 2026 Financial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Results</w:t>
      </w:r>
    </w:p>
    <w:p>
      <w:pPr>
        <w:spacing w:after="0" w:line="121"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for the third quarter of fiscal year 2026 was $1,214.3 million, compared to $871.8 million for the third quarter of fiscal year 2025.</w:t>
      </w:r>
    </w:p>
    <w:p>
      <w:pPr>
        <w:spacing w:after="0" w:line="117" w:lineRule="exact"/>
        <w:rPr>
          <w:rFonts w:ascii="Times New Roman" w:cs="Times New Roman" w:eastAsia="Times New Roman" w:hAnsi="Times New Roman"/>
          <w:sz w:val="18"/>
          <w:szCs w:val="18"/>
          <w:b w:val="1"/>
          <w:bCs w:val="1"/>
          <w:color w:val="auto"/>
        </w:rPr>
      </w:pPr>
    </w:p>
    <w:p>
      <w:pPr>
        <w:ind w:left="820" w:right="3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third quarter of fiscal year 2026 was $125.2 million, compared to $81.3 million for the third quarter of fiscal year 2025.</w:t>
      </w:r>
    </w:p>
    <w:p>
      <w:pPr>
        <w:spacing w:after="0" w:line="53" w:lineRule="exact"/>
        <w:rPr>
          <w:rFonts w:ascii="Times New Roman" w:cs="Times New Roman" w:eastAsia="Times New Roman" w:hAnsi="Times New Roman"/>
          <w:sz w:val="18"/>
          <w:szCs w:val="18"/>
          <w:color w:val="auto"/>
        </w:rPr>
      </w:pPr>
    </w:p>
    <w:p>
      <w:pPr>
        <w:ind w:left="820" w:right="360" w:hanging="326"/>
        <w:spacing w:after="0" w:line="282" w:lineRule="auto"/>
        <w:tabs>
          <w:tab w:leader="none" w:pos="8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GAAP net income per diluted share for the third quarter of fiscal year 2026 was $3.45, compared to $2.25 for the third quarter of fiscal year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Results</w:t>
      </w:r>
    </w:p>
    <w:p>
      <w:pPr>
        <w:spacing w:after="0" w:line="121" w:lineRule="exact"/>
        <w:rPr>
          <w:sz w:val="20"/>
          <w:szCs w:val="20"/>
          <w:color w:val="auto"/>
        </w:rPr>
      </w:pPr>
    </w:p>
    <w:p>
      <w:pPr>
        <w:ind w:left="8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for the third quarter of fiscal year 2026 was $134.9 million, compared to $91.2 million for the third quarter of fiscal year 2025.</w:t>
      </w:r>
    </w:p>
    <w:p>
      <w:pPr>
        <w:spacing w:after="0" w:line="53"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Non-GAAP net income per diluted share for the third quarter of fiscal year 2026 was $3.72, compared to $2.52 for the third quarter of fiscal year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information available as of May 4, 2026, Fabrinet is issuing guidance for its fourth fiscal quarter ending June 26, 2026, as follows:</w:t>
      </w:r>
    </w:p>
    <w:p>
      <w:pPr>
        <w:spacing w:after="0" w:line="117"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Fabrinet expects fourth quarter revenue to be in the range of $1.25 billion to $1.29 billion.</w:t>
      </w:r>
    </w:p>
    <w:p>
      <w:pPr>
        <w:spacing w:after="0" w:line="117" w:lineRule="exact"/>
        <w:rPr>
          <w:rFonts w:ascii="Times New Roman" w:cs="Times New Roman" w:eastAsia="Times New Roman" w:hAnsi="Times New Roman"/>
          <w:sz w:val="18"/>
          <w:szCs w:val="18"/>
          <w:b w:val="1"/>
          <w:bCs w:val="1"/>
          <w:color w:val="auto"/>
        </w:rPr>
      </w:pPr>
    </w:p>
    <w:p>
      <w:pPr>
        <w:ind w:left="820" w:right="28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per diluted share is expected to be in the range of $3.48 to $3.63, based on approximately 36.3 million fully diluted shares outstanding.</w:t>
      </w:r>
    </w:p>
    <w:p>
      <w:pPr>
        <w:spacing w:after="0" w:line="53"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per diluted share is expected to be in the range of $3.72 to $3.87, based on approximately 36.3 million fully diluted shares outstanding.</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Guidance for non-GAAP net income per diluted share excludes share-based compensation expenses and certain non-recurring items. A reconciliation of non-GAAP net income per diluted share to the corresponding GAAP measure is available at the end of this press release.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8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What:</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Fabrinet Third Quarter Fiscal Year 2026 Financial Results Call</w:t>
            </w:r>
          </w:p>
        </w:tc>
      </w:tr>
      <w:tr>
        <w:trPr>
          <w:trHeight w:val="27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2026</w:t>
            </w:r>
          </w:p>
        </w:tc>
      </w:tr>
      <w:tr>
        <w:trPr>
          <w:trHeight w:val="252"/>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p.m. ET</w:t>
            </w:r>
          </w:p>
        </w:tc>
      </w:tr>
      <w:tr>
        <w:trPr>
          <w:trHeight w:val="194"/>
        </w:trPr>
        <w:tc>
          <w:tcPr>
            <w:tcW w:w="2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Live Call and Replay:</w:t>
            </w:r>
          </w:p>
        </w:tc>
        <w:tc>
          <w:tcPr>
            <w:tcW w:w="4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https://investor.fabrinet.com/events-and-presentations/events</w:t>
            </w:r>
          </w:p>
        </w:tc>
        <w:tc>
          <w:tcPr>
            <w:tcW w:w="160" w:type="dxa"/>
            <w:vAlign w:val="bottom"/>
          </w:tcPr>
          <w:p>
            <w:pPr>
              <w:spacing w:after="0"/>
              <w:rPr>
                <w:sz w:val="16"/>
                <w:szCs w:val="16"/>
                <w:color w:val="auto"/>
              </w:rPr>
            </w:pPr>
          </w:p>
        </w:tc>
      </w:tr>
    </w:tbl>
    <w:p>
      <w:pPr>
        <w:spacing w:after="0" w:line="1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A recorded version of this webcast will be available approximately two hours after the call and accessible at </w:t>
      </w:r>
      <w:r>
        <w:rPr>
          <w:rFonts w:ascii="Times New Roman" w:cs="Times New Roman" w:eastAsia="Times New Roman" w:hAnsi="Times New Roman"/>
          <w:sz w:val="18"/>
          <w:szCs w:val="18"/>
          <w:u w:val="single" w:color="auto"/>
          <w:color w:val="auto"/>
        </w:rPr>
        <w:t>http://investor.fabrinet.com</w:t>
      </w:r>
      <w:r>
        <w:rPr>
          <w:rFonts w:ascii="Times New Roman" w:cs="Times New Roman" w:eastAsia="Times New Roman" w:hAnsi="Times New Roman"/>
          <w:sz w:val="18"/>
          <w:szCs w:val="18"/>
          <w:color w:val="auto"/>
        </w:rPr>
        <w:t>. The webcast will be archived on Fabrinet’s website for a period of one year.</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Fabrinet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Fabrinet is a leading provider of advanced optical packaging and precision optical, electro-mechanical, and electronic manufacturing services to original equipment manufacturers of complex products, such as optical communication components, modules and subsystems, automotive components, medical devices, industrial lasers and sensors. Fabrinet offers a broad range of advanced optical and electro-mechanical capabilities across the entire manufacturing process, including process design and engineering, supply chain management, manufacturing, advanced packaging, integration, final assembly and testing. Fabrinet focuses on production of high complexity products in any mix and any volume. Fabrinet maintains engineering and manufacturing resources and facilities in Thailand, the United States of America, the People’s Republic of China, and Israel. For more information visit: </w:t>
      </w:r>
      <w:r>
        <w:rPr>
          <w:rFonts w:ascii="Times New Roman" w:cs="Times New Roman" w:eastAsia="Times New Roman" w:hAnsi="Times New Roman"/>
          <w:sz w:val="18"/>
          <w:szCs w:val="18"/>
          <w:u w:val="single" w:color="auto"/>
          <w:color w:val="auto"/>
        </w:rPr>
        <w:t>www.fabrinet.com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include all of the statements under the “Business Outlook” section regarding our expected revenue, GAAP and non-GAAP net income per share, and fully diluted shares outstanding for the fourth quarter of fiscal year 2026. These forward-looking statements involve risks and uncertainties, and actual results could vary materially from these forward-looking statements. Important factors that could cause actual results to differ materially from those in the forward-looking statements include, but are not limited to: changes in general economic conditions, either globally or in our markets, and the risk of recession or an economic downturn; disruption to our supply chain, which could increase our costs and affect our ability to procure parts and materials; less customer demand for our products and services than forecasted; less growth in the optical communications, automotive, industrial lasers and sensors markets than we forecast; difficulties expanding into additional markets, such as the semiconductor processing, biotechnology, metrology and materials processing markets; increased competition in the optical manufacturing services markets; difficulties in delivering products and services that compete effectively from a price and performance perspective; our reliance on a small number of customers and suppliers; difficulties in managing our operating costs; difficulties in managing and operating our business across multiple countries (including Thailand, the People’s Republic of China, Israel and the U.S.); and other important factors as described in reports and documents we file from time to time with the Securities and Exchange Commission (SEC), including the factors described under the section captioned “Risk Factors” in our Quarterly Report on Form 10-Q filed with the SEC on February 3, 2026. We disclaim any obligation to update information contained in these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GAAP, we provide investors with certain non-GAAP financial measures. These non-GAAP financial measures are in addition to, and not a substitute for or superior to, measures of financial performance prepared in accordance with GAAP. We believe these non-GAAP financial measures provide investors with useful supplemental information to: (1) measure company performance against historical results, (2) facilitate comparisons to our competitors’ operating results, and (3) allow greater transparency with respect to information used by management in making financial and operational decisions. In addition, we use some of these non-GAAP financial measures to measure company performance for the purposes of determining employee incentive plan compensation.</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Non-GAAP gross profit, non-GAAP operating profit, non-GAAP net income and non-GAAP net income per diluted share exclude: share-based compensation expenses; severance payment and others; restructuring and other related costs; and legal and litigation costs. We have excluded these items in order to enhance investors’ understanding of our underlying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free cash flow is net cash provided by (used in) operating activities, minus capital expenditures (purchase of property, plant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free cash flow to measure our ability to generate additional cash from our business operations.</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We urge you to review the reconciliations of our non-GAAP financial measures to the most directly comparable GAAP financial measures, and not to rely on any single financial measure to evaluate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Garo Toomajanian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ir@fabrinet.com</w:t>
      </w:r>
    </w:p>
    <w:p>
      <w:pPr>
        <w:sectPr>
          <w:pgSz w:w="11900" w:h="16838" w:orient="portrait"/>
          <w:cols w:equalWidth="0" w:num="1">
            <w:col w:w="11220"/>
          </w:cols>
          <w:pgMar w:left="320" w:top="125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 and par value)</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Pr>
          <w:p>
            <w:pPr>
              <w:spacing w:after="0"/>
              <w:rPr>
                <w:sz w:val="13"/>
                <w:szCs w:val="13"/>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356,562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306,425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627,819</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accounts receivable, net of allowance for expected credit losses of $1,181 and $1,344, respectively</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908,544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758,894</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581,015</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116,210</w:t>
            </w:r>
          </w:p>
        </w:tc>
        <w:tc>
          <w:tcPr>
            <w:tcW w:w="0" w:type="dxa"/>
            <w:vAlign w:val="bottom"/>
          </w:tcPr>
          <w:p>
            <w:pPr>
              <w:spacing w:after="0"/>
              <w:rPr>
                <w:sz w:val="1"/>
                <w:szCs w:val="1"/>
                <w:color w:val="auto"/>
              </w:rPr>
            </w:pPr>
          </w:p>
        </w:tc>
      </w:tr>
      <w:tr>
        <w:trPr>
          <w:trHeight w:val="189"/>
        </w:trPr>
        <w:tc>
          <w:tcPr>
            <w:tcW w:w="8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2,945,440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2,428,839</w:t>
            </w:r>
          </w:p>
        </w:tc>
        <w:tc>
          <w:tcPr>
            <w:tcW w:w="0" w:type="dxa"/>
            <w:vAlign w:val="bottom"/>
          </w:tcPr>
          <w:p>
            <w:pPr>
              <w:spacing w:after="0"/>
              <w:rPr>
                <w:sz w:val="1"/>
                <w:szCs w:val="1"/>
                <w:color w:val="auto"/>
              </w:rPr>
            </w:pPr>
          </w:p>
        </w:tc>
      </w:tr>
      <w:tr>
        <w:trPr>
          <w:trHeight w:val="18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380,640</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Intangibles, net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89"/>
        </w:trPr>
        <w:tc>
          <w:tcPr>
            <w:tcW w:w="8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non-current assets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563,546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402,593</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3,508,986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2,831,432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637,417</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Fixed assets payable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40,781</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payroll, bonus and related expenses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30,630</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Severance liabilities, current portion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payables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66,717</w:t>
            </w:r>
          </w:p>
        </w:tc>
        <w:tc>
          <w:tcPr>
            <w:tcW w:w="0" w:type="dxa"/>
            <w:vAlign w:val="bottom"/>
          </w:tcPr>
          <w:p>
            <w:pPr>
              <w:spacing w:after="0"/>
              <w:rPr>
                <w:sz w:val="1"/>
                <w:szCs w:val="1"/>
                <w:color w:val="auto"/>
              </w:rPr>
            </w:pPr>
          </w:p>
        </w:tc>
      </w:tr>
      <w:tr>
        <w:trPr>
          <w:trHeight w:val="190"/>
        </w:trPr>
        <w:tc>
          <w:tcPr>
            <w:tcW w:w="8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1,155,543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809,842</w:t>
            </w:r>
          </w:p>
        </w:tc>
        <w:tc>
          <w:tcPr>
            <w:tcW w:w="0" w:type="dxa"/>
            <w:vAlign w:val="bottom"/>
          </w:tcPr>
          <w:p>
            <w:pPr>
              <w:spacing w:after="0"/>
              <w:rPr>
                <w:sz w:val="1"/>
                <w:szCs w:val="1"/>
                <w:color w:val="auto"/>
              </w:rPr>
            </w:pPr>
          </w:p>
        </w:tc>
      </w:tr>
      <w:tr>
        <w:trPr>
          <w:trHeight w:val="18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liability, non-current portion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0" w:type="dxa"/>
            <w:vAlign w:val="bottom"/>
          </w:tcPr>
          <w:p>
            <w:pPr>
              <w:spacing w:after="0"/>
              <w:rPr>
                <w:sz w:val="1"/>
                <w:szCs w:val="1"/>
                <w:color w:val="auto"/>
              </w:rPr>
            </w:pPr>
          </w:p>
        </w:tc>
      </w:tr>
      <w:tr>
        <w:trPr>
          <w:trHeight w:val="195"/>
        </w:trPr>
        <w:tc>
          <w:tcPr>
            <w:tcW w:w="8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Severance liabilities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190"/>
        </w:trPr>
        <w:tc>
          <w:tcPr>
            <w:tcW w:w="8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39,778</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849,620</w:t>
            </w:r>
          </w:p>
        </w:tc>
        <w:tc>
          <w:tcPr>
            <w:tcW w:w="0" w:type="dxa"/>
            <w:vAlign w:val="bottom"/>
          </w:tcPr>
          <w:p>
            <w:pPr>
              <w:spacing w:after="0"/>
              <w:rPr>
                <w:sz w:val="1"/>
                <w:szCs w:val="1"/>
                <w:color w:val="auto"/>
              </w:rPr>
            </w:pPr>
          </w:p>
        </w:tc>
      </w:tr>
      <w:tr>
        <w:trPr>
          <w:trHeight w:val="17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(5,000,000 shares authorized, $0.01 par value; no shares issued and outstanding as of March 27, 2026 and June 27, 2025)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5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Ordinary shares (500,000,000 shares authorized, $0.01 par value; 39,717,065 shares and 39,602,152 shares issued as of March 27, 2026 and</w:t>
            </w: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27, 2025, respectively; and 35,829,221 shares and 35,728,074 shares outstanding as of March 27, 2026 and June 27, 2025, respectively)</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237,881</w:t>
            </w:r>
          </w:p>
        </w:tc>
        <w:tc>
          <w:tcPr>
            <w:tcW w:w="0" w:type="dxa"/>
            <w:vAlign w:val="bottom"/>
          </w:tcPr>
          <w:p>
            <w:pPr>
              <w:spacing w:after="0"/>
              <w:rPr>
                <w:sz w:val="1"/>
                <w:szCs w:val="1"/>
                <w:color w:val="auto"/>
              </w:rPr>
            </w:pPr>
          </w:p>
        </w:tc>
      </w:tr>
      <w:tr>
        <w:trPr>
          <w:trHeight w:val="19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Treasury shares (3,887,844 shares and 3,874,078 shares as of March 27, 2026 and June 27, 2025, respectively)</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(360,056)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2,427,064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2,093,297</w:t>
            </w: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2,304,711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1,981,812</w:t>
            </w:r>
          </w:p>
        </w:tc>
        <w:tc>
          <w:tcPr>
            <w:tcW w:w="0" w:type="dxa"/>
            <w:vAlign w:val="bottom"/>
          </w:tcPr>
          <w:p>
            <w:pPr>
              <w:spacing w:after="0"/>
              <w:rPr>
                <w:sz w:val="1"/>
                <w:szCs w:val="1"/>
                <w:color w:val="auto"/>
              </w:rPr>
            </w:pPr>
          </w:p>
        </w:tc>
      </w:tr>
      <w:tr>
        <w:trPr>
          <w:trHeight w:val="20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3,508,986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2,831,432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OPERATIONS AND COMPREHENSIVE INCOME </w:t>
      </w:r>
      <w:r>
        <w:rPr>
          <w:rFonts w:ascii="Times New Roman" w:cs="Times New Roman" w:eastAsia="Times New Roman" w:hAnsi="Times New Roman"/>
          <w:sz w:val="17"/>
          <w:szCs w:val="17"/>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per share data)</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200"/>
        </w:trPr>
        <w:tc>
          <w:tcPr>
            <w:tcW w:w="574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(2,926,849)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(2,207,577)</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net unrealized gain (loss) on derivative instruments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number of ordinary shares outstanding (in thousands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0" w:type="dxa"/>
            <w:vAlign w:val="bottom"/>
          </w:tcPr>
          <w:p>
            <w:pPr>
              <w:spacing w:after="0"/>
              <w:rPr>
                <w:sz w:val="1"/>
                <w:szCs w:val="1"/>
                <w:color w:val="auto"/>
              </w:rPr>
            </w:pPr>
          </w:p>
        </w:tc>
      </w:tr>
      <w:tr>
        <w:trPr>
          <w:trHeight w:val="234"/>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1"/>
                <w:szCs w:val="11"/>
                <w:color w:val="auto"/>
              </w:rPr>
            </w:pPr>
          </w:p>
        </w:tc>
        <w:tc>
          <w:tcPr>
            <w:tcW w:w="1180" w:type="dxa"/>
            <w:vAlign w:val="bottom"/>
          </w:tcPr>
          <w:p>
            <w:pPr>
              <w:jc w:val="right"/>
              <w:ind w:right="31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loss on disposal of property, plant and equipment and intangibles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discount (premium) of short-term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 obsolescence impairment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(Reversal of) allowance for expected credit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loss (gain) on exchange rate and fair value of foreign currency forward contracts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warrant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payables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Severance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liabilities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273,272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intangibles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(253,126)</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 of restricted share units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Movement in cash, cash equivalents and restricted cash</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Construction, software and equipment-related payables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1"/>
                <w:szCs w:val="11"/>
                <w:color w:val="auto"/>
              </w:rPr>
            </w:pPr>
          </w:p>
        </w:tc>
        <w:tc>
          <w:tcPr>
            <w:tcW w:w="118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ind w:right="1900" w:firstLine="2053"/>
        <w:spacing w:after="0" w:line="578" w:lineRule="auto"/>
        <w:rPr>
          <w:sz w:val="20"/>
          <w:szCs w:val="20"/>
          <w:color w:val="auto"/>
        </w:rPr>
      </w:pPr>
      <w:r>
        <w:rPr>
          <w:rFonts w:ascii="Times New Roman" w:cs="Times New Roman" w:eastAsia="Times New Roman" w:hAnsi="Times New Roman"/>
          <w:sz w:val="17"/>
          <w:szCs w:val="17"/>
          <w:b w:val="1"/>
          <w:bCs w:val="1"/>
          <w:color w:val="auto"/>
        </w:rPr>
        <w:t>RECONCILIATION OF GAAP MEASURES TO NON-GAAP MEASURES (UNAUDITED) Reconciliation of GAAP Gross Profit and GAAP Gross Margin to Non-GAAP Gross Profit and Non-GAAP Gross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160" w:type="dxa"/>
            <w:vAlign w:val="bottom"/>
          </w:tcPr>
          <w:p>
            <w:pPr>
              <w:spacing w:after="0"/>
              <w:rPr>
                <w:sz w:val="11"/>
                <w:szCs w:val="11"/>
                <w:color w:val="auto"/>
              </w:rPr>
            </w:pPr>
          </w:p>
        </w:tc>
        <w:tc>
          <w:tcPr>
            <w:tcW w:w="1160" w:type="dxa"/>
            <w:vAlign w:val="bottom"/>
            <w:gridSpan w:val="2"/>
          </w:tcPr>
          <w:p>
            <w:pPr>
              <w:jc w:val="center"/>
              <w:ind w:left="302"/>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left="262"/>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left="302"/>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left="302"/>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1,214,293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871,799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3,325,309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2,509,635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144,339</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102,183</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398,460</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302,058</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2,531</w:t>
            </w: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2,221</w:t>
            </w: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8,694</w:t>
            </w: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3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146,870</w:t>
            </w: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104,404</w:t>
            </w: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407,154</w:t>
            </w: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309,941</w:t>
            </w: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Operating Profit and GAAP Operating Margin to Non-GAAP Operating Profit and Non-GAAP Operating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160" w:type="dxa"/>
            <w:vAlign w:val="bottom"/>
          </w:tcPr>
          <w:p>
            <w:pPr>
              <w:spacing w:after="0"/>
              <w:rPr>
                <w:sz w:val="11"/>
                <w:szCs w:val="11"/>
                <w:color w:val="auto"/>
              </w:rPr>
            </w:pPr>
          </w:p>
        </w:tc>
        <w:tc>
          <w:tcPr>
            <w:tcW w:w="1160" w:type="dxa"/>
            <w:vAlign w:val="bottom"/>
            <w:gridSpan w:val="2"/>
          </w:tcPr>
          <w:p>
            <w:pPr>
              <w:jc w:val="center"/>
              <w:ind w:left="301"/>
              <w:spacing w:after="0" w:line="132"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left="261"/>
              <w:spacing w:after="0" w:line="132"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left="301"/>
              <w:spacing w:after="0" w:line="132"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left="301"/>
              <w:spacing w:after="0" w:line="132"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4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1,214,293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871,799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3,325,309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2,509,635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120,044</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78,856</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328,638</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235,391</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6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8,541</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7,783</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26,369</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24,903</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litigation costs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1,007</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payment and others</w:t>
            </w:r>
          </w:p>
        </w:tc>
        <w:tc>
          <w:tcPr>
            <w:tcW w:w="16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1,264</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129,695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88,730</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356,699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263,236</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Net Income and EPS to Non-GAAP Net Income and EPS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880" w:type="dxa"/>
            <w:vAlign w:val="bottom"/>
            <w:gridSpan w:val="4"/>
          </w:tcPr>
          <w:p>
            <w:pPr>
              <w:ind w:left="1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34"/>
        </w:trPr>
        <w:tc>
          <w:tcPr>
            <w:tcW w:w="3540" w:type="dxa"/>
            <w:vAlign w:val="bottom"/>
          </w:tcPr>
          <w:p>
            <w:pPr>
              <w:spacing w:after="0"/>
              <w:rPr>
                <w:sz w:val="11"/>
                <w:szCs w:val="11"/>
                <w:color w:val="auto"/>
              </w:rPr>
            </w:pPr>
          </w:p>
        </w:tc>
        <w:tc>
          <w:tcPr>
            <w:tcW w:w="1940" w:type="dxa"/>
            <w:vAlign w:val="bottom"/>
            <w:tcBorders>
              <w:top w:val="single" w:sz="8" w:color="auto"/>
            </w:tcBorders>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80" w:type="dxa"/>
            <w:vAlign w:val="bottom"/>
          </w:tcPr>
          <w:p>
            <w:pPr>
              <w:spacing w:after="0"/>
              <w:rPr>
                <w:sz w:val="11"/>
                <w:szCs w:val="11"/>
                <w:color w:val="auto"/>
              </w:rPr>
            </w:pPr>
          </w:p>
        </w:tc>
        <w:tc>
          <w:tcPr>
            <w:tcW w:w="1960" w:type="dxa"/>
            <w:vAlign w:val="bottom"/>
            <w:tcBorders>
              <w:top w:val="single" w:sz="8" w:color="auto"/>
            </w:tcBorders>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4"/>
        </w:trPr>
        <w:tc>
          <w:tcPr>
            <w:tcW w:w="3540" w:type="dxa"/>
            <w:vAlign w:val="bottom"/>
          </w:tcPr>
          <w:p>
            <w:pPr>
              <w:spacing w:after="0"/>
              <w:rPr>
                <w:sz w:val="16"/>
                <w:szCs w:val="16"/>
                <w:color w:val="auto"/>
              </w:rPr>
            </w:pPr>
          </w:p>
        </w:tc>
        <w:tc>
          <w:tcPr>
            <w:tcW w:w="184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6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3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data)</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Diluted EPS</w:t>
            </w:r>
          </w:p>
        </w:tc>
        <w:tc>
          <w:tcPr>
            <w:tcW w:w="100" w:type="dxa"/>
            <w:vAlign w:val="bottom"/>
          </w:tcPr>
          <w:p>
            <w:pPr>
              <w:spacing w:after="0"/>
              <w:rPr>
                <w:sz w:val="16"/>
                <w:szCs w:val="16"/>
                <w:color w:val="auto"/>
              </w:rPr>
            </w:pPr>
          </w:p>
        </w:tc>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Diluted EPS</w:t>
            </w:r>
          </w:p>
        </w:tc>
        <w:tc>
          <w:tcPr>
            <w:tcW w:w="80" w:type="dxa"/>
            <w:vAlign w:val="bottom"/>
          </w:tcPr>
          <w:p>
            <w:pPr>
              <w:spacing w:after="0"/>
              <w:rPr>
                <w:sz w:val="16"/>
                <w:szCs w:val="16"/>
                <w:color w:val="auto"/>
              </w:rPr>
            </w:pPr>
          </w:p>
        </w:tc>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Diluted EPS</w:t>
            </w:r>
          </w:p>
        </w:tc>
        <w:tc>
          <w:tcPr>
            <w:tcW w:w="100" w:type="dxa"/>
            <w:vAlign w:val="bottom"/>
          </w:tcPr>
          <w:p>
            <w:pPr>
              <w:spacing w:after="0"/>
              <w:rPr>
                <w:sz w:val="16"/>
                <w:szCs w:val="16"/>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   Diluted EPS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measures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333,767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245,320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w:t>
            </w:r>
          </w:p>
        </w:tc>
      </w:tr>
      <w:tr>
        <w:trPr>
          <w:trHeight w:val="175"/>
        </w:trPr>
        <w:tc>
          <w:tcPr>
            <w:tcW w:w="3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Items reconciling GAAP net income &amp; EPS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non-GAAP net income &amp; EPS: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to cost of revenues:</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related to cost of revenues</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156"/>
        </w:trPr>
        <w:tc>
          <w:tcPr>
            <w:tcW w:w="35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Related to selling, general and administrative</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3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4"/>
        </w:trPr>
        <w:tc>
          <w:tcPr>
            <w:tcW w:w="3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29"/>
        </w:trPr>
        <w:tc>
          <w:tcPr>
            <w:tcW w:w="3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Legal and litigation costs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29"/>
        </w:trPr>
        <w:tc>
          <w:tcPr>
            <w:tcW w:w="3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Severance payment and others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156"/>
        </w:trPr>
        <w:tc>
          <w:tcPr>
            <w:tcW w:w="35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related to selling, general and</w:t>
            </w: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240"/>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r>
      <w:tr>
        <w:trPr>
          <w:trHeight w:val="212"/>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to other income and expense: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3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0"/>
        </w:trPr>
        <w:tc>
          <w:tcPr>
            <w:tcW w:w="3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related to other income and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0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related to net income &amp; EPS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measures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134,864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361,828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273,165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Shares used in computing diluted net income per</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5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(in thousands of shares)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GAAP diluted shares</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36,327</w:t>
            </w:r>
          </w:p>
        </w:tc>
        <w:tc>
          <w:tcPr>
            <w:tcW w:w="0" w:type="dxa"/>
            <w:vAlign w:val="bottom"/>
          </w:tcPr>
          <w:p>
            <w:pPr>
              <w:spacing w:after="0"/>
              <w:rPr>
                <w:sz w:val="1"/>
                <w:szCs w:val="1"/>
                <w:color w:val="auto"/>
              </w:rPr>
            </w:pPr>
          </w:p>
        </w:tc>
      </w:tr>
      <w:tr>
        <w:trPr>
          <w:trHeight w:val="234"/>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diluted shares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62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34"/>
        </w:trPr>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57"/>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38"/>
              <w:spacing w:after="0"/>
              <w:rPr>
                <w:sz w:val="20"/>
                <w:szCs w:val="20"/>
                <w:color w:val="auto"/>
              </w:rPr>
            </w:pPr>
            <w:r>
              <w:rPr>
                <w:rFonts w:ascii="Times New Roman" w:cs="Times New Roman" w:eastAsia="Times New Roman" w:hAnsi="Times New Roman"/>
                <w:sz w:val="18"/>
                <w:szCs w:val="18"/>
                <w:color w:val="auto"/>
                <w:w w:val="96"/>
              </w:rPr>
              <w:t>52,931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74,186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273,272</w:t>
            </w:r>
          </w:p>
        </w:tc>
        <w:tc>
          <w:tcPr>
            <w:tcW w:w="40" w:type="dxa"/>
            <w:vAlign w:val="bottom"/>
            <w:shd w:val="clear" w:color="auto" w:fill="CCEEFF"/>
          </w:tcPr>
          <w:p>
            <w:pPr>
              <w:spacing w:after="0"/>
              <w:rPr>
                <w:sz w:val="19"/>
                <w:szCs w:val="19"/>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 of property, plant and equipment</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rPr>
              <w:t>(28,518)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(70,668)</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free cash flow</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45,668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202,604</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937"/>
        </w:trPr>
        <w:tc>
          <w:tcPr>
            <w:tcW w:w="4920" w:type="dxa"/>
            <w:vAlign w:val="bottom"/>
          </w:tcPr>
          <w:p>
            <w:pPr>
              <w:spacing w:after="0"/>
              <w:rPr>
                <w:sz w:val="24"/>
                <w:szCs w:val="24"/>
                <w:color w:val="auto"/>
              </w:rPr>
            </w:pPr>
          </w:p>
        </w:tc>
        <w:tc>
          <w:tcPr>
            <w:tcW w:w="18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FABRINET</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280" w:type="dxa"/>
            <w:vAlign w:val="bottom"/>
            <w:gridSpan w:val="8"/>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9"/>
              </w:rPr>
              <w:t>GUIDANCE FOR QUARTER ENDING JUNE 26, 2026</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620" w:type="dxa"/>
            <w:vAlign w:val="bottom"/>
            <w:gridSpan w:val="9"/>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9"/>
              </w:rPr>
              <w:t>RECONCILIATION OF GAAP MEASURES TO NON-GAAP MEASURES</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8"/>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78"/>
        </w:trPr>
        <w:tc>
          <w:tcPr>
            <w:tcW w:w="4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r>
      <w:tr>
        <w:trPr>
          <w:trHeight w:val="243"/>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per diluted share</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$3.48 to $3.63</w:t>
            </w:r>
          </w:p>
        </w:tc>
        <w:tc>
          <w:tcPr>
            <w:tcW w:w="40" w:type="dxa"/>
            <w:vAlign w:val="bottom"/>
          </w:tcPr>
          <w:p>
            <w:pPr>
              <w:spacing w:after="0"/>
              <w:rPr>
                <w:sz w:val="21"/>
                <w:szCs w:val="2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Related to cost of revenues: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9"/>
                <w:szCs w:val="19"/>
                <w:color w:val="auto"/>
              </w:rPr>
            </w:pP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related to cost of revenues</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9"/>
                <w:szCs w:val="19"/>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Related to selling, general and administrative expenses: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9"/>
                <w:szCs w:val="19"/>
                <w:color w:val="auto"/>
              </w:rPr>
            </w:pP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related to selling, general and administrative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9"/>
                <w:szCs w:val="19"/>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related to net income &amp; EPS</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0.24</w:t>
            </w:r>
          </w:p>
        </w:tc>
        <w:tc>
          <w:tcPr>
            <w:tcW w:w="40" w:type="dxa"/>
            <w:vAlign w:val="bottom"/>
          </w:tcPr>
          <w:p>
            <w:pPr>
              <w:spacing w:after="0"/>
              <w:rPr>
                <w:sz w:val="19"/>
                <w:szCs w:val="19"/>
                <w:color w:val="auto"/>
              </w:rPr>
            </w:pPr>
          </w:p>
        </w:tc>
      </w:tr>
      <w:tr>
        <w:trPr>
          <w:trHeight w:val="28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diluted share</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$3.72 to $3.87</w:t>
            </w:r>
          </w:p>
        </w:tc>
        <w:tc>
          <w:tcPr>
            <w:tcW w:w="40" w:type="dxa"/>
            <w:vAlign w:val="bottom"/>
          </w:tcPr>
          <w:p>
            <w:pPr>
              <w:spacing w:after="0"/>
              <w:rPr>
                <w:sz w:val="24"/>
                <w:szCs w:val="24"/>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2026-05-04T15:30:12Z</dcterms:created>
  <dcterms:modified xsi:type="dcterms:W3CDTF">2026-05-04T15:30:12Z</dcterms:modified>
</cp:coreProperties>
</file>